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FF2C06">
      <w:pPr>
        <w:divId w:val="576596355"/>
        <w:rPr>
          <w:rFonts w:eastAsia="Times New Roman"/>
          <w:vanish/>
        </w:rPr>
      </w:pPr>
      <w:r>
        <w:rPr>
          <w:rFonts w:eastAsia="Times New Roman"/>
          <w:vanish/>
        </w:rPr>
        <w:t>0001425205--12-312020Q3false19419419435811193581119358111912641180814658162400014252052019-01-162019-01-160001425205us-gaap:CommonStockMember2020-07-012020-09-300001425205iova:TwentyElevenEquityIncentivePlanMember2020-01-012020-09-300001425205</w:t>
      </w:r>
      <w:r>
        <w:rPr>
          <w:rFonts w:eastAsia="Times New Roman"/>
          <w:vanish/>
        </w:rPr>
        <w:t>us-gaap:CommonStockMember2020-01-012020-09-300001425205us-gaap:IPOMember2018-01-012018-01-3100014252052013-09-302013-09-300001425205srt:CumulativeEffectPeriodOfAdoptionAdjustmentMemberus-gaap:RetainedEarningsMember2019-09-300001425205srt:CumulativeEffectPe</w:t>
      </w:r>
      <w:r>
        <w:rPr>
          <w:rFonts w:eastAsia="Times New Roman"/>
          <w:vanish/>
        </w:rPr>
        <w:t>riodOfAdoptionAdjustmentMemberus-gaap:AdditionalPaidInCapitalMember2019-09-300001425205us-gaap:RetainedEarningsMember2020-09-300001425205us-gaap:AdditionalPaidInCapitalMember2020-09-300001425205us-gaap:AccumulatedOtherComprehensiveIncomeMember2020-09-30000</w:t>
      </w:r>
      <w:r>
        <w:rPr>
          <w:rFonts w:eastAsia="Times New Roman"/>
          <w:vanish/>
        </w:rPr>
        <w:t>1425205us-gaap:RetainedEarningsMember2020-06-300001425205us-gaap:AdditionalPaidInCapitalMember2020-06-300001425205us-gaap:AccumulatedOtherComprehensiveIncomeMember2020-06-3000014252052020-06-300001425205us-gaap:RetainedEarningsMember2019-12-310001425205us-</w:t>
      </w:r>
      <w:r>
        <w:rPr>
          <w:rFonts w:eastAsia="Times New Roman"/>
          <w:vanish/>
        </w:rPr>
        <w:t>gaap:AdditionalPaidInCapitalMember2019-12-310001425205us-gaap:AccumulatedOtherComprehensiveIncomeMember2019-12-310001425205us-gaap:RetainedEarningsMember2019-09-300001425205us-gaap:AdditionalPaidInCapitalMember2019-09-300001425205us-gaap:AccumulatedOtherCo</w:t>
      </w:r>
      <w:r>
        <w:rPr>
          <w:rFonts w:eastAsia="Times New Roman"/>
          <w:vanish/>
        </w:rPr>
        <w:t>mprehensiveIncomeMember2019-09-300001425205us-gaap:RetainedEarningsMember2019-06-300001425205us-gaap:AdditionalPaidInCapitalMember2019-06-300001425205us-gaap:AccumulatedOtherComprehensiveIncomeMember2019-06-3000014252052019-06-300001425205us-gaap:RetainedE</w:t>
      </w:r>
      <w:r>
        <w:rPr>
          <w:rFonts w:eastAsia="Times New Roman"/>
          <w:vanish/>
        </w:rPr>
        <w:t>arningsMember2018-12-310001425205us-gaap:AdditionalPaidInCapitalMember2018-12-310001425205us-gaap:AccumulatedOtherComprehensiveIncomeMember2018-12-310001425205us-gaap:CommonStockMember2020-09-300001425205us-gaap:SeriesBPreferredStockMember2020-06-300001425</w:t>
      </w:r>
      <w:r>
        <w:rPr>
          <w:rFonts w:eastAsia="Times New Roman"/>
          <w:vanish/>
        </w:rPr>
        <w:t>205us-gaap:SeriesAPreferredStockMember2020-06-300001425205us-gaap:CommonStockMember2020-06-300001425205us-gaap:CommonStockMember2019-12-310001425205us-gaap:SeriesBPreferredStockMember2019-09-300001425205us-gaap:SeriesAPreferredStockMember2019-09-3000014252</w:t>
      </w:r>
      <w:r>
        <w:rPr>
          <w:rFonts w:eastAsia="Times New Roman"/>
          <w:vanish/>
        </w:rPr>
        <w:t>05us-gaap:CommonStockMember2019-09-300001425205us-gaap:SeriesBPreferredStockMember2019-06-300001425205us-gaap:SeriesAPreferredStockMember2019-06-300001425205us-gaap:CommonStockMember2019-06-300001425205us-gaap:SeriesBPreferredStockMember2018-12-31000142520</w:t>
      </w:r>
      <w:r>
        <w:rPr>
          <w:rFonts w:eastAsia="Times New Roman"/>
          <w:vanish/>
        </w:rPr>
        <w:t>5us-gaap:SeriesAPreferredStockMember2018-12-310001425205us-gaap:CommonStockMember2018-12-310001425205us-gaap:IPOMember2020-06-3000014252052018-10-3100014252052018-01-310001425205srt:BoardOfDirectorsChairmanMember2017-09-012017-09-1400014252052017-09-012017</w:t>
      </w:r>
      <w:r>
        <w:rPr>
          <w:rFonts w:eastAsia="Times New Roman"/>
          <w:vanish/>
        </w:rPr>
        <w:t>-09-140001425205us-gaap:EmployeeStockOptionMember2019-12-310001425205iova:StevenFischkoffMember2017-06-132017-06-130001425205us-gaap:EmployeeStockOptionMember2020-01-012020-09-300001425205us-gaap:EmployeeStockOptionMember2020-09-300001425205iova:TwoThousan</w:t>
      </w:r>
      <w:r>
        <w:rPr>
          <w:rFonts w:eastAsia="Times New Roman"/>
          <w:vanish/>
        </w:rPr>
        <w:t>dFourteenEquityIncentivePlanMember2020-09-300001425205iova:TwoThousandElevenEquityIncentivePlanMember2020-09-300001425205iova:TwentyEighteenEquityIncentivePlanMember2020-09-300001425205srt:MinimumMemberiova:TwentyEighteenEquityIncentivePlanMember2020-06-08</w:t>
      </w:r>
      <w:r>
        <w:rPr>
          <w:rFonts w:eastAsia="Times New Roman"/>
          <w:vanish/>
        </w:rPr>
        <w:t>0001425205srt:MaximumMemberiova:TwentyEighteenEquityIncentivePlanMember2020-06-080001425205iova:TwentyEighteenEquityIncentivePlanMember2018-04-220001425205srt:BoardOfDirectorsChairmanMember2017-09-140001425205srt:MaximumMemberiova:TwoThousandFourteenEquity</w:t>
      </w:r>
      <w:r>
        <w:rPr>
          <w:rFonts w:eastAsia="Times New Roman"/>
          <w:vanish/>
        </w:rPr>
        <w:t>IncentivePlanMember2016-08-160001425205iova:TwoThousandFourteenEquityIncentivePlanMember2015-04-100001425205iova:TwoThousandFourteenEquityIncentivePlanMember2014-11-300001425205iova:TwoThousandElevenEquityIncentivePlanMember2013-08-310001425205srt:MinimumM</w:t>
      </w:r>
      <w:r>
        <w:rPr>
          <w:rFonts w:eastAsia="Times New Roman"/>
          <w:vanish/>
        </w:rPr>
        <w:t>emberiova:TwoThousandElevenEquityIncentivePlanMember2011-10-140001425205srt:MinimumMember2020-01-012020-09-300001425205srt:MaximumMember2020-01-012020-09-300001425205srt:MinimumMember2019-01-012019-09-300001425205srt:MaximumMember2019-01-012019-09-30000142</w:t>
      </w:r>
      <w:r>
        <w:rPr>
          <w:rFonts w:eastAsia="Times New Roman"/>
          <w:vanish/>
        </w:rPr>
        <w:t>5205iova:SatisfactionOfClinicalTrialMilestonesMemberus-gaap:RestrictedStockUnitsRSUMember2016-06-012016-06-0100014252052016-06-012016-06-010001425205srt:ChiefExecutiveOfficerMemberus-gaap:RestrictedStockUnitsRSUMember2016-06-012016-06-010001425205us-gaap:R</w:t>
      </w:r>
      <w:r>
        <w:rPr>
          <w:rFonts w:eastAsia="Times New Roman"/>
          <w:vanish/>
        </w:rPr>
        <w:t>esearchAndDevelopmentExpenseMember2020-07-012020-09-300001425205us-gaap:GeneralAndAdministrativeExpenseMember2020-07-012020-09-300001425205us-gaap:RestrictedStockUnitsRSUMember2020-01-012020-09-300001425205us-gaap:ResearchAndDevelopmentExpenseMember2020-01</w:t>
      </w:r>
      <w:r>
        <w:rPr>
          <w:rFonts w:eastAsia="Times New Roman"/>
          <w:vanish/>
        </w:rPr>
        <w:t>-012020-09-300001425205us-gaap:GeneralAndAdministrativeExpenseMember2020-01-012020-09-300001425205us-gaap:RestrictedStockUnitsRSUMember2019-07-012019-09-300001425205us-gaap:ResearchAndDevelopmentExpenseMember2019-07-012019-09-300001425205us-gaap:GeneralAnd</w:t>
      </w:r>
      <w:r>
        <w:rPr>
          <w:rFonts w:eastAsia="Times New Roman"/>
          <w:vanish/>
        </w:rPr>
        <w:t>AdministrativeExpenseMember2019-07-012019-09-300001425205us-gaap:RestrictedStockUnitsRSUMember2019-01-012019-09-300001425205us-gaap:ResearchAndDevelopmentExpenseMember2019-01-012019-09-300001425205us-gaap:GeneralAndAdministrativeExpenseMember2019-01-012019</w:t>
      </w:r>
      <w:r>
        <w:rPr>
          <w:rFonts w:eastAsia="Times New Roman"/>
          <w:vanish/>
        </w:rPr>
        <w:t>-09-300001425205iova:FirstAnniversaryMemberus-gaap:RestrictedStockUnitsRSUMember2016-06-012016-06-010001425205iova:ConsultingAgreementMember2020-07-012020-09-300001425205iova:ConsultingAgreementMember2020-01-012020-09-300001425205iova:ConsultingAgreementMe</w:t>
      </w:r>
      <w:r>
        <w:rPr>
          <w:rFonts w:eastAsia="Times New Roman"/>
          <w:vanish/>
        </w:rPr>
        <w:t>mber2019-07-012019-09-300001425205iova:ConsultingAgreementMember2019-01-012019-09-300001425205srt:MinimumMember2020-09-3000014252052019-01-010001425205iova:WuxiApptechIncManufacturingAndServicesAgreementMember2020-07-012020-09-300001425205iova:ResearchColl</w:t>
      </w:r>
      <w:r>
        <w:rPr>
          <w:rFonts w:eastAsia="Times New Roman"/>
          <w:vanish/>
        </w:rPr>
        <w:t>aborationAndClinicalGrantAgreementsWithMoffittMember2020-07-012020-09-300001425205iova:ResearchCollaborationAndClinicalGrantAgreementsMember2020-07-012020-09-300001425205iova:CellectisS.aMember2020-07-012020-09-300001425205iova:WuxiApptechIncManufacturingA</w:t>
      </w:r>
      <w:r>
        <w:rPr>
          <w:rFonts w:eastAsia="Times New Roman"/>
          <w:vanish/>
        </w:rPr>
        <w:t>ndServicesAgreementMember2020-01-012020-09-300001425205iova:ResearchCollaborationAndClinicalGrantAgreementsWithMoffittMember2020-01-012020-09-300001425205iova:ResearchCollaborationAndClinicalGrantAgreementsMember2020-01-012020-09-300001425205iova:NovartisP</w:t>
      </w:r>
      <w:r>
        <w:rPr>
          <w:rFonts w:eastAsia="Times New Roman"/>
          <w:vanish/>
        </w:rPr>
        <w:t>harmaAgLicenseAgreementMember2020-01-012020-09-300001425205iova:NationalCancerInstituteMember2020-01-012020-09-300001425205iova:CellectisS.aMember2020-01-012020-09-300001425205iova:NovartisPharmaAgLicenseAgreementMember2020-01-012020-03-310001425205iova:Mo</w:t>
      </w:r>
      <w:r>
        <w:rPr>
          <w:rFonts w:eastAsia="Times New Roman"/>
          <w:vanish/>
        </w:rPr>
        <w:t>ffittLicenseAgreementTwoMember2019-07-012020-09-300001425205iova:CooperativeResearchAndDevelopmentAgreementMember2019-07-012020-09-300001425205iova:WuxiApptechIncManufacturingAndServicesAgreementMember2019-07-012019-09-300001425205iova:ResearchCollaboratio</w:t>
      </w:r>
      <w:r>
        <w:rPr>
          <w:rFonts w:eastAsia="Times New Roman"/>
          <w:vanish/>
        </w:rPr>
        <w:t>nAndClinicalGrantAgreementsMember2019-07-012019-09-300001425205iova:MoffittLicenseAgreementTwoMember2019-01-012020-09-300001425205iova:CooperativeResearchAndDevelopmentAgreementMember2019-01-012020-09-300001425205iova:WuxiApptechIncManufacturingAndServices</w:t>
      </w:r>
      <w:r>
        <w:rPr>
          <w:rFonts w:eastAsia="Times New Roman"/>
          <w:vanish/>
        </w:rPr>
        <w:t>AgreementMember2019-01-012019-09-300001425205iova:ResearchCollaborationAndClinicalGrantAgreementsWithMoffittMember2019-01-012019-09-300001425205iova:ResearchCollaborationAndClinicalGrantAgreementsMember2019-01-012019-09-300001425205us-gaap:ResearchAndDevel</w:t>
      </w:r>
      <w:r>
        <w:rPr>
          <w:rFonts w:eastAsia="Times New Roman"/>
          <w:vanish/>
        </w:rPr>
        <w:t>opmentArrangementMember2019-07-012019-09-300001425205srt:MaximumMemberus-gaap:ResearchAndDevelopmentArrangementMember2017-03-182017-04-170001425205iova:SolomonCapitalLlcMember2012-11-012012-11-300001425205iova:SolomonCapitalLlcMember2012-06-012012-06-30000</w:t>
      </w:r>
      <w:r>
        <w:rPr>
          <w:rFonts w:eastAsia="Times New Roman"/>
          <w:vanish/>
        </w:rPr>
        <w:t>1425205us-gaap:IPOMember2020-06-012020-06-3000014252052020-06-012020-06-300001425205us-gaap:IPOMember2018-10-012018-10-3100014252052018-01-012018-01-310001425205us-gaap:ResearchAndDevelopmentArrangementMember2017-05-310001425205us-gaap:AccountingStandardsU</w:t>
      </w:r>
      <w:r>
        <w:rPr>
          <w:rFonts w:eastAsia="Times New Roman"/>
          <w:vanish/>
        </w:rPr>
        <w:t>pdate201815Member2020-09-300001425205iova:SeriesConvertiblePreferredStockMember2019-12-310001425205iova:SeriesConvertiblePreferredStockMember2020-09-300001425205iova:BlankCheckMember2020-09-300001425205us-gaap:SeriesBPreferredStockMemberus-gaap:IPOMember20</w:t>
      </w:r>
      <w:r>
        <w:rPr>
          <w:rFonts w:eastAsia="Times New Roman"/>
          <w:vanish/>
        </w:rPr>
        <w:t>20-09-300001425205iova:SeriesConvertiblePreferredStockMemberus-gaap:PrivatePlacementMember2020-09-300001425205us-gaap:SeriesBPreferredStockMember2020-09-300001425205us-gaap:SeriesAPreferredStockMember2020-09-300001425205us-gaap:SeriesBPreferredStockMember2</w:t>
      </w:r>
      <w:r>
        <w:rPr>
          <w:rFonts w:eastAsia="Times New Roman"/>
          <w:vanish/>
        </w:rPr>
        <w:t>019-12-310001425205us-gaap:SeriesAPreferredStockMember2019-12-310001425205us-gaap:AccumulatedOtherComprehensiveIncomeMember2020-07-012020-09-300001425205us-gaap:AccumulatedOtherComprehensiveIncomeMember2020-01-012020-09-300001425205us-gaap:AccumulatedOther</w:t>
      </w:r>
      <w:r>
        <w:rPr>
          <w:rFonts w:eastAsia="Times New Roman"/>
          <w:vanish/>
        </w:rPr>
        <w:t>ComprehensiveIncomeMember2019-07-012019-09-300001425205us-gaap:AccumulatedOtherComprehensiveIncomeMember2019-01-012019-09-300001425205stpr:NYiova:FacilityLeasesMemberiova:OfficeSpaceMember2017-07-012017-07-3100014252052018-10-190001425205stpr:NYiova:Facili</w:t>
      </w:r>
      <w:r>
        <w:rPr>
          <w:rFonts w:eastAsia="Times New Roman"/>
          <w:vanish/>
        </w:rPr>
        <w:t>tyLeasesMember2020-09-012020-09-010001425205iova:PhiladelphiaPennsylvaniaMember2020-08-012020-08-010001425205stpr:NYiova:FacilityLeasesMember2020-05-242020-10-310001425205stpr:NYiova:FacilityLeasesMember2020-01-232020-07-310001425205stpr:NYiova:FacilityLea</w:t>
      </w:r>
      <w:r>
        <w:rPr>
          <w:rFonts w:eastAsia="Times New Roman"/>
          <w:vanish/>
        </w:rPr>
        <w:t>sesMember2019-10-242020-04-300001425205stpr:NYiova:FacilityLeasesMember2019-05-012020-01-310001425205us-gaap:RetainedEarningsMember2020-07-012020-09-300001425205us-gaap:RetainedEarningsMember2020-01-012020-09-300001425205us-gaap:RetainedEarningsMember2019-</w:t>
      </w:r>
      <w:r>
        <w:rPr>
          <w:rFonts w:eastAsia="Times New Roman"/>
          <w:vanish/>
        </w:rPr>
        <w:t>07-012019-09-300001425205us-gaap:RetainedEarningsMember2019-01-012019-09-300001425205srt:MinimumMember2016-04-0800014252052016-04-082016-04-0800014252052019-05-282019-05-280001425205iova:TampaFloridaMemberiova:FacilityLeasesMember2014-12-012014-12-31000142</w:t>
      </w:r>
      <w:r>
        <w:rPr>
          <w:rFonts w:eastAsia="Times New Roman"/>
          <w:vanish/>
        </w:rPr>
        <w:t>5205iova:SanCarlosCaliforniaMemberiova:FacilityLeasesMember2019-06-190001425205iova:CmoEmbeddedLeasesMember2020-09-300001425205iova:TampaFloridaMemberiova:FacilityLeasesMember2019-12-310001425205stpr:NYiova:FacilityLeasesMemberiova:OfficeSpaceMember2018-07</w:t>
      </w:r>
      <w:r>
        <w:rPr>
          <w:rFonts w:eastAsia="Times New Roman"/>
          <w:vanish/>
        </w:rPr>
        <w:t>-310001425205iova:SanCarlosCaliforniaMemberiova:FacilityLeasesMemberiova:OfficeSpaceMember2017-04-280001425205stpr:NYiova:FacilityLeasesMember2018-11-022019-07-310001425205stpr:NYiova:FacilityLeasesMemberiova:OfficeSpaceMember2018-04-202019-01-310001425205</w:t>
      </w:r>
      <w:r>
        <w:rPr>
          <w:rFonts w:eastAsia="Times New Roman"/>
          <w:vanish/>
        </w:rPr>
        <w:t>iova:TampaFloridaMemberiova:FacilityLeasesMember2016-09-012016-09-300001425205us-gaap:EmployeeStockOptionMember2020-09-300001425205us-gaap:CommercialPaperMemberiova:SolomonCapitalLlcMember2016-04-080001425205iova:SolomonCapitalLlcMember2016-04-082016-04-08</w:t>
      </w:r>
      <w:r>
        <w:rPr>
          <w:rFonts w:eastAsia="Times New Roman"/>
          <w:vanish/>
        </w:rPr>
        <w:t>0001425205us-gaap:SeriesBPreferredStockMemberus-gaap:CommonStockMember2020-01-012020-09-300001425205iova:SeriesConvertiblePreferredStockMemberus-gaap:CommonStockMember2020-01-012020-09-300001425205iova:SeriesConvertiblePreferredStockMember2020-01-012020-09</w:t>
      </w:r>
      <w:r>
        <w:rPr>
          <w:rFonts w:eastAsia="Times New Roman"/>
          <w:vanish/>
        </w:rPr>
        <w:t>-300001425205us-gaap:SeriesBPreferredStockMemberus-gaap:CommonStockMember2019-01-012019-12-310001425205iova:SeriesConvertiblePreferredStockMemberus-gaap:CommonStockMember2019-01-012019-12-310001425205iova:SeriesConvertiblePreferredStockMember2019-01-012019</w:t>
      </w:r>
      <w:r>
        <w:rPr>
          <w:rFonts w:eastAsia="Times New Roman"/>
          <w:vanish/>
        </w:rPr>
        <w:t>-09-300001425205us-gaap:OverAllotmentOptionMember2019-06-1000014252052019-06-100001425205iova:TwoThousandTwentyEsppMember2020-09-300001425205iova:TwoThousandElevenEquityIncentivePlanMember2014-08-200001425205iova:TwoThousandElevenEquityIncentivePlanMember2</w:t>
      </w:r>
      <w:r>
        <w:rPr>
          <w:rFonts w:eastAsia="Times New Roman"/>
          <w:vanish/>
        </w:rPr>
        <w:t>014-08-190001425205iova:TwoThousandElevenEquityIncentivePlanMember2011-10-140001425205us-gaap:MoneyMarketFundsMember2020-09-300001425205us-gaap:DemandDepositsMember2020-09-300001425205us-gaap:MoneyMarketFundsMember2019-12-310001425205us-gaap:DemandDeposits</w:t>
      </w:r>
      <w:r>
        <w:rPr>
          <w:rFonts w:eastAsia="Times New Roman"/>
          <w:vanish/>
        </w:rPr>
        <w:t>Member2019-12-3100014252052018-12-3100014252052019-09-300001425205us-gaap:FairValueInputsLevel1Memberus-gaap:USTreasurySecuritiesMember2020-09-300001425205us-gaap:FairValueInputsLevel1Memberus-gaap:USGovernmentCorporationsAndAgenciesSecuritiesMember2020-09</w:t>
      </w:r>
      <w:r>
        <w:rPr>
          <w:rFonts w:eastAsia="Times New Roman"/>
          <w:vanish/>
        </w:rPr>
        <w:t>-300001425205us-gaap:FairValueInputsLevel1Member2020-09-300001425205us-gaap:FairValueInputsLevel1Memberus-gaap:USTreasurySecuritiesMember2019-12-310001425205us-gaap:FairValueInputsLevel1Memberus-gaap:USGovernmentCorporationsAndAgenciesSecuritiesMember2019-</w:t>
      </w:r>
      <w:r>
        <w:rPr>
          <w:rFonts w:eastAsia="Times New Roman"/>
          <w:vanish/>
        </w:rPr>
        <w:t>12-310001425205us-gaap:FairValueInputsLevel1Member2019-12-310001425205iova:PhiladelphiaPennsylvaniaMember2020-08-010001425205iova:TampaFloridaMemberiova:FacilityLeasesMember2020-06-300001425205iova:SanCarlosCaliforniaMemberiova:FacilityLeasesMemberiova:Off</w:t>
      </w:r>
      <w:r>
        <w:rPr>
          <w:rFonts w:eastAsia="Times New Roman"/>
          <w:vanish/>
        </w:rPr>
        <w:t>iceSpaceMember2019-06-190001425205iova:CommercialManufacturingFacilityAgreementMemberiova:OfficeSpaceMember2019-05-280001425205iova:CommercialManufacturingFacilityAgreementForPhaseIMemberiova:OfficeSpaceMember2019-05-280001425205iova:CommercialManufacturin</w:t>
      </w:r>
      <w:r>
        <w:rPr>
          <w:rFonts w:eastAsia="Times New Roman"/>
          <w:vanish/>
        </w:rPr>
        <w:t>gFacilityAgreementForPhaseIBMemberiova:OfficeSpaceMember2019-05-280001425205iova:PhiladelphiaPennsylvaniaMemberiova:FacilityOfficeLeaseForNextThreeYearsMemberiova:OfficeSpaceMember2019-05-020001425205iova:PhiladelphiaPennsylvaniaMemberiova:FacilityOfficeLe</w:t>
      </w:r>
      <w:r>
        <w:rPr>
          <w:rFonts w:eastAsia="Times New Roman"/>
          <w:vanish/>
        </w:rPr>
        <w:t>aseForFirstYearMemberiova:OfficeSpaceMember2019-05-020001425205iova:SanCarlosCaliforniaMemberiova:FacilityLeasesMemberiova:OfficeSpaceMember2018-10-310001425205iova:SanCarlosCaliforniaMemberiova:FacilityLeasesMemberiova:OfficeSpaceMember2018-10-19000142520</w:t>
      </w:r>
      <w:r>
        <w:rPr>
          <w:rFonts w:eastAsia="Times New Roman"/>
          <w:vanish/>
        </w:rPr>
        <w:t>5iova:SanCarlosCaliforniaMemberiova:FacilityLeasesMember2017-04-280001425205iova:TampaFloridaMemberiova:FacilityLeasesMember2016-09-300001425205iova:SanCarlosCaliforniaMemberiova:FacilityLeasesMemberiova:OfficeSpaceMember2016-08-040001425205iova:TampaFlori</w:t>
      </w:r>
      <w:r>
        <w:rPr>
          <w:rFonts w:eastAsia="Times New Roman"/>
          <w:vanish/>
        </w:rPr>
        <w:t>daMemberiova:FacilityLeasesMember2015-04-300001425205iova:TampaFloridaMemberiova:FacilityLeasesMember2014-12-310001425205us-gaap:SeriesAPreferredStockMember2020-01-012020-09-300001425205us-gaap:EmployeeStockOptionMember2020-01-012020-09-300001425205us-gaap</w:t>
      </w:r>
      <w:r>
        <w:rPr>
          <w:rFonts w:eastAsia="Times New Roman"/>
          <w:vanish/>
        </w:rPr>
        <w:t>:SeriesAPreferredStockMember2019-01-012019-09-300001425205us-gaap:RestrictedStockUnitsRSUMember2019-01-012019-09-300001425205us-gaap:EmployeeStockOptionMember2019-01-012019-09-300001425205us-gaap:EmployeeStockOptionMember2020-07-012020-09-300001425205iova:</w:t>
      </w:r>
      <w:r>
        <w:rPr>
          <w:rFonts w:eastAsia="Times New Roman"/>
          <w:vanish/>
        </w:rPr>
        <w:t>RestrictedCommonStockMember2020-07-012020-09-300001425205us-gaap:EmployeeStockOptionMember2020-01-012020-09-300001425205us-gaap:EmployeeStockOptionMember2019-07-012019-09-300001425205iova:RestrictedCommonStockMember2019-07-012019-09-300001425205us-gaap:Emp</w:t>
      </w:r>
      <w:r>
        <w:rPr>
          <w:rFonts w:eastAsia="Times New Roman"/>
          <w:vanish/>
        </w:rPr>
        <w:t>loyeeStockOptionMember2019-01-012019-09-300001425205us-gaap:AdditionalPaidInCapitalMember2020-07-012020-09-300001425205us-gaap:AdditionalPaidInCapitalMember2020-01-012020-09-300001425205iova:TwoThousandElevenEquityIncentivePlanMember2013-08-012013-08-31000</w:t>
      </w:r>
      <w:r>
        <w:rPr>
          <w:rFonts w:eastAsia="Times New Roman"/>
          <w:vanish/>
        </w:rPr>
        <w:t>14252052013-08-012013-08-310001425205iova:StevenFischkoffMember2017-06-130001425205iova:UnderwriterMemberus-gaap:IPOMember2020-06-012020-06-300001425205iova:UnderwriterMemberus-gaap:IPOMember2018-10-012018-10-310001425205iova:UnderwriterMemberus-gaap:IPOMe</w:t>
      </w:r>
      <w:r>
        <w:rPr>
          <w:rFonts w:eastAsia="Times New Roman"/>
          <w:vanish/>
        </w:rPr>
        <w:t>mber2018-01-012018-01-310001425205us-gaap:OtherIncomeMember2019-01-012019-09-300001425205iova:CommercialManufacturingFacilityAgreementForPhaseIMember2019-05-282019-05-2800014252052017-09-142017-09-140001425205iova:MoffittLicenseAgreementOneMember2020-01-01</w:t>
      </w:r>
      <w:r>
        <w:rPr>
          <w:rFonts w:eastAsia="Times New Roman"/>
          <w:vanish/>
        </w:rPr>
        <w:t>2020-09-300001425205iova:MoffittLicenseAgreementTwoMember2018-01-012018-12-310001425205iova:CommercialManufacturingFacilityAgreementMember2019-05-282019-05-280001425205iova:WuxiApptechIncManufacturingAndServicesAgreementMemberiova:ManufacturingSuitesMember</w:t>
      </w:r>
      <w:r>
        <w:rPr>
          <w:rFonts w:eastAsia="Times New Roman"/>
          <w:vanish/>
        </w:rPr>
        <w:t>2016-11-012016-11-300001425205iova:WuxiApptechIncManufacturingAndServicesAgreementMemberiova:CommercialManufacturingCgmpSuiteMember2016-11-012016-11-300001425205iova:CommercialManufacturingFacilityAgreementMember2019-05-280001425205iova:PhiladelphiaPennsyl</w:t>
      </w:r>
      <w:r>
        <w:rPr>
          <w:rFonts w:eastAsia="Times New Roman"/>
          <w:vanish/>
        </w:rPr>
        <w:t>vaniaMemberiova:FacilityOfficeLeaseForNextThreeYearsMember2019-05-020001425205iova:FacilityLeasesMember2020-09-3000014252052018-10-192018-10-190001425205iova:SanCarlosCaliforniaMemberiova:FacilityLeasesMemberiova:OfficeSpaceMember2016-07-142016-08-04000142</w:t>
      </w:r>
      <w:r>
        <w:rPr>
          <w:rFonts w:eastAsia="Times New Roman"/>
          <w:vanish/>
        </w:rPr>
        <w:t>52052020-07-012020-09-3000014252052019-07-012019-09-3000014252052019-01-012019-09-3000014252052020-05-122020-05-120001425205us-gaap:SeriesBPreferredStockMember2020-01-012020-09-300001425205us-gaap:CommonStockMember2019-07-012019-09-300001425205us-gaap:Seri</w:t>
      </w:r>
      <w:r>
        <w:rPr>
          <w:rFonts w:eastAsia="Times New Roman"/>
          <w:vanish/>
        </w:rPr>
        <w:t>esBPreferredStockMember2019-07-012019-09-300001425205us-gaap:AdditionalPaidInCapitalMember2019-07-012019-09-300001425205us-gaap:SeriesBPreferredStockMember2019-01-012019-09-300001425205us-gaap:AdditionalPaidInCapitalMember2019-01-012019-09-300001425205us-g</w:t>
      </w:r>
      <w:r>
        <w:rPr>
          <w:rFonts w:eastAsia="Times New Roman"/>
          <w:vanish/>
        </w:rPr>
        <w:t>aap:CommonStockMember2019-01-012019-09-300001425205us-gaap:USTreasurySecuritiesMember2020-09-300001425205us-gaap:USGovernmentCorporationsAndAgenciesSecuritiesMember2020-09-300001425205us-gaap:USTreasurySecuritiesMember2019-12-310001425205us-gaap:USGovernme</w:t>
      </w:r>
      <w:r>
        <w:rPr>
          <w:rFonts w:eastAsia="Times New Roman"/>
          <w:vanish/>
        </w:rPr>
        <w:t>ntCorporationsAndAgenciesSecuritiesMember2019-12-3100014252052019-12-3100014252052020-09-300001425205iova:MoffittLicenseAgreementMember2020-01-012020-09-300001425205iova:CooperativeResearchAndDevelopmentAgreementMember2011-08-012011-08-310001425205iova:Mof</w:t>
      </w:r>
      <w:r>
        <w:rPr>
          <w:rFonts w:eastAsia="Times New Roman"/>
          <w:vanish/>
        </w:rPr>
        <w:t>fittLicenseAgreementTwoMember2020-09-300001425205iova:SanCarlosCaliforniaMemberiova:FacilityLeasesMember2019-06-192019-06-1900014252052020-10-2600014252052020-01-012020-09-30xbrli:sharesutr:sqftiso4217:USDiso4217:USDxbrli:sharesxbrli:pureiova:item</w:t>
      </w:r>
    </w:p>
    <w:p w:rsidR="00000000" w:rsidRDefault="00FF2C06">
      <w:pPr>
        <w:pStyle w:val="a3"/>
        <w:spacing w:before="0" w:beforeAutospacing="0" w:after="600" w:afterAutospacing="0"/>
        <w:divId w:val="425729265"/>
        <w:rPr>
          <w:sz w:val="20"/>
          <w:szCs w:val="20"/>
        </w:rPr>
      </w:pPr>
      <w:hyperlink w:anchor="TOC" w:history="1">
        <w:r>
          <w:rPr>
            <w:rStyle w:val="a4"/>
            <w:sz w:val="20"/>
            <w:szCs w:val="20"/>
          </w:rPr>
          <w:t>Table of Contents</w:t>
        </w:r>
      </w:hyperlink>
    </w:p>
    <w:p w:rsidR="00000000" w:rsidRDefault="00FF2C06">
      <w:pPr>
        <w:pStyle w:val="a3"/>
        <w:pBdr>
          <w:top w:val="single" w:sz="24" w:space="1" w:color="000000"/>
          <w:bottom w:val="single" w:sz="8" w:space="1" w:color="000000"/>
        </w:pBdr>
        <w:spacing w:before="0" w:beforeAutospacing="0" w:after="0" w:afterAutospacing="0"/>
        <w:jc w:val="center"/>
        <w:divId w:val="204098020"/>
        <w:rPr>
          <w:sz w:val="20"/>
          <w:szCs w:val="20"/>
        </w:rPr>
      </w:pPr>
      <w:r>
        <w:rPr>
          <w:b/>
          <w:bCs/>
          <w:sz w:val="2"/>
          <w:szCs w:val="2"/>
        </w:rPr>
        <w:t>​</w:t>
      </w:r>
    </w:p>
    <w:p w:rsidR="00000000" w:rsidRDefault="00FF2C06">
      <w:pPr>
        <w:pStyle w:val="a3"/>
        <w:spacing w:before="0" w:beforeAutospacing="0" w:after="0" w:afterAutospacing="0"/>
        <w:jc w:val="center"/>
        <w:divId w:val="204098020"/>
        <w:rPr>
          <w:sz w:val="20"/>
          <w:szCs w:val="20"/>
        </w:rPr>
      </w:pPr>
      <w:r>
        <w:rPr>
          <w:b/>
          <w:bCs/>
          <w:sz w:val="12"/>
          <w:szCs w:val="12"/>
        </w:rPr>
        <w:t>​</w:t>
      </w:r>
    </w:p>
    <w:p w:rsidR="00000000" w:rsidRDefault="00FF2C06">
      <w:pPr>
        <w:pStyle w:val="a3"/>
        <w:spacing w:before="0" w:beforeAutospacing="0" w:after="0" w:afterAutospacing="0"/>
        <w:jc w:val="center"/>
        <w:divId w:val="204098020"/>
        <w:rPr>
          <w:sz w:val="20"/>
          <w:szCs w:val="20"/>
        </w:rPr>
      </w:pPr>
      <w:r>
        <w:rPr>
          <w:b/>
          <w:bCs/>
          <w:sz w:val="20"/>
          <w:szCs w:val="20"/>
        </w:rPr>
        <w:t>U. S. SECURITIES AND EXCHANGE COMMISSION</w:t>
      </w:r>
    </w:p>
    <w:p w:rsidR="00000000" w:rsidRDefault="00FF2C06">
      <w:pPr>
        <w:pStyle w:val="a3"/>
        <w:spacing w:before="0" w:beforeAutospacing="0" w:after="0" w:afterAutospacing="0"/>
        <w:jc w:val="center"/>
        <w:divId w:val="204098020"/>
        <w:rPr>
          <w:sz w:val="20"/>
          <w:szCs w:val="20"/>
        </w:rPr>
      </w:pPr>
      <w:r>
        <w:rPr>
          <w:b/>
          <w:bCs/>
          <w:sz w:val="20"/>
          <w:szCs w:val="20"/>
        </w:rPr>
        <w:t>WASHINGTON, DC 20549</w:t>
      </w:r>
    </w:p>
    <w:p w:rsidR="00000000" w:rsidRDefault="00FF2C06">
      <w:pPr>
        <w:pStyle w:val="a3"/>
        <w:spacing w:before="0" w:beforeAutospacing="0" w:after="0" w:afterAutospacing="0"/>
        <w:jc w:val="center"/>
        <w:divId w:val="204098020"/>
        <w:rPr>
          <w:sz w:val="20"/>
          <w:szCs w:val="20"/>
        </w:rPr>
      </w:pPr>
      <w:r>
        <w:rPr>
          <w:sz w:val="16"/>
          <w:szCs w:val="16"/>
        </w:rPr>
        <w:t>​</w:t>
      </w:r>
    </w:p>
    <w:p w:rsidR="00000000" w:rsidRDefault="00FF2C06">
      <w:pPr>
        <w:pStyle w:val="a3"/>
        <w:spacing w:before="0" w:beforeAutospacing="0" w:after="0" w:afterAutospacing="0"/>
        <w:jc w:val="center"/>
        <w:divId w:val="204098020"/>
        <w:rPr>
          <w:sz w:val="20"/>
          <w:szCs w:val="20"/>
        </w:rPr>
      </w:pPr>
      <w:r>
        <w:rPr>
          <w:b/>
          <w:bCs/>
          <w:sz w:val="20"/>
          <w:szCs w:val="20"/>
        </w:rPr>
        <w:t>FORM 10-Q</w:t>
      </w:r>
    </w:p>
    <w:p w:rsidR="00000000" w:rsidRDefault="00FF2C06">
      <w:pPr>
        <w:pStyle w:val="a3"/>
        <w:spacing w:before="0" w:beforeAutospacing="0" w:after="0" w:afterAutospacing="0"/>
        <w:divId w:val="204098020"/>
        <w:rPr>
          <w:sz w:val="20"/>
          <w:szCs w:val="20"/>
        </w:rPr>
      </w:pPr>
      <w:r>
        <w:rPr>
          <w:sz w:val="12"/>
          <w:szCs w:val="12"/>
        </w:rPr>
        <w:t>​</w:t>
      </w:r>
    </w:p>
    <w:tbl>
      <w:tblPr>
        <w:tblW w:w="0" w:type="auto"/>
        <w:tblCellMar>
          <w:top w:w="15" w:type="dxa"/>
          <w:left w:w="15" w:type="dxa"/>
          <w:bottom w:w="15" w:type="dxa"/>
          <w:right w:w="15" w:type="dxa"/>
        </w:tblCellMar>
        <w:tblLook w:val="04A0" w:firstRow="1" w:lastRow="0" w:firstColumn="1" w:lastColumn="0" w:noHBand="0" w:noVBand="1"/>
      </w:tblPr>
      <w:tblGrid>
        <w:gridCol w:w="736"/>
        <w:gridCol w:w="7570"/>
      </w:tblGrid>
      <w:tr w:rsidR="00000000">
        <w:trPr>
          <w:divId w:val="204098020"/>
        </w:trPr>
        <w:tc>
          <w:tcPr>
            <w:tcW w:w="720" w:type="dxa"/>
            <w:noWrap/>
            <w:tcMar>
              <w:top w:w="0" w:type="dxa"/>
              <w:left w:w="0" w:type="dxa"/>
              <w:bottom w:w="0" w:type="dxa"/>
              <w:right w:w="0" w:type="dxa"/>
            </w:tcMar>
            <w:hideMark/>
          </w:tcPr>
          <w:p w:rsidR="00000000" w:rsidRDefault="00FF2C06">
            <w:pPr>
              <w:pStyle w:val="a3"/>
              <w:spacing w:before="0" w:beforeAutospacing="0" w:after="0" w:afterAutospacing="0"/>
              <w:rPr>
                <w:sz w:val="20"/>
                <w:szCs w:val="20"/>
              </w:rPr>
            </w:pPr>
            <w:r>
              <w:rPr>
                <w:rFonts w:ascii="Segoe UI Symbol" w:hAnsi="Segoe UI Symbol"/>
                <w:sz w:val="20"/>
                <w:szCs w:val="20"/>
              </w:rPr>
              <w:t>☑</w:t>
            </w:r>
          </w:p>
        </w:tc>
        <w:tc>
          <w:tcPr>
            <w:tcW w:w="0" w:type="auto"/>
            <w:tcMar>
              <w:top w:w="0" w:type="dxa"/>
              <w:left w:w="0" w:type="dxa"/>
              <w:bottom w:w="0" w:type="dxa"/>
              <w:right w:w="0" w:type="dxa"/>
            </w:tcMar>
            <w:vAlign w:val="center"/>
            <w:hideMark/>
          </w:tcPr>
          <w:p w:rsidR="00000000" w:rsidRDefault="00FF2C06">
            <w:pPr>
              <w:pStyle w:val="a3"/>
              <w:spacing w:before="0" w:beforeAutospacing="0" w:after="0" w:afterAutospacing="0"/>
              <w:rPr>
                <w:sz w:val="20"/>
                <w:szCs w:val="20"/>
              </w:rPr>
            </w:pPr>
            <w:r>
              <w:rPr>
                <w:sz w:val="20"/>
                <w:szCs w:val="20"/>
              </w:rPr>
              <w:t>QUARTERLY REPORT PURSUANT TO SECTION 13 OR 15(d) OF THE SECURITIES EXCHANGE ACT OF 1934</w:t>
            </w:r>
          </w:p>
        </w:tc>
      </w:tr>
    </w:tbl>
    <w:p w:rsidR="00000000" w:rsidRDefault="00FF2C06">
      <w:pPr>
        <w:pStyle w:val="a3"/>
        <w:spacing w:before="0" w:beforeAutospacing="0" w:after="0" w:afterAutospacing="0"/>
        <w:jc w:val="center"/>
        <w:divId w:val="204098020"/>
        <w:rPr>
          <w:sz w:val="20"/>
          <w:szCs w:val="20"/>
        </w:rPr>
      </w:pPr>
      <w:r>
        <w:rPr>
          <w:sz w:val="20"/>
          <w:szCs w:val="20"/>
        </w:rPr>
        <w:t xml:space="preserve">For the quarterly period ended </w:t>
      </w:r>
      <w:r>
        <w:rPr>
          <w:b/>
          <w:bCs/>
          <w:sz w:val="20"/>
          <w:szCs w:val="20"/>
        </w:rPr>
        <w:t>September 30, 2020</w:t>
      </w:r>
    </w:p>
    <w:p w:rsidR="00000000" w:rsidRDefault="00FF2C06">
      <w:pPr>
        <w:pStyle w:val="a3"/>
        <w:spacing w:before="0" w:beforeAutospacing="0" w:after="0" w:afterAutospacing="0"/>
        <w:divId w:val="204098020"/>
        <w:rPr>
          <w:sz w:val="20"/>
          <w:szCs w:val="20"/>
        </w:rPr>
      </w:pPr>
      <w:r>
        <w:rPr>
          <w:sz w:val="12"/>
          <w:szCs w:val="12"/>
        </w:rPr>
        <w:t>​</w:t>
      </w:r>
    </w:p>
    <w:tbl>
      <w:tblPr>
        <w:tblW w:w="0" w:type="auto"/>
        <w:tblCellMar>
          <w:top w:w="15" w:type="dxa"/>
          <w:left w:w="15" w:type="dxa"/>
          <w:bottom w:w="15" w:type="dxa"/>
          <w:right w:w="15" w:type="dxa"/>
        </w:tblCellMar>
        <w:tblLook w:val="04A0" w:firstRow="1" w:lastRow="0" w:firstColumn="1" w:lastColumn="0" w:noHBand="0" w:noVBand="1"/>
      </w:tblPr>
      <w:tblGrid>
        <w:gridCol w:w="736"/>
        <w:gridCol w:w="7570"/>
      </w:tblGrid>
      <w:tr w:rsidR="00000000">
        <w:trPr>
          <w:divId w:val="204098020"/>
        </w:trPr>
        <w:tc>
          <w:tcPr>
            <w:tcW w:w="720" w:type="dxa"/>
            <w:noWrap/>
            <w:tcMar>
              <w:top w:w="0" w:type="dxa"/>
              <w:left w:w="0" w:type="dxa"/>
              <w:bottom w:w="0" w:type="dxa"/>
              <w:right w:w="0" w:type="dxa"/>
            </w:tcMar>
            <w:hideMark/>
          </w:tcPr>
          <w:p w:rsidR="00000000" w:rsidRDefault="00FF2C06">
            <w:pPr>
              <w:pStyle w:val="a3"/>
              <w:spacing w:before="0" w:beforeAutospacing="0" w:after="0" w:afterAutospacing="0"/>
              <w:rPr>
                <w:sz w:val="20"/>
                <w:szCs w:val="20"/>
              </w:rPr>
            </w:pPr>
            <w:r>
              <w:rPr>
                <w:rFonts w:ascii="Segoe UI Symbol" w:hAnsi="Segoe UI Symbol"/>
                <w:sz w:val="20"/>
                <w:szCs w:val="20"/>
              </w:rPr>
              <w:t>☐</w:t>
            </w:r>
          </w:p>
        </w:tc>
        <w:tc>
          <w:tcPr>
            <w:tcW w:w="0" w:type="auto"/>
            <w:tcMar>
              <w:top w:w="0" w:type="dxa"/>
              <w:left w:w="0" w:type="dxa"/>
              <w:bottom w:w="0" w:type="dxa"/>
              <w:right w:w="0" w:type="dxa"/>
            </w:tcMar>
            <w:vAlign w:val="center"/>
            <w:hideMark/>
          </w:tcPr>
          <w:p w:rsidR="00000000" w:rsidRDefault="00FF2C06">
            <w:pPr>
              <w:pStyle w:val="a3"/>
              <w:spacing w:before="0" w:beforeAutospacing="0" w:after="0" w:afterAutospacing="0"/>
              <w:rPr>
                <w:sz w:val="20"/>
                <w:szCs w:val="20"/>
              </w:rPr>
            </w:pPr>
            <w:r>
              <w:rPr>
                <w:sz w:val="20"/>
                <w:szCs w:val="20"/>
              </w:rPr>
              <w:t>TRANSITION REPORT PURSUANT TO SECTION 13 OR 15(d) OF THE SECURITIES EXCHANGE ACT OF 1934</w:t>
            </w:r>
          </w:p>
        </w:tc>
      </w:tr>
    </w:tbl>
    <w:p w:rsidR="00000000" w:rsidRDefault="00FF2C06">
      <w:pPr>
        <w:pStyle w:val="a3"/>
        <w:spacing w:before="0" w:beforeAutospacing="0" w:after="0" w:afterAutospacing="0"/>
        <w:jc w:val="center"/>
        <w:divId w:val="204098020"/>
        <w:rPr>
          <w:sz w:val="20"/>
          <w:szCs w:val="20"/>
        </w:rPr>
      </w:pPr>
      <w:r>
        <w:rPr>
          <w:sz w:val="20"/>
          <w:szCs w:val="20"/>
        </w:rPr>
        <w:t>For the transition period from</w:t>
      </w:r>
      <w:r>
        <w:rPr>
          <w:sz w:val="20"/>
          <w:szCs w:val="20"/>
        </w:rPr>
        <w:t xml:space="preserve"> </w:t>
      </w:r>
      <w:r>
        <w:rPr>
          <w:sz w:val="20"/>
          <w:szCs w:val="20"/>
          <w:u w:val="single"/>
        </w:rPr>
        <w:t>  </w:t>
      </w:r>
      <w:r>
        <w:rPr>
          <w:sz w:val="20"/>
          <w:szCs w:val="20"/>
          <w:u w:val="single"/>
        </w:rPr>
        <w:t> </w:t>
      </w:r>
      <w:r>
        <w:rPr>
          <w:sz w:val="20"/>
          <w:szCs w:val="20"/>
        </w:rPr>
        <w:t xml:space="preserve"> to</w:t>
      </w:r>
      <w:r>
        <w:rPr>
          <w:sz w:val="20"/>
          <w:szCs w:val="20"/>
        </w:rPr>
        <w:t xml:space="preserve"> </w:t>
      </w:r>
      <w:r>
        <w:rPr>
          <w:sz w:val="20"/>
          <w:szCs w:val="20"/>
          <w:u w:val="single"/>
        </w:rPr>
        <w:t>  </w:t>
      </w:r>
      <w:r>
        <w:rPr>
          <w:sz w:val="20"/>
          <w:szCs w:val="20"/>
          <w:u w:val="single"/>
        </w:rPr>
        <w:t> </w:t>
      </w:r>
      <w:r>
        <w:rPr>
          <w:sz w:val="20"/>
          <w:szCs w:val="20"/>
        </w:rPr>
        <w:t>.</w:t>
      </w:r>
    </w:p>
    <w:p w:rsidR="00000000" w:rsidRDefault="00FF2C06">
      <w:pPr>
        <w:pStyle w:val="a3"/>
        <w:spacing w:before="0" w:beforeAutospacing="0" w:after="0" w:afterAutospacing="0"/>
        <w:jc w:val="center"/>
        <w:divId w:val="204098020"/>
        <w:rPr>
          <w:sz w:val="20"/>
          <w:szCs w:val="20"/>
        </w:rPr>
      </w:pPr>
      <w:r>
        <w:rPr>
          <w:sz w:val="12"/>
          <w:szCs w:val="12"/>
        </w:rPr>
        <w:t>​</w:t>
      </w:r>
    </w:p>
    <w:p w:rsidR="00000000" w:rsidRDefault="00FF2C06">
      <w:pPr>
        <w:pStyle w:val="a3"/>
        <w:spacing w:before="0" w:beforeAutospacing="0" w:after="0" w:afterAutospacing="0"/>
        <w:jc w:val="center"/>
        <w:divId w:val="204098020"/>
        <w:rPr>
          <w:sz w:val="20"/>
          <w:szCs w:val="20"/>
        </w:rPr>
      </w:pPr>
      <w:r>
        <w:rPr>
          <w:sz w:val="20"/>
          <w:szCs w:val="20"/>
        </w:rPr>
        <w:t>Commission File Number 001-36860</w:t>
      </w:r>
    </w:p>
    <w:p w:rsidR="00000000" w:rsidRDefault="00FF2C06">
      <w:pPr>
        <w:pStyle w:val="a3"/>
        <w:spacing w:before="0" w:beforeAutospacing="0" w:after="0" w:afterAutospacing="0"/>
        <w:jc w:val="center"/>
        <w:divId w:val="204098020"/>
        <w:rPr>
          <w:sz w:val="20"/>
          <w:szCs w:val="20"/>
        </w:rPr>
      </w:pPr>
      <w:r>
        <w:rPr>
          <w:sz w:val="12"/>
          <w:szCs w:val="12"/>
        </w:rPr>
        <w:t>​</w:t>
      </w:r>
    </w:p>
    <w:p w:rsidR="00000000" w:rsidRDefault="00FF2C06">
      <w:pPr>
        <w:pStyle w:val="a3"/>
        <w:spacing w:before="0" w:beforeAutospacing="0" w:after="0" w:afterAutospacing="0"/>
        <w:jc w:val="center"/>
        <w:divId w:val="204098020"/>
        <w:rPr>
          <w:sz w:val="28"/>
          <w:szCs w:val="28"/>
        </w:rPr>
      </w:pPr>
      <w:r>
        <w:rPr>
          <w:b/>
          <w:bCs/>
          <w:sz w:val="28"/>
          <w:szCs w:val="28"/>
        </w:rPr>
        <w:t>IOVANCE BIOTHERAPEUTICS, INC.</w:t>
      </w:r>
    </w:p>
    <w:p w:rsidR="00000000" w:rsidRDefault="00FF2C06">
      <w:pPr>
        <w:pStyle w:val="a3"/>
        <w:spacing w:before="0" w:beforeAutospacing="0" w:after="0" w:afterAutospacing="0"/>
        <w:jc w:val="center"/>
        <w:divId w:val="204098020"/>
        <w:rPr>
          <w:sz w:val="20"/>
          <w:szCs w:val="20"/>
        </w:rPr>
      </w:pPr>
      <w:r>
        <w:rPr>
          <w:sz w:val="20"/>
          <w:szCs w:val="20"/>
        </w:rPr>
        <w:t>(Exact name of issuer as specified in its charter)</w:t>
      </w:r>
    </w:p>
    <w:p w:rsidR="00000000" w:rsidRDefault="00FF2C06">
      <w:pPr>
        <w:pStyle w:val="a3"/>
        <w:spacing w:before="0" w:beforeAutospacing="0" w:after="0" w:afterAutospacing="0"/>
        <w:jc w:val="center"/>
        <w:divId w:val="204098020"/>
        <w:rPr>
          <w:sz w:val="20"/>
          <w:szCs w:val="20"/>
        </w:rPr>
      </w:pPr>
      <w:r>
        <w:rPr>
          <w:sz w:val="12"/>
          <w:szCs w:val="12"/>
        </w:rPr>
        <w:t>​</w:t>
      </w:r>
    </w:p>
    <w:tbl>
      <w:tblPr>
        <w:tblW w:w="4994" w:type="pct"/>
        <w:tblCellMar>
          <w:top w:w="15" w:type="dxa"/>
          <w:left w:w="15" w:type="dxa"/>
          <w:bottom w:w="15" w:type="dxa"/>
          <w:right w:w="15" w:type="dxa"/>
        </w:tblCellMar>
        <w:tblLook w:val="04A0" w:firstRow="1" w:lastRow="0" w:firstColumn="1" w:lastColumn="0" w:noHBand="0" w:noVBand="1"/>
      </w:tblPr>
      <w:tblGrid>
        <w:gridCol w:w="4146"/>
        <w:gridCol w:w="4150"/>
      </w:tblGrid>
      <w:tr w:rsidR="00000000">
        <w:trPr>
          <w:divId w:val="204098020"/>
          <w:trHeight w:val="20"/>
        </w:trPr>
        <w:tc>
          <w:tcPr>
            <w:tcW w:w="2499" w:type="pct"/>
            <w:tcMar>
              <w:top w:w="0" w:type="dxa"/>
              <w:left w:w="108" w:type="dxa"/>
              <w:bottom w:w="0" w:type="dxa"/>
              <w:right w:w="108" w:type="dxa"/>
            </w:tcMar>
            <w:hideMark/>
          </w:tcPr>
          <w:p w:rsidR="00000000" w:rsidRDefault="00FF2C06">
            <w:pPr>
              <w:pStyle w:val="a3"/>
              <w:spacing w:before="0" w:beforeAutospacing="0" w:after="0" w:afterAutospacing="0"/>
              <w:divId w:val="275525076"/>
              <w:rPr>
                <w:sz w:val="20"/>
                <w:szCs w:val="20"/>
              </w:rPr>
            </w:pPr>
            <w:r>
              <w:rPr>
                <w:sz w:val="2"/>
                <w:szCs w:val="2"/>
              </w:rPr>
              <w:t>​</w:t>
            </w:r>
          </w:p>
        </w:tc>
        <w:tc>
          <w:tcPr>
            <w:tcW w:w="2500" w:type="pct"/>
            <w:tcMar>
              <w:top w:w="0" w:type="dxa"/>
              <w:left w:w="108" w:type="dxa"/>
              <w:bottom w:w="0" w:type="dxa"/>
              <w:right w:w="108" w:type="dxa"/>
            </w:tcMar>
            <w:hideMark/>
          </w:tcPr>
          <w:p w:rsidR="00000000" w:rsidRDefault="00FF2C06">
            <w:pPr>
              <w:pStyle w:val="a3"/>
              <w:spacing w:before="0" w:beforeAutospacing="0" w:after="0" w:afterAutospacing="0"/>
              <w:divId w:val="2050959054"/>
              <w:rPr>
                <w:sz w:val="20"/>
                <w:szCs w:val="20"/>
              </w:rPr>
            </w:pPr>
            <w:r>
              <w:rPr>
                <w:sz w:val="2"/>
                <w:szCs w:val="2"/>
              </w:rPr>
              <w:t>​</w:t>
            </w:r>
          </w:p>
        </w:tc>
      </w:tr>
      <w:tr w:rsidR="00000000">
        <w:trPr>
          <w:divId w:val="204098020"/>
        </w:trPr>
        <w:tc>
          <w:tcPr>
            <w:tcW w:w="2499" w:type="pct"/>
            <w:tcMar>
              <w:top w:w="0" w:type="dxa"/>
              <w:left w:w="108" w:type="dxa"/>
              <w:bottom w:w="0" w:type="dxa"/>
              <w:right w:w="108" w:type="dxa"/>
            </w:tcMar>
            <w:hideMark/>
          </w:tcPr>
          <w:p w:rsidR="00000000" w:rsidRDefault="00FF2C06">
            <w:pPr>
              <w:pStyle w:val="a3"/>
              <w:spacing w:before="0" w:beforeAutospacing="0" w:after="0" w:afterAutospacing="0"/>
              <w:jc w:val="center"/>
              <w:rPr>
                <w:sz w:val="20"/>
                <w:szCs w:val="20"/>
              </w:rPr>
            </w:pPr>
            <w:r>
              <w:rPr>
                <w:sz w:val="20"/>
                <w:szCs w:val="20"/>
              </w:rPr>
              <w:t>Delaware</w:t>
            </w:r>
          </w:p>
        </w:tc>
        <w:tc>
          <w:tcPr>
            <w:tcW w:w="2500" w:type="pct"/>
            <w:tcMar>
              <w:top w:w="0" w:type="dxa"/>
              <w:left w:w="108" w:type="dxa"/>
              <w:bottom w:w="0" w:type="dxa"/>
              <w:right w:w="108" w:type="dxa"/>
            </w:tcMar>
            <w:hideMark/>
          </w:tcPr>
          <w:p w:rsidR="00000000" w:rsidRDefault="00FF2C06">
            <w:pPr>
              <w:pStyle w:val="a3"/>
              <w:spacing w:before="0" w:beforeAutospacing="0" w:after="0" w:afterAutospacing="0"/>
              <w:jc w:val="center"/>
              <w:rPr>
                <w:sz w:val="20"/>
                <w:szCs w:val="20"/>
              </w:rPr>
            </w:pPr>
            <w:r>
              <w:rPr>
                <w:sz w:val="20"/>
                <w:szCs w:val="20"/>
              </w:rPr>
              <w:t>75-3254381</w:t>
            </w:r>
          </w:p>
        </w:tc>
      </w:tr>
      <w:tr w:rsidR="00000000">
        <w:trPr>
          <w:divId w:val="204098020"/>
        </w:trPr>
        <w:tc>
          <w:tcPr>
            <w:tcW w:w="2499" w:type="pct"/>
            <w:tcMar>
              <w:top w:w="0" w:type="dxa"/>
              <w:left w:w="108" w:type="dxa"/>
              <w:bottom w:w="0" w:type="dxa"/>
              <w:right w:w="108" w:type="dxa"/>
            </w:tcMar>
            <w:hideMark/>
          </w:tcPr>
          <w:p w:rsidR="00000000" w:rsidRDefault="00FF2C06">
            <w:pPr>
              <w:pStyle w:val="a3"/>
              <w:spacing w:before="0" w:beforeAutospacing="0" w:after="0" w:afterAutospacing="0"/>
              <w:jc w:val="center"/>
              <w:rPr>
                <w:sz w:val="20"/>
                <w:szCs w:val="20"/>
              </w:rPr>
            </w:pPr>
            <w:r>
              <w:rPr>
                <w:sz w:val="20"/>
                <w:szCs w:val="20"/>
              </w:rPr>
              <w:t>(State or other jurisdiction of</w:t>
            </w:r>
          </w:p>
        </w:tc>
        <w:tc>
          <w:tcPr>
            <w:tcW w:w="2500" w:type="pct"/>
            <w:tcMar>
              <w:top w:w="0" w:type="dxa"/>
              <w:left w:w="108" w:type="dxa"/>
              <w:bottom w:w="0" w:type="dxa"/>
              <w:right w:w="108" w:type="dxa"/>
            </w:tcMar>
            <w:hideMark/>
          </w:tcPr>
          <w:p w:rsidR="00000000" w:rsidRDefault="00FF2C06">
            <w:pPr>
              <w:pStyle w:val="a3"/>
              <w:spacing w:before="0" w:beforeAutospacing="0" w:after="0" w:afterAutospacing="0"/>
              <w:jc w:val="center"/>
              <w:rPr>
                <w:sz w:val="20"/>
                <w:szCs w:val="20"/>
              </w:rPr>
            </w:pPr>
            <w:r>
              <w:rPr>
                <w:sz w:val="20"/>
                <w:szCs w:val="20"/>
              </w:rPr>
              <w:t>(I.R.S. employer</w:t>
            </w:r>
          </w:p>
        </w:tc>
      </w:tr>
      <w:tr w:rsidR="00000000">
        <w:trPr>
          <w:divId w:val="204098020"/>
        </w:trPr>
        <w:tc>
          <w:tcPr>
            <w:tcW w:w="2499" w:type="pct"/>
            <w:tcMar>
              <w:top w:w="0" w:type="dxa"/>
              <w:left w:w="108" w:type="dxa"/>
              <w:bottom w:w="0" w:type="dxa"/>
              <w:right w:w="108" w:type="dxa"/>
            </w:tcMar>
            <w:hideMark/>
          </w:tcPr>
          <w:p w:rsidR="00000000" w:rsidRDefault="00FF2C06">
            <w:pPr>
              <w:pStyle w:val="a3"/>
              <w:spacing w:before="0" w:beforeAutospacing="0" w:after="0" w:afterAutospacing="0"/>
              <w:jc w:val="center"/>
              <w:rPr>
                <w:sz w:val="20"/>
                <w:szCs w:val="20"/>
              </w:rPr>
            </w:pPr>
            <w:r>
              <w:rPr>
                <w:sz w:val="20"/>
                <w:szCs w:val="20"/>
              </w:rPr>
              <w:t>incorporation or organization)</w:t>
            </w:r>
          </w:p>
        </w:tc>
        <w:tc>
          <w:tcPr>
            <w:tcW w:w="2500" w:type="pct"/>
            <w:tcMar>
              <w:top w:w="0" w:type="dxa"/>
              <w:left w:w="108" w:type="dxa"/>
              <w:bottom w:w="0" w:type="dxa"/>
              <w:right w:w="108" w:type="dxa"/>
            </w:tcMar>
            <w:hideMark/>
          </w:tcPr>
          <w:p w:rsidR="00000000" w:rsidRDefault="00FF2C06">
            <w:pPr>
              <w:pStyle w:val="a3"/>
              <w:spacing w:before="0" w:beforeAutospacing="0" w:after="0" w:afterAutospacing="0"/>
              <w:jc w:val="center"/>
              <w:rPr>
                <w:sz w:val="20"/>
                <w:szCs w:val="20"/>
              </w:rPr>
            </w:pPr>
            <w:r>
              <w:rPr>
                <w:sz w:val="20"/>
                <w:szCs w:val="20"/>
              </w:rPr>
              <w:t>identification number)</w:t>
            </w:r>
          </w:p>
        </w:tc>
      </w:tr>
    </w:tbl>
    <w:p w:rsidR="00000000" w:rsidRDefault="00FF2C06">
      <w:pPr>
        <w:pStyle w:val="a3"/>
        <w:spacing w:before="0" w:beforeAutospacing="0" w:after="0" w:afterAutospacing="0"/>
        <w:divId w:val="204098020"/>
        <w:rPr>
          <w:sz w:val="20"/>
          <w:szCs w:val="20"/>
        </w:rPr>
      </w:pPr>
      <w:r>
        <w:rPr>
          <w:sz w:val="12"/>
          <w:szCs w:val="12"/>
        </w:rPr>
        <w:t>​</w:t>
      </w:r>
    </w:p>
    <w:p w:rsidR="00000000" w:rsidRDefault="00FF2C06">
      <w:pPr>
        <w:pStyle w:val="a3"/>
        <w:spacing w:before="0" w:beforeAutospacing="0" w:after="0" w:afterAutospacing="0"/>
        <w:jc w:val="center"/>
        <w:divId w:val="204098020"/>
        <w:rPr>
          <w:sz w:val="20"/>
          <w:szCs w:val="20"/>
        </w:rPr>
      </w:pPr>
      <w:r>
        <w:rPr>
          <w:sz w:val="20"/>
          <w:szCs w:val="20"/>
          <w:u w:val="single"/>
        </w:rPr>
        <w:t>999 Skyway Road, Suite 15</w:t>
      </w:r>
      <w:r>
        <w:rPr>
          <w:sz w:val="20"/>
          <w:szCs w:val="20"/>
          <w:u w:val="single"/>
        </w:rPr>
        <w:t>0</w:t>
      </w:r>
      <w:r>
        <w:rPr>
          <w:sz w:val="20"/>
          <w:szCs w:val="20"/>
          <w:u w:val="single"/>
        </w:rPr>
        <w:t>,</w:t>
      </w:r>
      <w:r>
        <w:rPr>
          <w:sz w:val="20"/>
          <w:szCs w:val="20"/>
          <w:u w:val="single"/>
        </w:rPr>
        <w:t xml:space="preserve"> </w:t>
      </w:r>
      <w:r>
        <w:rPr>
          <w:sz w:val="20"/>
          <w:szCs w:val="20"/>
          <w:u w:val="single"/>
        </w:rPr>
        <w:t>San Carlo</w:t>
      </w:r>
      <w:r>
        <w:rPr>
          <w:sz w:val="20"/>
          <w:szCs w:val="20"/>
          <w:u w:val="single"/>
        </w:rPr>
        <w:t>s</w:t>
      </w:r>
      <w:r>
        <w:rPr>
          <w:sz w:val="20"/>
          <w:szCs w:val="20"/>
          <w:u w:val="single"/>
        </w:rPr>
        <w:t>,</w:t>
      </w:r>
      <w:r>
        <w:rPr>
          <w:sz w:val="20"/>
          <w:szCs w:val="20"/>
          <w:u w:val="single"/>
        </w:rPr>
        <w:t xml:space="preserve"> </w:t>
      </w:r>
      <w:r>
        <w:rPr>
          <w:sz w:val="20"/>
          <w:szCs w:val="20"/>
          <w:u w:val="single"/>
        </w:rPr>
        <w:t>C</w:t>
      </w:r>
      <w:r>
        <w:rPr>
          <w:sz w:val="20"/>
          <w:szCs w:val="20"/>
          <w:u w:val="single"/>
        </w:rPr>
        <w:t>A</w:t>
      </w:r>
      <w:r>
        <w:rPr>
          <w:sz w:val="20"/>
          <w:szCs w:val="20"/>
          <w:u w:val="single"/>
        </w:rPr>
        <w:t xml:space="preserve"> </w:t>
      </w:r>
      <w:r>
        <w:rPr>
          <w:sz w:val="20"/>
          <w:szCs w:val="20"/>
          <w:u w:val="single"/>
        </w:rPr>
        <w:t>9407</w:t>
      </w:r>
      <w:r>
        <w:rPr>
          <w:sz w:val="20"/>
          <w:szCs w:val="20"/>
          <w:u w:val="single"/>
        </w:rPr>
        <w:t>0</w:t>
      </w:r>
    </w:p>
    <w:p w:rsidR="00000000" w:rsidRDefault="00FF2C06">
      <w:pPr>
        <w:pStyle w:val="a3"/>
        <w:spacing w:before="0" w:beforeAutospacing="0" w:after="0" w:afterAutospacing="0"/>
        <w:jc w:val="center"/>
        <w:divId w:val="204098020"/>
        <w:rPr>
          <w:sz w:val="20"/>
          <w:szCs w:val="20"/>
        </w:rPr>
      </w:pPr>
      <w:r>
        <w:rPr>
          <w:sz w:val="20"/>
          <w:szCs w:val="20"/>
        </w:rPr>
        <w:t>(Address of principal executive offices and zip code)</w:t>
      </w:r>
    </w:p>
    <w:p w:rsidR="00000000" w:rsidRDefault="00FF2C06">
      <w:pPr>
        <w:pStyle w:val="a3"/>
        <w:spacing w:before="0" w:beforeAutospacing="0" w:after="0" w:afterAutospacing="0"/>
        <w:jc w:val="center"/>
        <w:divId w:val="204098020"/>
        <w:rPr>
          <w:sz w:val="20"/>
          <w:szCs w:val="20"/>
        </w:rPr>
      </w:pPr>
      <w:r>
        <w:rPr>
          <w:sz w:val="12"/>
          <w:szCs w:val="12"/>
        </w:rPr>
        <w:t>​</w:t>
      </w:r>
    </w:p>
    <w:p w:rsidR="00000000" w:rsidRDefault="00FF2C06">
      <w:pPr>
        <w:pStyle w:val="a3"/>
        <w:spacing w:before="0" w:beforeAutospacing="0" w:after="0" w:afterAutospacing="0"/>
        <w:jc w:val="center"/>
        <w:divId w:val="204098020"/>
        <w:rPr>
          <w:sz w:val="20"/>
          <w:szCs w:val="20"/>
        </w:rPr>
      </w:pPr>
      <w:r>
        <w:rPr>
          <w:sz w:val="20"/>
          <w:szCs w:val="20"/>
          <w:u w:val="single"/>
        </w:rPr>
        <w:t>(</w:t>
      </w:r>
      <w:r>
        <w:rPr>
          <w:sz w:val="20"/>
          <w:szCs w:val="20"/>
          <w:u w:val="single"/>
        </w:rPr>
        <w:t>65</w:t>
      </w:r>
      <w:r>
        <w:rPr>
          <w:sz w:val="20"/>
          <w:szCs w:val="20"/>
          <w:u w:val="single"/>
        </w:rPr>
        <w:t>0</w:t>
      </w:r>
      <w:r>
        <w:rPr>
          <w:sz w:val="20"/>
          <w:szCs w:val="20"/>
          <w:u w:val="single"/>
        </w:rPr>
        <w:t>)</w:t>
      </w:r>
      <w:r>
        <w:rPr>
          <w:sz w:val="20"/>
          <w:szCs w:val="20"/>
          <w:u w:val="single"/>
        </w:rPr>
        <w:t xml:space="preserve"> </w:t>
      </w:r>
      <w:r>
        <w:rPr>
          <w:sz w:val="20"/>
          <w:szCs w:val="20"/>
          <w:u w:val="single"/>
        </w:rPr>
        <w:t>260-712</w:t>
      </w:r>
      <w:r>
        <w:rPr>
          <w:sz w:val="20"/>
          <w:szCs w:val="20"/>
          <w:u w:val="single"/>
        </w:rPr>
        <w:t>0</w:t>
      </w:r>
    </w:p>
    <w:p w:rsidR="00000000" w:rsidRDefault="00FF2C06">
      <w:pPr>
        <w:pStyle w:val="a3"/>
        <w:spacing w:before="0" w:beforeAutospacing="0" w:after="0" w:afterAutospacing="0"/>
        <w:jc w:val="center"/>
        <w:divId w:val="204098020"/>
        <w:rPr>
          <w:sz w:val="20"/>
          <w:szCs w:val="20"/>
        </w:rPr>
      </w:pPr>
      <w:r>
        <w:rPr>
          <w:sz w:val="20"/>
          <w:szCs w:val="20"/>
        </w:rPr>
        <w:t>(Registrant’s telephone number, including area code)</w:t>
      </w:r>
    </w:p>
    <w:p w:rsidR="00000000" w:rsidRDefault="00FF2C06">
      <w:pPr>
        <w:pStyle w:val="a3"/>
        <w:spacing w:before="0" w:beforeAutospacing="0" w:after="0" w:afterAutospacing="0"/>
        <w:jc w:val="center"/>
        <w:divId w:val="204098020"/>
        <w:rPr>
          <w:sz w:val="20"/>
          <w:szCs w:val="20"/>
        </w:rPr>
      </w:pPr>
      <w:r>
        <w:rPr>
          <w:sz w:val="12"/>
          <w:szCs w:val="12"/>
        </w:rPr>
        <w:t>​</w:t>
      </w:r>
    </w:p>
    <w:p w:rsidR="00000000" w:rsidRDefault="00FF2C06">
      <w:pPr>
        <w:pStyle w:val="a3"/>
        <w:spacing w:before="0" w:beforeAutospacing="0" w:after="0" w:afterAutospacing="0"/>
        <w:ind w:firstLine="720"/>
        <w:divId w:val="204098020"/>
        <w:rPr>
          <w:sz w:val="20"/>
          <w:szCs w:val="20"/>
        </w:rPr>
      </w:pPr>
      <w:r>
        <w:rPr>
          <w:sz w:val="20"/>
          <w:szCs w:val="20"/>
        </w:rPr>
        <w:t>Indicate by check mark whether the registrant (1) has filed all reports required to be filed by Section 13 or 15(d) of the Securit</w:t>
      </w:r>
      <w:r>
        <w:rPr>
          <w:sz w:val="20"/>
          <w:szCs w:val="20"/>
        </w:rPr>
        <w:t xml:space="preserve">ies Exchange Act of 1934 during the preceding 12 months (or for such shorter period that the registrant was required to file such reports), and (2) has been subject to such filing requirements for the past 90 days. </w:t>
      </w:r>
    </w:p>
    <w:p w:rsidR="00000000" w:rsidRDefault="00FF2C06">
      <w:pPr>
        <w:pStyle w:val="a3"/>
        <w:spacing w:before="0" w:beforeAutospacing="0" w:after="0" w:afterAutospacing="0"/>
        <w:ind w:firstLine="720"/>
        <w:divId w:val="204098020"/>
        <w:rPr>
          <w:sz w:val="20"/>
          <w:szCs w:val="20"/>
        </w:rPr>
      </w:pPr>
      <w:r>
        <w:rPr>
          <w:sz w:val="12"/>
          <w:szCs w:val="12"/>
        </w:rPr>
        <w:t>​</w:t>
      </w:r>
    </w:p>
    <w:p w:rsidR="00000000" w:rsidRDefault="00FF2C06">
      <w:pPr>
        <w:pStyle w:val="a3"/>
        <w:spacing w:before="0" w:beforeAutospacing="0" w:after="0" w:afterAutospacing="0"/>
        <w:jc w:val="right"/>
        <w:divId w:val="204098020"/>
        <w:rPr>
          <w:sz w:val="20"/>
          <w:szCs w:val="20"/>
        </w:rPr>
      </w:pPr>
      <w:r>
        <w:rPr>
          <w:sz w:val="20"/>
          <w:szCs w:val="20"/>
        </w:rPr>
        <w:t xml:space="preserve">Yes </w:t>
      </w:r>
      <w:r>
        <w:rPr>
          <w:rFonts w:ascii="Wingdings" w:hAnsi="Wingdings"/>
          <w:sz w:val="20"/>
          <w:szCs w:val="20"/>
        </w:rPr>
        <w:t>þ</w:t>
      </w:r>
      <w:r>
        <w:rPr>
          <w:sz w:val="20"/>
          <w:szCs w:val="20"/>
        </w:rPr>
        <w:t xml:space="preserve"> No </w:t>
      </w:r>
      <w:r>
        <w:rPr>
          <w:rFonts w:ascii="Segoe UI Emoji" w:hAnsi="Segoe UI Emoji" w:cs="Segoe UI Emoji"/>
          <w:sz w:val="20"/>
          <w:szCs w:val="20"/>
        </w:rPr>
        <w:t>◻</w:t>
      </w:r>
    </w:p>
    <w:p w:rsidR="00000000" w:rsidRDefault="00FF2C06">
      <w:pPr>
        <w:pStyle w:val="a3"/>
        <w:spacing w:before="0" w:beforeAutospacing="0" w:after="0" w:afterAutospacing="0"/>
        <w:divId w:val="204098020"/>
        <w:rPr>
          <w:sz w:val="20"/>
          <w:szCs w:val="20"/>
        </w:rPr>
      </w:pPr>
      <w:r>
        <w:rPr>
          <w:sz w:val="12"/>
          <w:szCs w:val="12"/>
        </w:rPr>
        <w:t>​</w:t>
      </w:r>
    </w:p>
    <w:p w:rsidR="00000000" w:rsidRDefault="00FF2C06">
      <w:pPr>
        <w:pStyle w:val="a3"/>
        <w:spacing w:before="0" w:beforeAutospacing="0" w:after="0" w:afterAutospacing="0"/>
        <w:ind w:firstLine="720"/>
        <w:divId w:val="204098020"/>
        <w:rPr>
          <w:sz w:val="20"/>
          <w:szCs w:val="20"/>
        </w:rPr>
      </w:pPr>
      <w:r>
        <w:rPr>
          <w:sz w:val="20"/>
          <w:szCs w:val="20"/>
        </w:rPr>
        <w:t>Indicate by check mark wh</w:t>
      </w:r>
      <w:r>
        <w:rPr>
          <w:sz w:val="20"/>
          <w:szCs w:val="20"/>
        </w:rPr>
        <w:t>ether the registrant has submitted electronically every Interactive Data File required to be submitted pursuant to Rule 405 of Regulation S-T during the preceding 12 months (or for such shorter period that the registrant was required to submit such files).</w:t>
      </w:r>
      <w:r>
        <w:rPr>
          <w:sz w:val="20"/>
          <w:szCs w:val="20"/>
        </w:rPr>
        <w:t xml:space="preserve"> Yes </w:t>
      </w:r>
      <w:r>
        <w:rPr>
          <w:rFonts w:ascii="Wingdings" w:hAnsi="Wingdings"/>
          <w:sz w:val="20"/>
          <w:szCs w:val="20"/>
        </w:rPr>
        <w:t>þ</w:t>
      </w:r>
      <w:r>
        <w:rPr>
          <w:sz w:val="20"/>
          <w:szCs w:val="20"/>
        </w:rPr>
        <w:t xml:space="preserve"> No </w:t>
      </w:r>
      <w:r>
        <w:rPr>
          <w:rFonts w:ascii="Segoe UI Emoji" w:hAnsi="Segoe UI Emoji" w:cs="Segoe UI Emoji"/>
          <w:sz w:val="20"/>
          <w:szCs w:val="20"/>
        </w:rPr>
        <w:t>◻</w:t>
      </w:r>
    </w:p>
    <w:p w:rsidR="00000000" w:rsidRDefault="00FF2C06">
      <w:pPr>
        <w:pStyle w:val="a3"/>
        <w:spacing w:before="0" w:beforeAutospacing="0" w:after="0" w:afterAutospacing="0"/>
        <w:ind w:firstLine="720"/>
        <w:divId w:val="204098020"/>
        <w:rPr>
          <w:sz w:val="20"/>
          <w:szCs w:val="20"/>
        </w:rPr>
      </w:pPr>
      <w:r>
        <w:rPr>
          <w:sz w:val="12"/>
          <w:szCs w:val="12"/>
        </w:rPr>
        <w:t>​</w:t>
      </w:r>
    </w:p>
    <w:p w:rsidR="00000000" w:rsidRDefault="00FF2C06">
      <w:pPr>
        <w:pStyle w:val="a3"/>
        <w:spacing w:before="0" w:beforeAutospacing="0" w:after="0" w:afterAutospacing="0"/>
        <w:ind w:firstLine="720"/>
        <w:divId w:val="204098020"/>
        <w:rPr>
          <w:sz w:val="20"/>
          <w:szCs w:val="20"/>
        </w:rPr>
      </w:pPr>
      <w:r>
        <w:rPr>
          <w:sz w:val="20"/>
          <w:szCs w:val="20"/>
        </w:rPr>
        <w:t>Indicate by check mark whether the registrant is a large accelerated filer, an accelerated filer, a non-accelerated filer, a smaller reporting company, or an emerging growth company. See the definitions of “large accelerated filer,” “accelera</w:t>
      </w:r>
      <w:r>
        <w:rPr>
          <w:sz w:val="20"/>
          <w:szCs w:val="20"/>
        </w:rPr>
        <w:t>ted filer,” “smaller reporting company,” and “emerging growth company” in Rule 12b-2 of the Exchange Act.</w:t>
      </w:r>
    </w:p>
    <w:p w:rsidR="00000000" w:rsidRDefault="00FF2C06">
      <w:pPr>
        <w:pStyle w:val="a3"/>
        <w:spacing w:before="0" w:beforeAutospacing="0" w:after="0" w:afterAutospacing="0"/>
        <w:divId w:val="204098020"/>
        <w:rPr>
          <w:sz w:val="20"/>
          <w:szCs w:val="20"/>
        </w:rPr>
      </w:pPr>
      <w:r>
        <w:rPr>
          <w:sz w:val="12"/>
          <w:szCs w:val="12"/>
        </w:rPr>
        <w:t>​</w:t>
      </w:r>
    </w:p>
    <w:tbl>
      <w:tblPr>
        <w:tblW w:w="5000" w:type="pct"/>
        <w:tblCellMar>
          <w:top w:w="15" w:type="dxa"/>
          <w:left w:w="0" w:type="dxa"/>
          <w:bottom w:w="15" w:type="dxa"/>
          <w:right w:w="0" w:type="dxa"/>
        </w:tblCellMar>
        <w:tblLook w:val="04A0" w:firstRow="1" w:lastRow="0" w:firstColumn="1" w:lastColumn="0" w:noHBand="0" w:noVBand="1"/>
      </w:tblPr>
      <w:tblGrid>
        <w:gridCol w:w="4153"/>
        <w:gridCol w:w="4153"/>
      </w:tblGrid>
      <w:tr w:rsidR="00000000">
        <w:trPr>
          <w:divId w:val="204098020"/>
        </w:trPr>
        <w:tc>
          <w:tcPr>
            <w:tcW w:w="2500" w:type="pct"/>
            <w:noWrap/>
            <w:tcMar>
              <w:top w:w="0" w:type="dxa"/>
              <w:left w:w="180" w:type="dxa"/>
              <w:bottom w:w="0" w:type="dxa"/>
              <w:right w:w="0" w:type="dxa"/>
            </w:tcMar>
            <w:hideMark/>
          </w:tcPr>
          <w:p w:rsidR="00000000" w:rsidRDefault="00FF2C06">
            <w:pPr>
              <w:pStyle w:val="a3"/>
              <w:spacing w:before="0" w:beforeAutospacing="0" w:after="0" w:afterAutospacing="0"/>
              <w:rPr>
                <w:sz w:val="20"/>
                <w:szCs w:val="20"/>
              </w:rPr>
            </w:pPr>
            <w:r>
              <w:rPr>
                <w:sz w:val="20"/>
                <w:szCs w:val="20"/>
              </w:rPr>
              <w:t>Large accelerated filer  </w:t>
            </w:r>
            <w:r>
              <w:rPr>
                <w:rFonts w:ascii="Wingdings" w:hAnsi="Wingdings"/>
                <w:sz w:val="20"/>
                <w:szCs w:val="20"/>
              </w:rPr>
              <w:t>þ</w:t>
            </w:r>
          </w:p>
        </w:tc>
        <w:tc>
          <w:tcPr>
            <w:tcW w:w="2500" w:type="pct"/>
            <w:noWrap/>
            <w:tcMar>
              <w:top w:w="0" w:type="dxa"/>
              <w:left w:w="0" w:type="dxa"/>
              <w:bottom w:w="0" w:type="dxa"/>
              <w:right w:w="0" w:type="dxa"/>
            </w:tcMar>
            <w:hideMark/>
          </w:tcPr>
          <w:p w:rsidR="00000000" w:rsidRDefault="00FF2C06">
            <w:pPr>
              <w:pStyle w:val="a3"/>
              <w:spacing w:before="0" w:beforeAutospacing="0" w:after="0" w:afterAutospacing="0"/>
              <w:rPr>
                <w:sz w:val="20"/>
                <w:szCs w:val="20"/>
              </w:rPr>
            </w:pPr>
            <w:r>
              <w:rPr>
                <w:sz w:val="20"/>
                <w:szCs w:val="20"/>
              </w:rPr>
              <w:t xml:space="preserve">Accelerated filer </w:t>
            </w:r>
            <w:r>
              <w:rPr>
                <w:rFonts w:ascii="Segoe UI Symbol" w:hAnsi="Segoe UI Symbol"/>
                <w:sz w:val="20"/>
                <w:szCs w:val="20"/>
              </w:rPr>
              <w:t>☐</w:t>
            </w:r>
          </w:p>
        </w:tc>
      </w:tr>
      <w:tr w:rsidR="00000000">
        <w:trPr>
          <w:divId w:val="204098020"/>
        </w:trPr>
        <w:tc>
          <w:tcPr>
            <w:tcW w:w="2500" w:type="pct"/>
            <w:noWrap/>
            <w:tcMar>
              <w:top w:w="0" w:type="dxa"/>
              <w:left w:w="180" w:type="dxa"/>
              <w:bottom w:w="0" w:type="dxa"/>
              <w:right w:w="0" w:type="dxa"/>
            </w:tcMar>
            <w:hideMark/>
          </w:tcPr>
          <w:p w:rsidR="00000000" w:rsidRDefault="00FF2C06">
            <w:pPr>
              <w:pStyle w:val="a3"/>
              <w:spacing w:before="0" w:beforeAutospacing="0" w:after="0" w:afterAutospacing="0"/>
              <w:rPr>
                <w:sz w:val="20"/>
                <w:szCs w:val="20"/>
              </w:rPr>
            </w:pPr>
            <w:r>
              <w:rPr>
                <w:sz w:val="20"/>
                <w:szCs w:val="20"/>
              </w:rPr>
              <w:t>Non-accelerated filer   </w:t>
            </w:r>
            <w:r>
              <w:rPr>
                <w:rFonts w:ascii="Segoe UI Symbol" w:hAnsi="Segoe UI Symbol"/>
                <w:sz w:val="20"/>
                <w:szCs w:val="20"/>
              </w:rPr>
              <w:t>☐</w:t>
            </w:r>
          </w:p>
        </w:tc>
        <w:tc>
          <w:tcPr>
            <w:tcW w:w="2500" w:type="pct"/>
            <w:noWrap/>
            <w:tcMar>
              <w:top w:w="0" w:type="dxa"/>
              <w:left w:w="0" w:type="dxa"/>
              <w:bottom w:w="0" w:type="dxa"/>
              <w:right w:w="0" w:type="dxa"/>
            </w:tcMar>
            <w:hideMark/>
          </w:tcPr>
          <w:p w:rsidR="00000000" w:rsidRDefault="00FF2C06">
            <w:pPr>
              <w:pStyle w:val="a3"/>
              <w:spacing w:before="0" w:beforeAutospacing="0" w:after="0" w:afterAutospacing="0"/>
              <w:rPr>
                <w:sz w:val="20"/>
                <w:szCs w:val="20"/>
              </w:rPr>
            </w:pPr>
            <w:r>
              <w:rPr>
                <w:sz w:val="20"/>
                <w:szCs w:val="20"/>
              </w:rPr>
              <w:t xml:space="preserve">Smaller reporting company </w:t>
            </w:r>
            <w:r>
              <w:rPr>
                <w:rFonts w:ascii="Segoe UI Symbol" w:hAnsi="Segoe UI Symbol"/>
                <w:sz w:val="20"/>
                <w:szCs w:val="20"/>
              </w:rPr>
              <w:t>☐</w:t>
            </w:r>
          </w:p>
        </w:tc>
      </w:tr>
      <w:tr w:rsidR="00000000">
        <w:trPr>
          <w:divId w:val="204098020"/>
        </w:trPr>
        <w:tc>
          <w:tcPr>
            <w:tcW w:w="2500" w:type="pct"/>
            <w:noWrap/>
            <w:tcMar>
              <w:top w:w="0" w:type="dxa"/>
              <w:left w:w="180" w:type="dxa"/>
              <w:bottom w:w="0" w:type="dxa"/>
              <w:right w:w="0" w:type="dxa"/>
            </w:tcMar>
            <w:hideMark/>
          </w:tcPr>
          <w:p w:rsidR="00000000" w:rsidRDefault="00FF2C06">
            <w:pPr>
              <w:pStyle w:val="a3"/>
              <w:spacing w:before="0" w:beforeAutospacing="0" w:after="0" w:afterAutospacing="0"/>
              <w:rPr>
                <w:sz w:val="20"/>
                <w:szCs w:val="20"/>
              </w:rPr>
            </w:pPr>
            <w:r>
              <w:rPr>
                <w:sz w:val="20"/>
                <w:szCs w:val="20"/>
              </w:rPr>
              <w:t> </w:t>
            </w:r>
          </w:p>
        </w:tc>
        <w:tc>
          <w:tcPr>
            <w:tcW w:w="2500" w:type="pct"/>
            <w:noWrap/>
            <w:tcMar>
              <w:top w:w="0" w:type="dxa"/>
              <w:left w:w="0" w:type="dxa"/>
              <w:bottom w:w="0" w:type="dxa"/>
              <w:right w:w="0" w:type="dxa"/>
            </w:tcMar>
            <w:hideMark/>
          </w:tcPr>
          <w:p w:rsidR="00000000" w:rsidRDefault="00FF2C06">
            <w:pPr>
              <w:pStyle w:val="a3"/>
              <w:spacing w:before="0" w:beforeAutospacing="0" w:after="0" w:afterAutospacing="0"/>
              <w:rPr>
                <w:sz w:val="20"/>
                <w:szCs w:val="20"/>
              </w:rPr>
            </w:pPr>
            <w:r>
              <w:rPr>
                <w:sz w:val="20"/>
                <w:szCs w:val="20"/>
              </w:rPr>
              <w:t xml:space="preserve">Emerging growth company </w:t>
            </w:r>
            <w:r>
              <w:rPr>
                <w:rFonts w:ascii="Segoe UI Symbol" w:hAnsi="Segoe UI Symbol"/>
                <w:sz w:val="20"/>
                <w:szCs w:val="20"/>
              </w:rPr>
              <w:t>☐</w:t>
            </w:r>
          </w:p>
        </w:tc>
      </w:tr>
    </w:tbl>
    <w:p w:rsidR="00000000" w:rsidRDefault="00FF2C06">
      <w:pPr>
        <w:pStyle w:val="a3"/>
        <w:spacing w:before="0" w:beforeAutospacing="0" w:after="0" w:afterAutospacing="0"/>
        <w:divId w:val="204098020"/>
        <w:rPr>
          <w:sz w:val="20"/>
          <w:szCs w:val="20"/>
        </w:rPr>
      </w:pPr>
      <w:r>
        <w:rPr>
          <w:sz w:val="12"/>
          <w:szCs w:val="12"/>
        </w:rPr>
        <w:t>​</w:t>
      </w:r>
    </w:p>
    <w:p w:rsidR="00000000" w:rsidRDefault="00FF2C06">
      <w:pPr>
        <w:pStyle w:val="a3"/>
        <w:spacing w:before="0" w:beforeAutospacing="0" w:after="0" w:afterAutospacing="0"/>
        <w:ind w:firstLine="720"/>
        <w:divId w:val="204098020"/>
        <w:rPr>
          <w:sz w:val="20"/>
          <w:szCs w:val="20"/>
        </w:rPr>
      </w:pPr>
      <w:r>
        <w:rPr>
          <w:sz w:val="20"/>
          <w:szCs w:val="20"/>
        </w:rPr>
        <w:lastRenderedPageBreak/>
        <w:t>If an emerging growth company, indicate by check mark if the registrant has elected not to use the extended transition period for complying with any new or revised financial accounting standards provided pursuant to Section 13(</w:t>
      </w:r>
      <w:r>
        <w:rPr>
          <w:sz w:val="20"/>
          <w:szCs w:val="20"/>
        </w:rPr>
        <w:t xml:space="preserve">a) of the Exchange Act. </w:t>
      </w:r>
      <w:r>
        <w:rPr>
          <w:rFonts w:ascii="Segoe UI Symbol" w:hAnsi="Segoe UI Symbol"/>
          <w:sz w:val="20"/>
          <w:szCs w:val="20"/>
        </w:rPr>
        <w:t>☐</w:t>
      </w:r>
    </w:p>
    <w:p w:rsidR="00000000" w:rsidRDefault="00FF2C06">
      <w:pPr>
        <w:pStyle w:val="a3"/>
        <w:spacing w:before="0" w:beforeAutospacing="0" w:after="0" w:afterAutospacing="0"/>
        <w:ind w:firstLine="720"/>
        <w:divId w:val="204098020"/>
        <w:rPr>
          <w:sz w:val="20"/>
          <w:szCs w:val="20"/>
        </w:rPr>
      </w:pPr>
      <w:r>
        <w:rPr>
          <w:sz w:val="12"/>
          <w:szCs w:val="12"/>
        </w:rPr>
        <w:t>​</w:t>
      </w:r>
    </w:p>
    <w:p w:rsidR="00000000" w:rsidRDefault="00FF2C06">
      <w:pPr>
        <w:pStyle w:val="a3"/>
        <w:spacing w:before="0" w:beforeAutospacing="0" w:after="0" w:afterAutospacing="0"/>
        <w:ind w:firstLine="720"/>
        <w:divId w:val="204098020"/>
        <w:rPr>
          <w:sz w:val="20"/>
          <w:szCs w:val="20"/>
        </w:rPr>
      </w:pPr>
      <w:r>
        <w:rPr>
          <w:sz w:val="20"/>
          <w:szCs w:val="20"/>
        </w:rPr>
        <w:t xml:space="preserve">Indicate by check mark whether the registrant is a shell company (as defined in Rule 12b-2 of the Exchange Act). Yes </w:t>
      </w:r>
      <w:r>
        <w:rPr>
          <w:rFonts w:ascii="Segoe UI Symbol" w:hAnsi="Segoe UI Symbol"/>
          <w:sz w:val="20"/>
          <w:szCs w:val="20"/>
        </w:rPr>
        <w:t>☐</w:t>
      </w:r>
      <w:r>
        <w:rPr>
          <w:sz w:val="20"/>
          <w:szCs w:val="20"/>
        </w:rPr>
        <w:t xml:space="preserve"> No </w:t>
      </w:r>
      <w:r>
        <w:rPr>
          <w:rFonts w:ascii="Wingdings" w:hAnsi="Wingdings"/>
          <w:sz w:val="20"/>
          <w:szCs w:val="20"/>
        </w:rPr>
        <w:t>þ</w:t>
      </w:r>
    </w:p>
    <w:p w:rsidR="00000000" w:rsidRDefault="00FF2C06">
      <w:pPr>
        <w:pStyle w:val="a3"/>
        <w:spacing w:before="0" w:beforeAutospacing="0" w:after="0" w:afterAutospacing="0"/>
        <w:ind w:firstLine="720"/>
        <w:divId w:val="204098020"/>
        <w:rPr>
          <w:sz w:val="20"/>
          <w:szCs w:val="20"/>
        </w:rPr>
      </w:pPr>
      <w:r>
        <w:rPr>
          <w:sz w:val="12"/>
          <w:szCs w:val="12"/>
        </w:rPr>
        <w:t>​</w:t>
      </w:r>
    </w:p>
    <w:p w:rsidR="00000000" w:rsidRDefault="00FF2C06">
      <w:pPr>
        <w:pStyle w:val="a3"/>
        <w:spacing w:before="0" w:beforeAutospacing="0" w:after="0" w:afterAutospacing="0"/>
        <w:ind w:firstLine="720"/>
        <w:divId w:val="204098020"/>
        <w:rPr>
          <w:sz w:val="20"/>
          <w:szCs w:val="20"/>
        </w:rPr>
      </w:pPr>
      <w:r>
        <w:rPr>
          <w:b/>
          <w:bCs/>
          <w:sz w:val="20"/>
          <w:szCs w:val="20"/>
        </w:rPr>
        <w:t>Securities registered pursuant to Section 12(b) of the Act:</w:t>
      </w:r>
    </w:p>
    <w:p w:rsidR="00000000" w:rsidRDefault="00FF2C06">
      <w:pPr>
        <w:pStyle w:val="a3"/>
        <w:spacing w:before="0" w:beforeAutospacing="0" w:after="0" w:afterAutospacing="0"/>
        <w:ind w:firstLine="720"/>
        <w:divId w:val="204098020"/>
        <w:rPr>
          <w:sz w:val="20"/>
          <w:szCs w:val="20"/>
        </w:rPr>
      </w:pPr>
      <w:r>
        <w:rPr>
          <w:sz w:val="12"/>
          <w:szCs w:val="12"/>
        </w:rPr>
        <w:t>​</w:t>
      </w:r>
    </w:p>
    <w:tbl>
      <w:tblPr>
        <w:tblW w:w="5000" w:type="pct"/>
        <w:tblCellMar>
          <w:top w:w="15" w:type="dxa"/>
          <w:left w:w="0" w:type="dxa"/>
          <w:bottom w:w="15" w:type="dxa"/>
          <w:right w:w="0" w:type="dxa"/>
        </w:tblCellMar>
        <w:tblLook w:val="04A0" w:firstRow="1" w:lastRow="0" w:firstColumn="1" w:lastColumn="0" w:noHBand="0" w:noVBand="1"/>
      </w:tblPr>
      <w:tblGrid>
        <w:gridCol w:w="2618"/>
        <w:gridCol w:w="150"/>
        <w:gridCol w:w="1666"/>
        <w:gridCol w:w="150"/>
        <w:gridCol w:w="3722"/>
      </w:tblGrid>
      <w:tr w:rsidR="00000000">
        <w:trPr>
          <w:divId w:val="204098020"/>
        </w:trPr>
        <w:tc>
          <w:tcPr>
            <w:tcW w:w="1849" w:type="pct"/>
            <w:tcBorders>
              <w:bottom w:val="single" w:sz="8" w:space="0" w:color="000000"/>
            </w:tcBorders>
            <w:noWrap/>
            <w:tcMar>
              <w:top w:w="0" w:type="dxa"/>
              <w:left w:w="0" w:type="dxa"/>
              <w:bottom w:w="0" w:type="dxa"/>
              <w:right w:w="0" w:type="dxa"/>
            </w:tcMar>
            <w:hideMark/>
          </w:tcPr>
          <w:p w:rsidR="00000000" w:rsidRDefault="00FF2C06">
            <w:pPr>
              <w:pStyle w:val="a3"/>
              <w:spacing w:before="0" w:beforeAutospacing="0" w:after="0" w:afterAutospacing="0"/>
              <w:rPr>
                <w:sz w:val="20"/>
                <w:szCs w:val="20"/>
              </w:rPr>
            </w:pPr>
            <w:r>
              <w:rPr>
                <w:b/>
                <w:bCs/>
                <w:sz w:val="20"/>
                <w:szCs w:val="20"/>
              </w:rPr>
              <w:t>Title of each class</w:t>
            </w:r>
          </w:p>
        </w:tc>
        <w:tc>
          <w:tcPr>
            <w:tcW w:w="81" w:type="pct"/>
            <w:noWrap/>
            <w:tcMar>
              <w:top w:w="0" w:type="dxa"/>
              <w:left w:w="0" w:type="dxa"/>
              <w:bottom w:w="0" w:type="dxa"/>
              <w:right w:w="0" w:type="dxa"/>
            </w:tcMar>
            <w:hideMark/>
          </w:tcPr>
          <w:p w:rsidR="00000000" w:rsidRDefault="00FF2C06">
            <w:pPr>
              <w:pStyle w:val="a3"/>
              <w:spacing w:before="0" w:beforeAutospacing="0" w:after="0" w:afterAutospacing="0"/>
              <w:rPr>
                <w:sz w:val="20"/>
                <w:szCs w:val="20"/>
              </w:rPr>
            </w:pPr>
            <w:r>
              <w:rPr>
                <w:sz w:val="20"/>
                <w:szCs w:val="20"/>
              </w:rPr>
              <w:t>   </w:t>
            </w:r>
          </w:p>
        </w:tc>
        <w:tc>
          <w:tcPr>
            <w:tcW w:w="1276" w:type="pct"/>
            <w:tcBorders>
              <w:bottom w:val="single" w:sz="8" w:space="0" w:color="000000"/>
            </w:tcBorders>
            <w:noWrap/>
            <w:tcMar>
              <w:top w:w="0" w:type="dxa"/>
              <w:left w:w="0" w:type="dxa"/>
              <w:bottom w:w="0" w:type="dxa"/>
              <w:right w:w="0" w:type="dxa"/>
            </w:tcMar>
            <w:hideMark/>
          </w:tcPr>
          <w:p w:rsidR="00000000" w:rsidRDefault="00FF2C06">
            <w:pPr>
              <w:pStyle w:val="a3"/>
              <w:spacing w:before="0" w:beforeAutospacing="0" w:after="0" w:afterAutospacing="0"/>
              <w:rPr>
                <w:sz w:val="20"/>
                <w:szCs w:val="20"/>
              </w:rPr>
            </w:pPr>
            <w:r>
              <w:rPr>
                <w:b/>
                <w:bCs/>
                <w:sz w:val="20"/>
                <w:szCs w:val="20"/>
              </w:rPr>
              <w:t>Trading Symbol(s</w:t>
            </w:r>
            <w:r>
              <w:rPr>
                <w:b/>
                <w:bCs/>
                <w:sz w:val="20"/>
                <w:szCs w:val="20"/>
              </w:rPr>
              <w:t>)</w:t>
            </w:r>
          </w:p>
        </w:tc>
        <w:tc>
          <w:tcPr>
            <w:tcW w:w="69" w:type="pct"/>
            <w:noWrap/>
            <w:tcMar>
              <w:top w:w="0" w:type="dxa"/>
              <w:left w:w="0" w:type="dxa"/>
              <w:bottom w:w="0" w:type="dxa"/>
              <w:right w:w="0" w:type="dxa"/>
            </w:tcMar>
            <w:hideMark/>
          </w:tcPr>
          <w:p w:rsidR="00000000" w:rsidRDefault="00FF2C06">
            <w:pPr>
              <w:pStyle w:val="a3"/>
              <w:spacing w:before="0" w:beforeAutospacing="0" w:after="0" w:afterAutospacing="0"/>
              <w:rPr>
                <w:sz w:val="20"/>
                <w:szCs w:val="20"/>
              </w:rPr>
            </w:pPr>
            <w:r>
              <w:rPr>
                <w:sz w:val="20"/>
                <w:szCs w:val="20"/>
              </w:rPr>
              <w:t>   </w:t>
            </w:r>
          </w:p>
        </w:tc>
        <w:tc>
          <w:tcPr>
            <w:tcW w:w="1723" w:type="pct"/>
            <w:tcBorders>
              <w:bottom w:val="single" w:sz="8" w:space="0" w:color="000000"/>
            </w:tcBorders>
            <w:noWrap/>
            <w:tcMar>
              <w:top w:w="0" w:type="dxa"/>
              <w:left w:w="0" w:type="dxa"/>
              <w:bottom w:w="0" w:type="dxa"/>
              <w:right w:w="0" w:type="dxa"/>
            </w:tcMar>
            <w:hideMark/>
          </w:tcPr>
          <w:p w:rsidR="00000000" w:rsidRDefault="00FF2C06">
            <w:pPr>
              <w:pStyle w:val="a3"/>
              <w:spacing w:before="0" w:beforeAutospacing="0" w:after="0" w:afterAutospacing="0"/>
              <w:rPr>
                <w:sz w:val="20"/>
                <w:szCs w:val="20"/>
              </w:rPr>
            </w:pPr>
            <w:r>
              <w:rPr>
                <w:b/>
                <w:bCs/>
                <w:sz w:val="20"/>
                <w:szCs w:val="20"/>
              </w:rPr>
              <w:t>Name of each exchange on which registered</w:t>
            </w:r>
          </w:p>
        </w:tc>
      </w:tr>
      <w:tr w:rsidR="00000000">
        <w:trPr>
          <w:divId w:val="204098020"/>
        </w:trPr>
        <w:tc>
          <w:tcPr>
            <w:tcW w:w="1849" w:type="pct"/>
            <w:tcMar>
              <w:top w:w="0" w:type="dxa"/>
              <w:left w:w="0" w:type="dxa"/>
              <w:bottom w:w="0" w:type="dxa"/>
              <w:right w:w="0" w:type="dxa"/>
            </w:tcMar>
            <w:hideMark/>
          </w:tcPr>
          <w:p w:rsidR="00000000" w:rsidRDefault="00FF2C06">
            <w:pPr>
              <w:pStyle w:val="a3"/>
              <w:spacing w:before="0" w:beforeAutospacing="0" w:after="0" w:afterAutospacing="0"/>
              <w:rPr>
                <w:sz w:val="20"/>
                <w:szCs w:val="20"/>
              </w:rPr>
            </w:pPr>
            <w:r>
              <w:rPr>
                <w:sz w:val="20"/>
                <w:szCs w:val="20"/>
              </w:rPr>
              <w:t>Common stock, par value $0.000041666 per value</w:t>
            </w:r>
          </w:p>
        </w:tc>
        <w:tc>
          <w:tcPr>
            <w:tcW w:w="81" w:type="pct"/>
            <w:tcMar>
              <w:top w:w="0" w:type="dxa"/>
              <w:left w:w="0" w:type="dxa"/>
              <w:bottom w:w="0" w:type="dxa"/>
              <w:right w:w="0" w:type="dxa"/>
            </w:tcMar>
            <w:hideMark/>
          </w:tcPr>
          <w:p w:rsidR="00000000" w:rsidRDefault="00FF2C06">
            <w:pPr>
              <w:pStyle w:val="a3"/>
              <w:spacing w:before="0" w:beforeAutospacing="0" w:after="0" w:afterAutospacing="0"/>
              <w:rPr>
                <w:sz w:val="20"/>
                <w:szCs w:val="20"/>
              </w:rPr>
            </w:pPr>
            <w:r>
              <w:rPr>
                <w:sz w:val="20"/>
                <w:szCs w:val="20"/>
              </w:rPr>
              <w:t> </w:t>
            </w:r>
          </w:p>
        </w:tc>
        <w:tc>
          <w:tcPr>
            <w:tcW w:w="1276" w:type="pct"/>
            <w:tcMar>
              <w:top w:w="0" w:type="dxa"/>
              <w:left w:w="0" w:type="dxa"/>
              <w:bottom w:w="0" w:type="dxa"/>
              <w:right w:w="0" w:type="dxa"/>
            </w:tcMar>
            <w:hideMark/>
          </w:tcPr>
          <w:p w:rsidR="00000000" w:rsidRDefault="00FF2C06">
            <w:pPr>
              <w:pStyle w:val="a3"/>
              <w:spacing w:before="0" w:beforeAutospacing="0" w:after="0" w:afterAutospacing="0"/>
              <w:rPr>
                <w:sz w:val="20"/>
                <w:szCs w:val="20"/>
              </w:rPr>
            </w:pPr>
            <w:r>
              <w:rPr>
                <w:sz w:val="20"/>
                <w:szCs w:val="20"/>
              </w:rPr>
              <w:t>IOVA</w:t>
            </w:r>
          </w:p>
        </w:tc>
        <w:tc>
          <w:tcPr>
            <w:tcW w:w="69" w:type="pct"/>
            <w:tcMar>
              <w:top w:w="0" w:type="dxa"/>
              <w:left w:w="0" w:type="dxa"/>
              <w:bottom w:w="0" w:type="dxa"/>
              <w:right w:w="0" w:type="dxa"/>
            </w:tcMar>
            <w:hideMark/>
          </w:tcPr>
          <w:p w:rsidR="00000000" w:rsidRDefault="00FF2C06">
            <w:pPr>
              <w:pStyle w:val="a3"/>
              <w:spacing w:before="0" w:beforeAutospacing="0" w:after="0" w:afterAutospacing="0"/>
              <w:rPr>
                <w:sz w:val="20"/>
                <w:szCs w:val="20"/>
              </w:rPr>
            </w:pPr>
            <w:r>
              <w:rPr>
                <w:sz w:val="20"/>
                <w:szCs w:val="20"/>
              </w:rPr>
              <w:t> </w:t>
            </w:r>
          </w:p>
        </w:tc>
        <w:tc>
          <w:tcPr>
            <w:tcW w:w="1723" w:type="pct"/>
            <w:tcMar>
              <w:top w:w="0" w:type="dxa"/>
              <w:left w:w="0" w:type="dxa"/>
              <w:bottom w:w="0" w:type="dxa"/>
              <w:right w:w="0" w:type="dxa"/>
            </w:tcMar>
            <w:hideMark/>
          </w:tcPr>
          <w:p w:rsidR="00000000" w:rsidRDefault="00FF2C06">
            <w:pPr>
              <w:pStyle w:val="a3"/>
              <w:spacing w:before="0" w:beforeAutospacing="0" w:after="0" w:afterAutospacing="0"/>
              <w:rPr>
                <w:sz w:val="20"/>
                <w:szCs w:val="20"/>
              </w:rPr>
            </w:pPr>
            <w:r>
              <w:rPr>
                <w:sz w:val="20"/>
                <w:szCs w:val="20"/>
              </w:rPr>
              <w:t>The Nasdaq Stock Market, LLC</w:t>
            </w:r>
          </w:p>
        </w:tc>
      </w:tr>
    </w:tbl>
    <w:p w:rsidR="00000000" w:rsidRDefault="00FF2C06">
      <w:pPr>
        <w:pStyle w:val="a3"/>
        <w:spacing w:before="0" w:beforeAutospacing="0" w:after="0" w:afterAutospacing="0"/>
        <w:divId w:val="204098020"/>
        <w:rPr>
          <w:sz w:val="20"/>
          <w:szCs w:val="20"/>
        </w:rPr>
      </w:pPr>
      <w:r>
        <w:rPr>
          <w:sz w:val="12"/>
          <w:szCs w:val="12"/>
        </w:rPr>
        <w:t>​</w:t>
      </w:r>
    </w:p>
    <w:p w:rsidR="00000000" w:rsidRDefault="00FF2C06">
      <w:pPr>
        <w:pStyle w:val="a3"/>
        <w:spacing w:before="0" w:beforeAutospacing="0" w:after="0" w:afterAutospacing="0"/>
        <w:ind w:firstLine="720"/>
        <w:divId w:val="204098020"/>
        <w:rPr>
          <w:sz w:val="20"/>
          <w:szCs w:val="20"/>
        </w:rPr>
      </w:pPr>
      <w:r>
        <w:rPr>
          <w:sz w:val="20"/>
          <w:szCs w:val="20"/>
        </w:rPr>
        <w:t xml:space="preserve">At October 26, 2020, the issuer had 146,687,334 </w:t>
      </w:r>
      <w:r>
        <w:rPr>
          <w:sz w:val="20"/>
          <w:szCs w:val="20"/>
        </w:rPr>
        <w:t>shares of common stock, par value $0.000041666 per share, outstanding.</w:t>
      </w:r>
    </w:p>
    <w:p w:rsidR="00000000" w:rsidRDefault="00FF2C06">
      <w:pPr>
        <w:pStyle w:val="a3"/>
        <w:spacing w:before="0" w:beforeAutospacing="0" w:after="0" w:afterAutospacing="0"/>
        <w:ind w:firstLine="720"/>
        <w:divId w:val="204098020"/>
        <w:rPr>
          <w:sz w:val="20"/>
          <w:szCs w:val="20"/>
        </w:rPr>
      </w:pPr>
      <w:r>
        <w:rPr>
          <w:sz w:val="12"/>
          <w:szCs w:val="12"/>
        </w:rPr>
        <w:t>​</w:t>
      </w:r>
    </w:p>
    <w:p w:rsidR="00000000" w:rsidRDefault="00FF2C06">
      <w:pPr>
        <w:pStyle w:val="a3"/>
        <w:pBdr>
          <w:top w:val="single" w:sz="8" w:space="1" w:color="000000"/>
          <w:bottom w:val="single" w:sz="24" w:space="1" w:color="000000"/>
        </w:pBdr>
        <w:spacing w:before="0" w:beforeAutospacing="0" w:after="0" w:afterAutospacing="0"/>
        <w:ind w:firstLine="720"/>
        <w:divId w:val="204098020"/>
        <w:rPr>
          <w:sz w:val="20"/>
          <w:szCs w:val="20"/>
        </w:rPr>
      </w:pPr>
      <w:r>
        <w:rPr>
          <w:sz w:val="2"/>
          <w:szCs w:val="2"/>
        </w:rPr>
        <w:t>​</w:t>
      </w:r>
    </w:p>
    <w:p w:rsidR="00000000" w:rsidRDefault="00FF2C06">
      <w:pPr>
        <w:pStyle w:val="a3"/>
        <w:spacing w:before="0" w:beforeAutospacing="0" w:after="0" w:afterAutospacing="0"/>
        <w:ind w:firstLine="720"/>
        <w:divId w:val="204098020"/>
        <w:rPr>
          <w:sz w:val="20"/>
          <w:szCs w:val="20"/>
        </w:rPr>
      </w:pPr>
      <w:r>
        <w:rPr>
          <w:sz w:val="20"/>
          <w:szCs w:val="20"/>
        </w:rPr>
        <w:t>​</w:t>
      </w:r>
    </w:p>
    <w:p w:rsidR="00000000" w:rsidRDefault="00FF2C06">
      <w:pPr>
        <w:pStyle w:val="a3"/>
        <w:spacing w:before="0" w:beforeAutospacing="0" w:after="0" w:afterAutospacing="0" w:line="0" w:lineRule="atLeast"/>
        <w:divId w:val="204098020"/>
        <w:rPr>
          <w:vanish/>
        </w:rPr>
      </w:pPr>
      <w:r>
        <w:rPr>
          <w:vanish/>
          <w:sz w:val="2"/>
          <w:szCs w:val="2"/>
        </w:rPr>
        <w:t>​</w:t>
      </w:r>
    </w:p>
    <w:p w:rsidR="00000000" w:rsidRDefault="00FF2C06">
      <w:pPr>
        <w:pStyle w:val="a3"/>
        <w:spacing w:before="480" w:beforeAutospacing="0" w:after="0" w:afterAutospacing="0"/>
        <w:jc w:val="center"/>
        <w:divId w:val="1498375602"/>
        <w:rPr>
          <w:sz w:val="20"/>
          <w:szCs w:val="20"/>
        </w:rPr>
      </w:pPr>
      <w:r>
        <w:rPr>
          <w:sz w:val="20"/>
          <w:szCs w:val="20"/>
        </w:rPr>
        <w:t>​</w:t>
      </w:r>
    </w:p>
    <w:p w:rsidR="00000000" w:rsidRDefault="00FF2C06">
      <w:pPr>
        <w:pStyle w:val="a3"/>
        <w:spacing w:before="0" w:beforeAutospacing="0" w:after="600" w:afterAutospacing="0"/>
        <w:divId w:val="1028138067"/>
        <w:rPr>
          <w:sz w:val="20"/>
          <w:szCs w:val="20"/>
        </w:rPr>
      </w:pPr>
      <w:hyperlink w:anchor="TOC" w:history="1">
        <w:r>
          <w:rPr>
            <w:rStyle w:val="a4"/>
            <w:sz w:val="20"/>
            <w:szCs w:val="20"/>
          </w:rPr>
          <w:t>Table of Contents</w:t>
        </w:r>
      </w:hyperlink>
    </w:p>
    <w:p w:rsidR="00000000" w:rsidRDefault="00FF2C06">
      <w:pPr>
        <w:pStyle w:val="a3"/>
        <w:spacing w:before="0" w:beforeAutospacing="0" w:after="0" w:afterAutospacing="0"/>
        <w:jc w:val="center"/>
        <w:divId w:val="161046862"/>
        <w:rPr>
          <w:sz w:val="20"/>
          <w:szCs w:val="20"/>
        </w:rPr>
      </w:pPr>
      <w:r>
        <w:rPr>
          <w:b/>
          <w:bCs/>
          <w:sz w:val="20"/>
          <w:szCs w:val="20"/>
        </w:rPr>
        <w:t>IOVANCE BIOTHERAPEUTICS, INC.</w:t>
      </w:r>
    </w:p>
    <w:p w:rsidR="00000000" w:rsidRDefault="00FF2C06">
      <w:pPr>
        <w:pStyle w:val="a3"/>
        <w:spacing w:before="0" w:beforeAutospacing="0" w:after="0" w:afterAutospacing="0"/>
        <w:jc w:val="center"/>
        <w:divId w:val="161046862"/>
        <w:rPr>
          <w:sz w:val="20"/>
          <w:szCs w:val="20"/>
        </w:rPr>
      </w:pPr>
      <w:r>
        <w:rPr>
          <w:b/>
          <w:bCs/>
          <w:sz w:val="20"/>
          <w:szCs w:val="20"/>
        </w:rPr>
        <w:t>FORM 10-Q</w:t>
      </w:r>
    </w:p>
    <w:p w:rsidR="00000000" w:rsidRDefault="00FF2C06">
      <w:pPr>
        <w:pStyle w:val="a3"/>
        <w:spacing w:before="0" w:beforeAutospacing="0" w:after="0" w:afterAutospacing="0"/>
        <w:jc w:val="center"/>
        <w:divId w:val="161046862"/>
        <w:rPr>
          <w:sz w:val="20"/>
          <w:szCs w:val="20"/>
        </w:rPr>
      </w:pPr>
      <w:r>
        <w:rPr>
          <w:b/>
          <w:bCs/>
          <w:sz w:val="20"/>
          <w:szCs w:val="20"/>
        </w:rPr>
        <w:t>For the Quarter Ended September 30, 2020</w:t>
      </w:r>
    </w:p>
    <w:p w:rsidR="00000000" w:rsidRDefault="00FF2C06">
      <w:pPr>
        <w:pStyle w:val="a3"/>
        <w:spacing w:before="0" w:beforeAutospacing="0" w:after="0" w:afterAutospacing="0"/>
        <w:jc w:val="center"/>
        <w:divId w:val="161046862"/>
        <w:rPr>
          <w:sz w:val="20"/>
          <w:szCs w:val="20"/>
        </w:rPr>
      </w:pPr>
      <w:r>
        <w:rPr>
          <w:sz w:val="20"/>
          <w:szCs w:val="20"/>
        </w:rPr>
        <w:t> </w:t>
      </w:r>
    </w:p>
    <w:p w:rsidR="00000000" w:rsidRDefault="00FF2C06">
      <w:pPr>
        <w:pStyle w:val="a3"/>
        <w:spacing w:before="0" w:beforeAutospacing="0" w:after="0" w:afterAutospacing="0"/>
        <w:jc w:val="center"/>
        <w:divId w:val="161046862"/>
        <w:rPr>
          <w:sz w:val="20"/>
          <w:szCs w:val="20"/>
        </w:rPr>
      </w:pPr>
      <w:r>
        <w:rPr>
          <w:b/>
          <w:bCs/>
          <w:sz w:val="20"/>
          <w:szCs w:val="20"/>
        </w:rPr>
        <w:t>Table of Contents</w:t>
      </w:r>
    </w:p>
    <w:p w:rsidR="00000000" w:rsidRDefault="00FF2C06">
      <w:pPr>
        <w:pStyle w:val="a3"/>
        <w:spacing w:before="0" w:beforeAutospacing="0" w:after="0" w:afterAutospacing="0"/>
        <w:jc w:val="center"/>
        <w:divId w:val="161046862"/>
        <w:rPr>
          <w:sz w:val="20"/>
          <w:szCs w:val="20"/>
        </w:rPr>
      </w:pPr>
      <w:r>
        <w:rPr>
          <w:sz w:val="20"/>
          <w:szCs w:val="20"/>
        </w:rPr>
        <w:t> </w:t>
      </w:r>
    </w:p>
    <w:tbl>
      <w:tblPr>
        <w:tblW w:w="5000" w:type="pct"/>
        <w:tblCellMar>
          <w:top w:w="15" w:type="dxa"/>
          <w:left w:w="0" w:type="dxa"/>
          <w:bottom w:w="15" w:type="dxa"/>
          <w:right w:w="0" w:type="dxa"/>
        </w:tblCellMar>
        <w:tblLook w:val="04A0" w:firstRow="1" w:lastRow="0" w:firstColumn="1" w:lastColumn="0" w:noHBand="0" w:noVBand="1"/>
      </w:tblPr>
      <w:tblGrid>
        <w:gridCol w:w="762"/>
        <w:gridCol w:w="7097"/>
        <w:gridCol w:w="447"/>
      </w:tblGrid>
      <w:tr w:rsidR="00000000">
        <w:trPr>
          <w:divId w:val="161046862"/>
        </w:trPr>
        <w:tc>
          <w:tcPr>
            <w:tcW w:w="459" w:type="pct"/>
            <w:tcMar>
              <w:top w:w="0" w:type="dxa"/>
              <w:left w:w="0" w:type="dxa"/>
              <w:bottom w:w="0" w:type="dxa"/>
              <w:right w:w="0" w:type="dxa"/>
            </w:tcMar>
            <w:vAlign w:val="bottom"/>
            <w:hideMark/>
          </w:tcPr>
          <w:p w:rsidR="00000000" w:rsidRDefault="00FF2C06">
            <w:pPr>
              <w:rPr>
                <w:sz w:val="20"/>
                <w:szCs w:val="20"/>
              </w:rPr>
            </w:pPr>
          </w:p>
        </w:tc>
        <w:tc>
          <w:tcPr>
            <w:tcW w:w="4270" w:type="pct"/>
            <w:tcMar>
              <w:top w:w="0" w:type="dxa"/>
              <w:left w:w="0" w:type="dxa"/>
              <w:bottom w:w="0" w:type="dxa"/>
              <w:right w:w="0" w:type="dxa"/>
            </w:tcMar>
            <w:vAlign w:val="bottom"/>
            <w:hideMark/>
          </w:tcPr>
          <w:p w:rsidR="00000000" w:rsidRDefault="00FF2C06">
            <w:pPr>
              <w:rPr>
                <w:rFonts w:eastAsia="Times New Roman"/>
                <w:sz w:val="20"/>
                <w:szCs w:val="20"/>
              </w:rPr>
            </w:pPr>
          </w:p>
        </w:tc>
        <w:tc>
          <w:tcPr>
            <w:tcW w:w="269" w:type="pct"/>
            <w:tcMar>
              <w:top w:w="0" w:type="dxa"/>
              <w:left w:w="0" w:type="dxa"/>
              <w:bottom w:w="0" w:type="dxa"/>
              <w:right w:w="0" w:type="dxa"/>
            </w:tcMar>
            <w:vAlign w:val="bottom"/>
            <w:hideMark/>
          </w:tcPr>
          <w:p w:rsidR="00000000" w:rsidRDefault="00FF2C06">
            <w:pPr>
              <w:rPr>
                <w:rFonts w:eastAsia="Times New Roman"/>
                <w:sz w:val="20"/>
                <w:szCs w:val="20"/>
              </w:rPr>
            </w:pPr>
          </w:p>
        </w:tc>
      </w:tr>
      <w:tr w:rsidR="00000000">
        <w:trPr>
          <w:divId w:val="161046862"/>
        </w:trPr>
        <w:tc>
          <w:tcPr>
            <w:tcW w:w="4730" w:type="pct"/>
            <w:gridSpan w:val="2"/>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69" w:type="pct"/>
            <w:tcBorders>
              <w:bottom w:val="single" w:sz="6" w:space="0" w:color="000000"/>
            </w:tcBorders>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Page</w:t>
            </w:r>
          </w:p>
        </w:tc>
      </w:tr>
      <w:tr w:rsidR="00000000">
        <w:trPr>
          <w:divId w:val="161046862"/>
        </w:trPr>
        <w:tc>
          <w:tcPr>
            <w:tcW w:w="4730" w:type="pct"/>
            <w:gridSpan w:val="2"/>
            <w:shd w:val="clear" w:color="auto" w:fill="CCEEFF"/>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hyperlink w:anchor="PARTIFINANCIALINFORMATION_717357" w:history="1">
              <w:r>
                <w:rPr>
                  <w:rStyle w:val="a4"/>
                  <w:sz w:val="20"/>
                  <w:szCs w:val="20"/>
                </w:rPr>
                <w:t>PART I FINANCIAL INFORMATION</w:t>
              </w:r>
            </w:hyperlink>
          </w:p>
        </w:tc>
        <w:tc>
          <w:tcPr>
            <w:tcW w:w="269" w:type="pct"/>
            <w:shd w:val="clear" w:color="auto" w:fill="CCEEFF"/>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20"/>
                <w:szCs w:val="20"/>
              </w:rPr>
            </w:pPr>
            <w:r>
              <w:rPr>
                <w:sz w:val="20"/>
                <w:szCs w:val="20"/>
              </w:rPr>
              <w:t>​</w:t>
            </w:r>
          </w:p>
        </w:tc>
      </w:tr>
      <w:tr w:rsidR="00000000">
        <w:trPr>
          <w:divId w:val="161046862"/>
        </w:trPr>
        <w:tc>
          <w:tcPr>
            <w:tcW w:w="459" w:type="pct"/>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hyperlink w:anchor="Item1FinancialStatements_851081" w:history="1">
              <w:r>
                <w:rPr>
                  <w:rStyle w:val="a4"/>
                  <w:sz w:val="20"/>
                  <w:szCs w:val="20"/>
                </w:rPr>
                <w:t>Item 1.</w:t>
              </w:r>
            </w:hyperlink>
          </w:p>
        </w:tc>
        <w:tc>
          <w:tcPr>
            <w:tcW w:w="4270" w:type="pct"/>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hyperlink w:anchor="Item1FinancialStatements_851081" w:history="1">
              <w:r>
                <w:rPr>
                  <w:rStyle w:val="a4"/>
                  <w:sz w:val="20"/>
                  <w:szCs w:val="20"/>
                </w:rPr>
                <w:t>Condensed Consolidated Financial Statements (Unaudit</w:t>
              </w:r>
              <w:r>
                <w:rPr>
                  <w:rStyle w:val="a4"/>
                  <w:sz w:val="20"/>
                  <w:szCs w:val="20"/>
                </w:rPr>
                <w:t>ed)</w:t>
              </w:r>
            </w:hyperlink>
          </w:p>
        </w:tc>
        <w:tc>
          <w:tcPr>
            <w:tcW w:w="269" w:type="pct"/>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20"/>
                <w:szCs w:val="20"/>
              </w:rPr>
            </w:pPr>
            <w:r>
              <w:rPr>
                <w:sz w:val="20"/>
                <w:szCs w:val="20"/>
              </w:rPr>
              <w:t>2</w:t>
            </w:r>
          </w:p>
        </w:tc>
      </w:tr>
      <w:tr w:rsidR="00000000">
        <w:trPr>
          <w:divId w:val="161046862"/>
        </w:trPr>
        <w:tc>
          <w:tcPr>
            <w:tcW w:w="459" w:type="pct"/>
            <w:shd w:val="clear" w:color="auto" w:fill="CCEEFF"/>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hyperlink w:anchor="Item2ManagementsDiscussionandAnalysisof" w:history="1">
              <w:r>
                <w:rPr>
                  <w:rStyle w:val="a4"/>
                  <w:sz w:val="20"/>
                  <w:szCs w:val="20"/>
                </w:rPr>
                <w:t>Item 2.</w:t>
              </w:r>
            </w:hyperlink>
          </w:p>
        </w:tc>
        <w:tc>
          <w:tcPr>
            <w:tcW w:w="4270" w:type="pct"/>
            <w:shd w:val="clear" w:color="auto" w:fill="CCEEFF"/>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hyperlink w:anchor="Item2ManagementsDiscussionandAnalysisof" w:history="1">
              <w:r>
                <w:rPr>
                  <w:rStyle w:val="a4"/>
                  <w:sz w:val="20"/>
                  <w:szCs w:val="20"/>
                </w:rPr>
                <w:t>Management’s Discussion and Analysis of Financial Condition and Results of Operations</w:t>
              </w:r>
            </w:hyperlink>
          </w:p>
        </w:tc>
        <w:tc>
          <w:tcPr>
            <w:tcW w:w="269" w:type="pct"/>
            <w:shd w:val="clear" w:color="auto" w:fill="CCEEFF"/>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20"/>
                <w:szCs w:val="20"/>
              </w:rPr>
            </w:pPr>
            <w:r>
              <w:rPr>
                <w:sz w:val="20"/>
                <w:szCs w:val="20"/>
              </w:rPr>
              <w:t>28</w:t>
            </w:r>
          </w:p>
        </w:tc>
      </w:tr>
      <w:tr w:rsidR="00000000">
        <w:trPr>
          <w:divId w:val="161046862"/>
        </w:trPr>
        <w:tc>
          <w:tcPr>
            <w:tcW w:w="459" w:type="pct"/>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hyperlink w:anchor="Item3QuantitativeandQualitativeDisclosu" w:history="1">
              <w:r>
                <w:rPr>
                  <w:rStyle w:val="a4"/>
                  <w:sz w:val="20"/>
                  <w:szCs w:val="20"/>
                </w:rPr>
                <w:t>Item 3.</w:t>
              </w:r>
            </w:hyperlink>
          </w:p>
        </w:tc>
        <w:tc>
          <w:tcPr>
            <w:tcW w:w="4270" w:type="pct"/>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hyperlink w:anchor="Item3QuantitativeandQualitativeDisclosu" w:history="1">
              <w:r>
                <w:rPr>
                  <w:rStyle w:val="a4"/>
                  <w:sz w:val="20"/>
                  <w:szCs w:val="20"/>
                </w:rPr>
                <w:t>Quantitative and Qualitative Disclosures About Market Risk</w:t>
              </w:r>
            </w:hyperlink>
          </w:p>
        </w:tc>
        <w:tc>
          <w:tcPr>
            <w:tcW w:w="269" w:type="pct"/>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20"/>
                <w:szCs w:val="20"/>
              </w:rPr>
            </w:pPr>
            <w:r>
              <w:rPr>
                <w:sz w:val="20"/>
                <w:szCs w:val="20"/>
              </w:rPr>
              <w:t>35</w:t>
            </w:r>
          </w:p>
        </w:tc>
      </w:tr>
      <w:tr w:rsidR="00000000">
        <w:trPr>
          <w:divId w:val="161046862"/>
        </w:trPr>
        <w:tc>
          <w:tcPr>
            <w:tcW w:w="459" w:type="pct"/>
            <w:shd w:val="clear" w:color="auto" w:fill="CCEEFF"/>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hyperlink w:anchor="Item4ControlsandProcedures_270789" w:history="1">
              <w:r>
                <w:rPr>
                  <w:rStyle w:val="a4"/>
                  <w:sz w:val="20"/>
                  <w:szCs w:val="20"/>
                </w:rPr>
                <w:t>Item 4.</w:t>
              </w:r>
            </w:hyperlink>
          </w:p>
        </w:tc>
        <w:tc>
          <w:tcPr>
            <w:tcW w:w="4270" w:type="pct"/>
            <w:shd w:val="clear" w:color="auto" w:fill="CCEEFF"/>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hyperlink w:anchor="Item4ControlsandProcedures_270789" w:history="1">
              <w:r>
                <w:rPr>
                  <w:rStyle w:val="a4"/>
                  <w:sz w:val="20"/>
                  <w:szCs w:val="20"/>
                </w:rPr>
                <w:t>Controls and Procedures</w:t>
              </w:r>
            </w:hyperlink>
          </w:p>
        </w:tc>
        <w:tc>
          <w:tcPr>
            <w:tcW w:w="269" w:type="pct"/>
            <w:shd w:val="clear" w:color="auto" w:fill="CCEEFF"/>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20"/>
                <w:szCs w:val="20"/>
              </w:rPr>
            </w:pPr>
            <w:r>
              <w:rPr>
                <w:sz w:val="20"/>
                <w:szCs w:val="20"/>
              </w:rPr>
              <w:t>36</w:t>
            </w:r>
          </w:p>
        </w:tc>
      </w:tr>
      <w:tr w:rsidR="00000000">
        <w:trPr>
          <w:divId w:val="161046862"/>
        </w:trPr>
        <w:tc>
          <w:tcPr>
            <w:tcW w:w="4730" w:type="pct"/>
            <w:gridSpan w:val="2"/>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hyperlink w:anchor="PARTIIOTHERINFORMATION_407750" w:history="1">
              <w:r>
                <w:rPr>
                  <w:rStyle w:val="a4"/>
                  <w:sz w:val="20"/>
                  <w:szCs w:val="20"/>
                </w:rPr>
                <w:t>PART II OTHER INFORMATION</w:t>
              </w:r>
            </w:hyperlink>
          </w:p>
        </w:tc>
        <w:tc>
          <w:tcPr>
            <w:tcW w:w="269" w:type="pct"/>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20"/>
                <w:szCs w:val="20"/>
              </w:rPr>
            </w:pPr>
            <w:r>
              <w:rPr>
                <w:sz w:val="20"/>
                <w:szCs w:val="20"/>
              </w:rPr>
              <w:t>​</w:t>
            </w:r>
          </w:p>
        </w:tc>
      </w:tr>
      <w:tr w:rsidR="00000000">
        <w:trPr>
          <w:divId w:val="161046862"/>
        </w:trPr>
        <w:tc>
          <w:tcPr>
            <w:tcW w:w="459" w:type="pct"/>
            <w:shd w:val="clear" w:color="auto" w:fill="CCEEFF"/>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hyperlink w:anchor="Item1LegalProceedings_444925" w:history="1">
              <w:r>
                <w:rPr>
                  <w:rStyle w:val="a4"/>
                  <w:sz w:val="20"/>
                  <w:szCs w:val="20"/>
                </w:rPr>
                <w:t>Item 1.</w:t>
              </w:r>
            </w:hyperlink>
          </w:p>
        </w:tc>
        <w:tc>
          <w:tcPr>
            <w:tcW w:w="4270" w:type="pct"/>
            <w:shd w:val="clear" w:color="auto" w:fill="CCEEFF"/>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hyperlink w:anchor="Item1LegalProceedings_444925" w:history="1">
              <w:r>
                <w:rPr>
                  <w:rStyle w:val="a4"/>
                  <w:sz w:val="20"/>
                  <w:szCs w:val="20"/>
                </w:rPr>
                <w:t>Legal Proceedings</w:t>
              </w:r>
            </w:hyperlink>
          </w:p>
        </w:tc>
        <w:tc>
          <w:tcPr>
            <w:tcW w:w="269" w:type="pct"/>
            <w:shd w:val="clear" w:color="auto" w:fill="CCEEFF"/>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20"/>
                <w:szCs w:val="20"/>
              </w:rPr>
            </w:pPr>
            <w:r>
              <w:rPr>
                <w:sz w:val="20"/>
                <w:szCs w:val="20"/>
              </w:rPr>
              <w:t>36</w:t>
            </w:r>
          </w:p>
        </w:tc>
      </w:tr>
      <w:tr w:rsidR="00000000">
        <w:trPr>
          <w:divId w:val="161046862"/>
        </w:trPr>
        <w:tc>
          <w:tcPr>
            <w:tcW w:w="459" w:type="pct"/>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hyperlink w:anchor="Item1ARiskFactors_493740" w:history="1">
              <w:r>
                <w:rPr>
                  <w:rStyle w:val="a4"/>
                  <w:sz w:val="20"/>
                  <w:szCs w:val="20"/>
                </w:rPr>
                <w:t>Item 1A.</w:t>
              </w:r>
            </w:hyperlink>
          </w:p>
        </w:tc>
        <w:tc>
          <w:tcPr>
            <w:tcW w:w="4270" w:type="pct"/>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hyperlink w:anchor="Item1ARiskFactors_493740" w:history="1">
              <w:r>
                <w:rPr>
                  <w:rStyle w:val="a4"/>
                  <w:sz w:val="20"/>
                  <w:szCs w:val="20"/>
                </w:rPr>
                <w:t>Risk Factors</w:t>
              </w:r>
            </w:hyperlink>
          </w:p>
        </w:tc>
        <w:tc>
          <w:tcPr>
            <w:tcW w:w="269" w:type="pct"/>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20"/>
                <w:szCs w:val="20"/>
              </w:rPr>
            </w:pPr>
            <w:r>
              <w:rPr>
                <w:sz w:val="20"/>
                <w:szCs w:val="20"/>
              </w:rPr>
              <w:t>36</w:t>
            </w:r>
          </w:p>
        </w:tc>
      </w:tr>
      <w:tr w:rsidR="00000000">
        <w:trPr>
          <w:divId w:val="161046862"/>
        </w:trPr>
        <w:tc>
          <w:tcPr>
            <w:tcW w:w="459" w:type="pct"/>
            <w:shd w:val="clear" w:color="auto" w:fill="CCEEFF"/>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hyperlink w:anchor="Item2UnregisteredSalesofSecuritiesandUs" w:history="1">
              <w:r>
                <w:rPr>
                  <w:rStyle w:val="a4"/>
                  <w:sz w:val="20"/>
                  <w:szCs w:val="20"/>
                </w:rPr>
                <w:t>I</w:t>
              </w:r>
              <w:r>
                <w:rPr>
                  <w:rStyle w:val="a4"/>
                  <w:sz w:val="20"/>
                  <w:szCs w:val="20"/>
                </w:rPr>
                <w:t>tem 2.</w:t>
              </w:r>
            </w:hyperlink>
          </w:p>
        </w:tc>
        <w:tc>
          <w:tcPr>
            <w:tcW w:w="4270" w:type="pct"/>
            <w:shd w:val="clear" w:color="auto" w:fill="CCEEFF"/>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hyperlink w:anchor="Item2UnregisteredSalesofSecuritiesandUs" w:history="1">
              <w:r>
                <w:rPr>
                  <w:rStyle w:val="a4"/>
                  <w:sz w:val="20"/>
                  <w:szCs w:val="20"/>
                </w:rPr>
                <w:t>Unregistered Sales of Securities and Use of Proceeds</w:t>
              </w:r>
            </w:hyperlink>
          </w:p>
        </w:tc>
        <w:tc>
          <w:tcPr>
            <w:tcW w:w="269" w:type="pct"/>
            <w:shd w:val="clear" w:color="auto" w:fill="CCEEFF"/>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20"/>
                <w:szCs w:val="20"/>
              </w:rPr>
            </w:pPr>
            <w:r>
              <w:rPr>
                <w:sz w:val="20"/>
                <w:szCs w:val="20"/>
              </w:rPr>
              <w:t>80</w:t>
            </w:r>
          </w:p>
        </w:tc>
      </w:tr>
      <w:tr w:rsidR="00000000">
        <w:trPr>
          <w:divId w:val="161046862"/>
        </w:trPr>
        <w:tc>
          <w:tcPr>
            <w:tcW w:w="459" w:type="pct"/>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hyperlink w:anchor="Item3DefaultsUponSeniorSecurities_59720" w:history="1">
              <w:r>
                <w:rPr>
                  <w:rStyle w:val="a4"/>
                  <w:sz w:val="20"/>
                  <w:szCs w:val="20"/>
                </w:rPr>
                <w:t>Item 3.</w:t>
              </w:r>
            </w:hyperlink>
          </w:p>
        </w:tc>
        <w:tc>
          <w:tcPr>
            <w:tcW w:w="4270" w:type="pct"/>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hyperlink w:anchor="Item3DefaultsUponSeniorSecurities_59720" w:history="1">
              <w:r>
                <w:rPr>
                  <w:rStyle w:val="a4"/>
                  <w:sz w:val="20"/>
                  <w:szCs w:val="20"/>
                </w:rPr>
                <w:t>Defaults Upon Senior Securities</w:t>
              </w:r>
            </w:hyperlink>
          </w:p>
        </w:tc>
        <w:tc>
          <w:tcPr>
            <w:tcW w:w="269" w:type="pct"/>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20"/>
                <w:szCs w:val="20"/>
              </w:rPr>
            </w:pPr>
            <w:r>
              <w:rPr>
                <w:sz w:val="20"/>
                <w:szCs w:val="20"/>
              </w:rPr>
              <w:t>80</w:t>
            </w:r>
          </w:p>
        </w:tc>
      </w:tr>
      <w:tr w:rsidR="00000000">
        <w:trPr>
          <w:divId w:val="161046862"/>
        </w:trPr>
        <w:tc>
          <w:tcPr>
            <w:tcW w:w="459" w:type="pct"/>
            <w:shd w:val="clear" w:color="auto" w:fill="CCEEFF"/>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hyperlink w:anchor="Item4MineSafetyDisclosures_35877" w:history="1">
              <w:r>
                <w:rPr>
                  <w:rStyle w:val="a4"/>
                  <w:sz w:val="20"/>
                  <w:szCs w:val="20"/>
                </w:rPr>
                <w:t>Item 4.</w:t>
              </w:r>
            </w:hyperlink>
          </w:p>
        </w:tc>
        <w:tc>
          <w:tcPr>
            <w:tcW w:w="4270" w:type="pct"/>
            <w:shd w:val="clear" w:color="auto" w:fill="CCEEFF"/>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hyperlink w:anchor="Item4MineSafetyDisclosures_35877" w:history="1">
              <w:r>
                <w:rPr>
                  <w:rStyle w:val="a4"/>
                  <w:sz w:val="20"/>
                  <w:szCs w:val="20"/>
                </w:rPr>
                <w:t>Mine Safety Disclosure</w:t>
              </w:r>
            </w:hyperlink>
          </w:p>
        </w:tc>
        <w:tc>
          <w:tcPr>
            <w:tcW w:w="269" w:type="pct"/>
            <w:shd w:val="clear" w:color="auto" w:fill="CCEEFF"/>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20"/>
                <w:szCs w:val="20"/>
              </w:rPr>
            </w:pPr>
            <w:r>
              <w:rPr>
                <w:sz w:val="20"/>
                <w:szCs w:val="20"/>
              </w:rPr>
              <w:t>80</w:t>
            </w:r>
          </w:p>
        </w:tc>
      </w:tr>
      <w:tr w:rsidR="00000000">
        <w:trPr>
          <w:divId w:val="161046862"/>
        </w:trPr>
        <w:tc>
          <w:tcPr>
            <w:tcW w:w="459" w:type="pct"/>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hyperlink w:anchor="Item5OtherInformation_291306" w:history="1">
              <w:r>
                <w:rPr>
                  <w:rStyle w:val="a4"/>
                  <w:sz w:val="20"/>
                  <w:szCs w:val="20"/>
                </w:rPr>
                <w:t>Item 5.</w:t>
              </w:r>
            </w:hyperlink>
          </w:p>
        </w:tc>
        <w:tc>
          <w:tcPr>
            <w:tcW w:w="4270" w:type="pct"/>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hyperlink w:anchor="Item5OtherInformation_291306" w:history="1">
              <w:r>
                <w:rPr>
                  <w:rStyle w:val="a4"/>
                  <w:sz w:val="20"/>
                  <w:szCs w:val="20"/>
                </w:rPr>
                <w:t>Other Information</w:t>
              </w:r>
            </w:hyperlink>
          </w:p>
        </w:tc>
        <w:tc>
          <w:tcPr>
            <w:tcW w:w="269" w:type="pct"/>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20"/>
                <w:szCs w:val="20"/>
              </w:rPr>
            </w:pPr>
            <w:r>
              <w:rPr>
                <w:sz w:val="20"/>
                <w:szCs w:val="20"/>
              </w:rPr>
              <w:t>80</w:t>
            </w:r>
          </w:p>
        </w:tc>
      </w:tr>
      <w:tr w:rsidR="00000000">
        <w:trPr>
          <w:divId w:val="161046862"/>
        </w:trPr>
        <w:tc>
          <w:tcPr>
            <w:tcW w:w="459" w:type="pct"/>
            <w:shd w:val="clear" w:color="auto" w:fill="CCEEFF"/>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hyperlink w:anchor="Item6Exhibits_580240" w:history="1">
              <w:r>
                <w:rPr>
                  <w:rStyle w:val="a4"/>
                  <w:sz w:val="20"/>
                  <w:szCs w:val="20"/>
                </w:rPr>
                <w:t>Item 6.</w:t>
              </w:r>
            </w:hyperlink>
          </w:p>
        </w:tc>
        <w:tc>
          <w:tcPr>
            <w:tcW w:w="4270" w:type="pct"/>
            <w:shd w:val="clear" w:color="auto" w:fill="CCEEFF"/>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hyperlink w:anchor="Item6Exhibits_580240" w:history="1">
              <w:r>
                <w:rPr>
                  <w:rStyle w:val="a4"/>
                  <w:sz w:val="20"/>
                  <w:szCs w:val="20"/>
                </w:rPr>
                <w:t>Exhibits</w:t>
              </w:r>
            </w:hyperlink>
          </w:p>
        </w:tc>
        <w:tc>
          <w:tcPr>
            <w:tcW w:w="269" w:type="pct"/>
            <w:shd w:val="clear" w:color="auto" w:fill="CCEEFF"/>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20"/>
                <w:szCs w:val="20"/>
              </w:rPr>
            </w:pPr>
            <w:r>
              <w:rPr>
                <w:sz w:val="20"/>
                <w:szCs w:val="20"/>
              </w:rPr>
              <w:t>81</w:t>
            </w:r>
          </w:p>
        </w:tc>
      </w:tr>
      <w:tr w:rsidR="00000000">
        <w:trPr>
          <w:divId w:val="161046862"/>
        </w:trPr>
        <w:tc>
          <w:tcPr>
            <w:tcW w:w="4730" w:type="pct"/>
            <w:gridSpan w:val="2"/>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hyperlink w:anchor="SIGNATURES_241896" w:history="1">
              <w:r>
                <w:rPr>
                  <w:rStyle w:val="a4"/>
                  <w:sz w:val="20"/>
                  <w:szCs w:val="20"/>
                </w:rPr>
                <w:t>SIGNATURES</w:t>
              </w:r>
            </w:hyperlink>
          </w:p>
        </w:tc>
        <w:tc>
          <w:tcPr>
            <w:tcW w:w="269" w:type="pct"/>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20"/>
                <w:szCs w:val="20"/>
              </w:rPr>
            </w:pPr>
            <w:r>
              <w:rPr>
                <w:sz w:val="20"/>
                <w:szCs w:val="20"/>
              </w:rPr>
              <w:t>82</w:t>
            </w:r>
          </w:p>
        </w:tc>
      </w:tr>
    </w:tbl>
    <w:p w:rsidR="00000000" w:rsidRDefault="00FF2C06">
      <w:pPr>
        <w:pStyle w:val="a3"/>
        <w:spacing w:before="0" w:beforeAutospacing="0" w:after="0" w:afterAutospacing="0"/>
        <w:divId w:val="161046862"/>
        <w:rPr>
          <w:sz w:val="20"/>
          <w:szCs w:val="20"/>
        </w:rPr>
      </w:pPr>
      <w:r>
        <w:rPr>
          <w:sz w:val="2"/>
          <w:szCs w:val="2"/>
        </w:rPr>
        <w:t>​</w:t>
      </w:r>
    </w:p>
    <w:p w:rsidR="00000000" w:rsidRDefault="00FF2C06">
      <w:pPr>
        <w:pStyle w:val="a3"/>
        <w:spacing w:before="0" w:beforeAutospacing="0" w:after="0" w:afterAutospacing="0"/>
        <w:divId w:val="161046862"/>
        <w:rPr>
          <w:sz w:val="20"/>
          <w:szCs w:val="20"/>
        </w:rPr>
      </w:pPr>
      <w:r>
        <w:rPr>
          <w:sz w:val="20"/>
          <w:szCs w:val="20"/>
        </w:rPr>
        <w:t>​</w:t>
      </w:r>
    </w:p>
    <w:p w:rsidR="00000000" w:rsidRDefault="00FF2C06">
      <w:pPr>
        <w:pStyle w:val="a3"/>
        <w:spacing w:before="0" w:beforeAutospacing="0" w:after="0" w:afterAutospacing="0"/>
        <w:divId w:val="161046862"/>
        <w:rPr>
          <w:sz w:val="20"/>
          <w:szCs w:val="20"/>
        </w:rPr>
      </w:pPr>
      <w:r>
        <w:rPr>
          <w:sz w:val="20"/>
          <w:szCs w:val="20"/>
        </w:rPr>
        <w:t>​</w:t>
      </w:r>
    </w:p>
    <w:p w:rsidR="00000000" w:rsidRDefault="00FF2C06">
      <w:pPr>
        <w:pStyle w:val="a3"/>
        <w:spacing w:before="480" w:beforeAutospacing="0" w:after="0" w:afterAutospacing="0"/>
        <w:jc w:val="center"/>
        <w:divId w:val="240919789"/>
        <w:rPr>
          <w:sz w:val="20"/>
          <w:szCs w:val="20"/>
        </w:rPr>
      </w:pPr>
      <w:r>
        <w:rPr>
          <w:sz w:val="20"/>
          <w:szCs w:val="20"/>
        </w:rPr>
        <w:t>1</w:t>
      </w:r>
    </w:p>
    <w:p w:rsidR="00000000" w:rsidRDefault="00FF2C06">
      <w:pPr>
        <w:pStyle w:val="a3"/>
        <w:spacing w:before="0" w:beforeAutospacing="0" w:after="600" w:afterAutospacing="0"/>
        <w:divId w:val="546340149"/>
        <w:rPr>
          <w:sz w:val="20"/>
          <w:szCs w:val="20"/>
        </w:rPr>
      </w:pPr>
      <w:hyperlink w:anchor="TOC" w:history="1">
        <w:r>
          <w:rPr>
            <w:rStyle w:val="a4"/>
            <w:sz w:val="20"/>
            <w:szCs w:val="20"/>
          </w:rPr>
          <w:t>Table of Contents</w:t>
        </w:r>
      </w:hyperlink>
    </w:p>
    <w:p w:rsidR="00000000" w:rsidRDefault="00FF2C06">
      <w:pPr>
        <w:pStyle w:val="a3"/>
        <w:spacing w:before="0" w:beforeAutospacing="0" w:after="60" w:afterAutospacing="0"/>
        <w:jc w:val="center"/>
        <w:divId w:val="1151167840"/>
        <w:rPr>
          <w:b/>
          <w:bCs/>
          <w:sz w:val="20"/>
          <w:szCs w:val="20"/>
        </w:rPr>
      </w:pPr>
      <w:r>
        <w:rPr>
          <w:b/>
          <w:bCs/>
          <w:sz w:val="20"/>
          <w:szCs w:val="20"/>
        </w:rPr>
        <w:lastRenderedPageBreak/>
        <w:t>PART I. FINANCIAL INFORMATION</w:t>
      </w:r>
    </w:p>
    <w:tbl>
      <w:tblPr>
        <w:tblW w:w="0" w:type="auto"/>
        <w:tblCellMar>
          <w:top w:w="15" w:type="dxa"/>
          <w:left w:w="15" w:type="dxa"/>
          <w:bottom w:w="15" w:type="dxa"/>
          <w:right w:w="15" w:type="dxa"/>
        </w:tblCellMar>
        <w:tblLook w:val="04A0" w:firstRow="1" w:lastRow="0" w:firstColumn="1" w:lastColumn="0" w:noHBand="0" w:noVBand="1"/>
      </w:tblPr>
      <w:tblGrid>
        <w:gridCol w:w="736"/>
        <w:gridCol w:w="1795"/>
      </w:tblGrid>
      <w:tr w:rsidR="00000000">
        <w:trPr>
          <w:divId w:val="1151167840"/>
        </w:trPr>
        <w:tc>
          <w:tcPr>
            <w:tcW w:w="720" w:type="dxa"/>
            <w:noWrap/>
            <w:tcMar>
              <w:top w:w="0" w:type="dxa"/>
              <w:left w:w="0" w:type="dxa"/>
              <w:bottom w:w="0" w:type="dxa"/>
              <w:right w:w="0" w:type="dxa"/>
            </w:tcMar>
            <w:hideMark/>
          </w:tcPr>
          <w:p w:rsidR="00000000" w:rsidRDefault="00FF2C06">
            <w:pPr>
              <w:pStyle w:val="a3"/>
              <w:spacing w:before="0" w:beforeAutospacing="0" w:after="0" w:afterAutospacing="0"/>
              <w:rPr>
                <w:sz w:val="20"/>
                <w:szCs w:val="20"/>
              </w:rPr>
            </w:pPr>
            <w:r>
              <w:rPr>
                <w:b/>
                <w:bCs/>
                <w:sz w:val="20"/>
                <w:szCs w:val="20"/>
              </w:rPr>
              <w:t>Item 1.</w:t>
            </w:r>
          </w:p>
        </w:tc>
        <w:tc>
          <w:tcPr>
            <w:tcW w:w="0" w:type="auto"/>
            <w:tcMar>
              <w:top w:w="0" w:type="dxa"/>
              <w:left w:w="0" w:type="dxa"/>
              <w:bottom w:w="0" w:type="dxa"/>
              <w:right w:w="0" w:type="dxa"/>
            </w:tcMar>
            <w:vAlign w:val="center"/>
            <w:hideMark/>
          </w:tcPr>
          <w:p w:rsidR="00000000" w:rsidRDefault="00FF2C06">
            <w:pPr>
              <w:pStyle w:val="a3"/>
              <w:spacing w:before="0" w:beforeAutospacing="0" w:after="0" w:afterAutospacing="0"/>
              <w:rPr>
                <w:sz w:val="20"/>
                <w:szCs w:val="20"/>
              </w:rPr>
            </w:pPr>
            <w:r>
              <w:rPr>
                <w:b/>
                <w:bCs/>
                <w:sz w:val="20"/>
                <w:szCs w:val="20"/>
              </w:rPr>
              <w:t>Financial Statements</w:t>
            </w:r>
          </w:p>
        </w:tc>
      </w:tr>
    </w:tbl>
    <w:p w:rsidR="00000000" w:rsidRDefault="00FF2C06">
      <w:pPr>
        <w:pStyle w:val="a3"/>
        <w:spacing w:before="0" w:beforeAutospacing="0" w:after="0" w:afterAutospacing="0"/>
        <w:divId w:val="1151167840"/>
        <w:rPr>
          <w:sz w:val="20"/>
          <w:szCs w:val="20"/>
        </w:rPr>
      </w:pPr>
      <w:r>
        <w:rPr>
          <w:sz w:val="6"/>
          <w:szCs w:val="6"/>
        </w:rPr>
        <w:t>​</w:t>
      </w:r>
    </w:p>
    <w:p w:rsidR="00000000" w:rsidRDefault="00FF2C06">
      <w:pPr>
        <w:pStyle w:val="a3"/>
        <w:spacing w:before="0" w:beforeAutospacing="0" w:after="0" w:afterAutospacing="0"/>
        <w:jc w:val="center"/>
        <w:divId w:val="1151167840"/>
        <w:rPr>
          <w:b/>
          <w:bCs/>
          <w:sz w:val="20"/>
          <w:szCs w:val="20"/>
        </w:rPr>
      </w:pPr>
      <w:r>
        <w:rPr>
          <w:b/>
          <w:bCs/>
          <w:sz w:val="20"/>
          <w:szCs w:val="20"/>
        </w:rPr>
        <w:t>IOVANCE BIOTHERAPEUTICS, INC.</w:t>
      </w:r>
    </w:p>
    <w:p w:rsidR="00000000" w:rsidRDefault="00FF2C06">
      <w:pPr>
        <w:pStyle w:val="a3"/>
        <w:spacing w:before="0" w:beforeAutospacing="0" w:after="0" w:afterAutospacing="0"/>
        <w:jc w:val="center"/>
        <w:divId w:val="1151167840"/>
        <w:rPr>
          <w:sz w:val="20"/>
          <w:szCs w:val="20"/>
        </w:rPr>
      </w:pPr>
      <w:r>
        <w:rPr>
          <w:b/>
          <w:bCs/>
          <w:sz w:val="20"/>
          <w:szCs w:val="20"/>
        </w:rPr>
        <w:t>Condensed Consolidated Balance Sheets</w:t>
      </w:r>
    </w:p>
    <w:p w:rsidR="00000000" w:rsidRDefault="00FF2C06">
      <w:pPr>
        <w:pStyle w:val="a3"/>
        <w:spacing w:before="0" w:beforeAutospacing="0" w:after="0" w:afterAutospacing="0"/>
        <w:jc w:val="center"/>
        <w:divId w:val="1151167840"/>
        <w:rPr>
          <w:sz w:val="20"/>
          <w:szCs w:val="20"/>
        </w:rPr>
      </w:pPr>
      <w:r>
        <w:rPr>
          <w:b/>
          <w:bCs/>
          <w:sz w:val="20"/>
          <w:szCs w:val="20"/>
        </w:rPr>
        <w:t>(in thousands, except share and per share information)</w:t>
      </w:r>
    </w:p>
    <w:p w:rsidR="00000000" w:rsidRDefault="00FF2C06">
      <w:pPr>
        <w:pStyle w:val="a3"/>
        <w:spacing w:before="0" w:beforeAutospacing="0" w:after="0" w:afterAutospacing="0"/>
        <w:jc w:val="center"/>
        <w:divId w:val="1151167840"/>
        <w:rPr>
          <w:sz w:val="20"/>
          <w:szCs w:val="20"/>
        </w:rPr>
      </w:pPr>
      <w:r>
        <w:rPr>
          <w:sz w:val="8"/>
          <w:szCs w:val="8"/>
        </w:rPr>
        <w:t>​</w:t>
      </w:r>
    </w:p>
    <w:tbl>
      <w:tblPr>
        <w:tblW w:w="5000" w:type="pct"/>
        <w:tblCellMar>
          <w:top w:w="15" w:type="dxa"/>
          <w:left w:w="0" w:type="dxa"/>
          <w:bottom w:w="15" w:type="dxa"/>
          <w:right w:w="0" w:type="dxa"/>
        </w:tblCellMar>
        <w:tblLook w:val="04A0" w:firstRow="1" w:lastRow="0" w:firstColumn="1" w:lastColumn="0" w:noHBand="0" w:noVBand="1"/>
      </w:tblPr>
      <w:tblGrid>
        <w:gridCol w:w="5706"/>
        <w:gridCol w:w="180"/>
        <w:gridCol w:w="132"/>
        <w:gridCol w:w="1013"/>
        <w:gridCol w:w="180"/>
        <w:gridCol w:w="127"/>
        <w:gridCol w:w="968"/>
      </w:tblGrid>
      <w:tr w:rsidR="00000000">
        <w:trPr>
          <w:divId w:val="1151167840"/>
          <w:trHeight w:val="20"/>
        </w:trPr>
        <w:tc>
          <w:tcPr>
            <w:tcW w:w="3579" w:type="pct"/>
            <w:tcMar>
              <w:top w:w="0" w:type="dxa"/>
              <w:left w:w="0" w:type="dxa"/>
              <w:bottom w:w="0" w:type="dxa"/>
              <w:right w:w="0" w:type="dxa"/>
            </w:tcMar>
            <w:vAlign w:val="bottom"/>
            <w:hideMark/>
          </w:tcPr>
          <w:p w:rsidR="00000000" w:rsidRDefault="00FF2C06">
            <w:pPr>
              <w:pStyle w:val="a3"/>
              <w:spacing w:before="0" w:beforeAutospacing="0" w:after="1" w:afterAutospacing="0"/>
              <w:divId w:val="1092778911"/>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285576931"/>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477529680"/>
              <w:rPr>
                <w:sz w:val="20"/>
                <w:szCs w:val="20"/>
              </w:rPr>
            </w:pPr>
            <w:r>
              <w:rPr>
                <w:sz w:val="2"/>
                <w:szCs w:val="2"/>
              </w:rPr>
              <w:t>​</w:t>
            </w:r>
          </w:p>
        </w:tc>
        <w:tc>
          <w:tcPr>
            <w:tcW w:w="529"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2102947425"/>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620574060"/>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28399538"/>
              <w:rPr>
                <w:sz w:val="20"/>
                <w:szCs w:val="20"/>
              </w:rPr>
            </w:pPr>
            <w:r>
              <w:rPr>
                <w:sz w:val="2"/>
                <w:szCs w:val="2"/>
              </w:rPr>
              <w:t>​</w:t>
            </w:r>
          </w:p>
        </w:tc>
        <w:tc>
          <w:tcPr>
            <w:tcW w:w="529"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402143784"/>
              <w:rPr>
                <w:sz w:val="20"/>
                <w:szCs w:val="20"/>
              </w:rPr>
            </w:pPr>
            <w:r>
              <w:rPr>
                <w:sz w:val="2"/>
                <w:szCs w:val="2"/>
              </w:rPr>
              <w:t>​</w:t>
            </w:r>
          </w:p>
        </w:tc>
      </w:tr>
      <w:tr w:rsidR="00000000">
        <w:trPr>
          <w:divId w:val="1151167840"/>
        </w:trPr>
        <w:tc>
          <w:tcPr>
            <w:tcW w:w="3579" w:type="pct"/>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sz w:val="18"/>
                <w:szCs w:val="18"/>
              </w:rPr>
              <w:t>​</w:t>
            </w:r>
          </w:p>
        </w:tc>
        <w:tc>
          <w:tcPr>
            <w:tcW w:w="11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b/>
                <w:bCs/>
                <w:sz w:val="18"/>
                <w:szCs w:val="18"/>
              </w:rPr>
              <w:t>    </w:t>
            </w:r>
          </w:p>
        </w:tc>
        <w:tc>
          <w:tcPr>
            <w:tcW w:w="599" w:type="pct"/>
            <w:gridSpan w:val="2"/>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8"/>
                <w:szCs w:val="18"/>
              </w:rPr>
            </w:pPr>
            <w:r>
              <w:rPr>
                <w:b/>
                <w:bCs/>
                <w:sz w:val="18"/>
                <w:szCs w:val="18"/>
              </w:rPr>
              <w:t>September 30, </w:t>
            </w:r>
          </w:p>
        </w:tc>
        <w:tc>
          <w:tcPr>
            <w:tcW w:w="11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18"/>
                <w:szCs w:val="18"/>
              </w:rPr>
              <w:t>​</w:t>
            </w:r>
          </w:p>
        </w:tc>
        <w:tc>
          <w:tcPr>
            <w:tcW w:w="599" w:type="pct"/>
            <w:gridSpan w:val="2"/>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8"/>
                <w:szCs w:val="18"/>
              </w:rPr>
            </w:pPr>
            <w:r>
              <w:rPr>
                <w:b/>
                <w:bCs/>
                <w:sz w:val="18"/>
                <w:szCs w:val="18"/>
              </w:rPr>
              <w:t>December 31, </w:t>
            </w:r>
          </w:p>
        </w:tc>
      </w:tr>
      <w:tr w:rsidR="00000000">
        <w:trPr>
          <w:divId w:val="1151167840"/>
        </w:trPr>
        <w:tc>
          <w:tcPr>
            <w:tcW w:w="3579" w:type="pct"/>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sz w:val="18"/>
                <w:szCs w:val="18"/>
              </w:rPr>
              <w:t>​</w:t>
            </w:r>
          </w:p>
        </w:tc>
        <w:tc>
          <w:tcPr>
            <w:tcW w:w="11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b/>
                <w:bCs/>
                <w:sz w:val="18"/>
                <w:szCs w:val="18"/>
              </w:rPr>
              <w:t>    </w:t>
            </w:r>
          </w:p>
        </w:tc>
        <w:tc>
          <w:tcPr>
            <w:tcW w:w="599"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8"/>
                <w:szCs w:val="18"/>
              </w:rPr>
            </w:pPr>
            <w:r>
              <w:rPr>
                <w:b/>
                <w:bCs/>
                <w:sz w:val="18"/>
                <w:szCs w:val="18"/>
              </w:rPr>
              <w:t>2020</w:t>
            </w:r>
          </w:p>
        </w:tc>
        <w:tc>
          <w:tcPr>
            <w:tcW w:w="11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b/>
                <w:bCs/>
                <w:sz w:val="18"/>
                <w:szCs w:val="18"/>
              </w:rPr>
              <w:t>    </w:t>
            </w:r>
          </w:p>
        </w:tc>
        <w:tc>
          <w:tcPr>
            <w:tcW w:w="599"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8"/>
                <w:szCs w:val="18"/>
              </w:rPr>
            </w:pPr>
            <w:r>
              <w:rPr>
                <w:b/>
                <w:bCs/>
                <w:sz w:val="18"/>
                <w:szCs w:val="18"/>
              </w:rPr>
              <w:t>2019</w:t>
            </w:r>
          </w:p>
        </w:tc>
      </w:tr>
      <w:tr w:rsidR="00000000">
        <w:trPr>
          <w:divId w:val="1151167840"/>
        </w:trPr>
        <w:tc>
          <w:tcPr>
            <w:tcW w:w="3579"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11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599" w:type="pct"/>
            <w:gridSpan w:val="2"/>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8"/>
                <w:szCs w:val="18"/>
              </w:rPr>
            </w:pPr>
            <w:r>
              <w:rPr>
                <w:sz w:val="18"/>
                <w:szCs w:val="18"/>
              </w:rPr>
              <w:t>(unaudited)</w:t>
            </w:r>
          </w:p>
        </w:tc>
        <w:tc>
          <w:tcPr>
            <w:tcW w:w="11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52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r>
      <w:tr w:rsidR="00000000">
        <w:trPr>
          <w:divId w:val="1151167840"/>
        </w:trPr>
        <w:tc>
          <w:tcPr>
            <w:tcW w:w="3579"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b/>
                <w:bCs/>
                <w:sz w:val="18"/>
                <w:szCs w:val="18"/>
              </w:rPr>
              <w:t>ASSETS</w:t>
            </w:r>
          </w:p>
        </w:tc>
        <w:tc>
          <w:tcPr>
            <w:tcW w:w="11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52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  </w:t>
            </w:r>
          </w:p>
        </w:tc>
        <w:tc>
          <w:tcPr>
            <w:tcW w:w="11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sz w:val="18"/>
                <w:szCs w:val="18"/>
              </w:rPr>
              <w:t> </w:t>
            </w:r>
          </w:p>
        </w:tc>
        <w:tc>
          <w:tcPr>
            <w:tcW w:w="6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52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  </w:t>
            </w:r>
          </w:p>
        </w:tc>
      </w:tr>
      <w:tr w:rsidR="00000000">
        <w:trPr>
          <w:divId w:val="1151167840"/>
        </w:trPr>
        <w:tc>
          <w:tcPr>
            <w:tcW w:w="3579"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11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529"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  </w:t>
            </w:r>
          </w:p>
        </w:tc>
        <w:tc>
          <w:tcPr>
            <w:tcW w:w="11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sz w:val="18"/>
                <w:szCs w:val="18"/>
              </w:rPr>
              <w:t> </w:t>
            </w:r>
          </w:p>
        </w:tc>
        <w:tc>
          <w:tcPr>
            <w:tcW w:w="6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529"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  </w:t>
            </w:r>
          </w:p>
        </w:tc>
      </w:tr>
      <w:tr w:rsidR="00000000">
        <w:trPr>
          <w:divId w:val="1151167840"/>
        </w:trPr>
        <w:tc>
          <w:tcPr>
            <w:tcW w:w="3579"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b/>
                <w:bCs/>
                <w:sz w:val="18"/>
                <w:szCs w:val="18"/>
              </w:rPr>
              <w:t>Current Assets</w:t>
            </w:r>
          </w:p>
        </w:tc>
        <w:tc>
          <w:tcPr>
            <w:tcW w:w="11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52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  </w:t>
            </w:r>
          </w:p>
        </w:tc>
        <w:tc>
          <w:tcPr>
            <w:tcW w:w="11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sz w:val="18"/>
                <w:szCs w:val="18"/>
              </w:rPr>
              <w:t> </w:t>
            </w:r>
          </w:p>
        </w:tc>
        <w:tc>
          <w:tcPr>
            <w:tcW w:w="6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52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  </w:t>
            </w:r>
          </w:p>
        </w:tc>
      </w:tr>
      <w:tr w:rsidR="00000000">
        <w:trPr>
          <w:divId w:val="1151167840"/>
        </w:trPr>
        <w:tc>
          <w:tcPr>
            <w:tcW w:w="3579" w:type="pct"/>
            <w:tcMar>
              <w:top w:w="0" w:type="dxa"/>
              <w:left w:w="0" w:type="dxa"/>
              <w:bottom w:w="0" w:type="dxa"/>
              <w:right w:w="0" w:type="dxa"/>
            </w:tcMar>
            <w:vAlign w:val="bottom"/>
            <w:hideMark/>
          </w:tcPr>
          <w:p w:rsidR="00000000" w:rsidRDefault="00FF2C06">
            <w:pPr>
              <w:pStyle w:val="a3"/>
              <w:spacing w:before="0" w:beforeAutospacing="0" w:after="1" w:afterAutospacing="0"/>
              <w:ind w:left="240"/>
              <w:rPr>
                <w:sz w:val="18"/>
                <w:szCs w:val="18"/>
              </w:rPr>
            </w:pPr>
            <w:r>
              <w:rPr>
                <w:sz w:val="18"/>
                <w:szCs w:val="18"/>
              </w:rPr>
              <w:t>Cash and cash equivalents</w:t>
            </w:r>
          </w:p>
        </w:tc>
        <w:tc>
          <w:tcPr>
            <w:tcW w:w="11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sz w:val="18"/>
                <w:szCs w:val="18"/>
              </w:rPr>
              <w:t>$</w:t>
            </w:r>
          </w:p>
        </w:tc>
        <w:tc>
          <w:tcPr>
            <w:tcW w:w="529"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68,310</w:t>
            </w:r>
          </w:p>
        </w:tc>
        <w:tc>
          <w:tcPr>
            <w:tcW w:w="11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sz w:val="18"/>
                <w:szCs w:val="18"/>
              </w:rPr>
              <w:t>$</w:t>
            </w:r>
          </w:p>
        </w:tc>
        <w:tc>
          <w:tcPr>
            <w:tcW w:w="529"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13,969</w:t>
            </w:r>
          </w:p>
        </w:tc>
      </w:tr>
      <w:tr w:rsidR="00000000">
        <w:trPr>
          <w:divId w:val="1151167840"/>
        </w:trPr>
        <w:tc>
          <w:tcPr>
            <w:tcW w:w="3579"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ind w:left="240"/>
              <w:rPr>
                <w:sz w:val="18"/>
                <w:szCs w:val="18"/>
              </w:rPr>
            </w:pPr>
            <w:r>
              <w:rPr>
                <w:sz w:val="18"/>
                <w:szCs w:val="18"/>
              </w:rPr>
              <w:t>Short-term investments</w:t>
            </w:r>
          </w:p>
        </w:tc>
        <w:tc>
          <w:tcPr>
            <w:tcW w:w="11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sz w:val="18"/>
                <w:szCs w:val="18"/>
              </w:rPr>
              <w:t> </w:t>
            </w:r>
          </w:p>
        </w:tc>
        <w:tc>
          <w:tcPr>
            <w:tcW w:w="52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645,838</w:t>
            </w:r>
          </w:p>
        </w:tc>
        <w:tc>
          <w:tcPr>
            <w:tcW w:w="11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sz w:val="18"/>
                <w:szCs w:val="18"/>
              </w:rPr>
              <w:t> </w:t>
            </w:r>
          </w:p>
        </w:tc>
        <w:tc>
          <w:tcPr>
            <w:tcW w:w="52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293,112</w:t>
            </w:r>
          </w:p>
        </w:tc>
      </w:tr>
      <w:tr w:rsidR="00000000">
        <w:trPr>
          <w:divId w:val="1151167840"/>
        </w:trPr>
        <w:tc>
          <w:tcPr>
            <w:tcW w:w="3579" w:type="pct"/>
            <w:tcMar>
              <w:top w:w="0" w:type="dxa"/>
              <w:left w:w="0" w:type="dxa"/>
              <w:bottom w:w="0" w:type="dxa"/>
              <w:right w:w="0" w:type="dxa"/>
            </w:tcMar>
            <w:vAlign w:val="bottom"/>
            <w:hideMark/>
          </w:tcPr>
          <w:p w:rsidR="00000000" w:rsidRDefault="00FF2C06">
            <w:pPr>
              <w:pStyle w:val="a3"/>
              <w:spacing w:before="0" w:beforeAutospacing="0" w:after="1" w:afterAutospacing="0"/>
              <w:ind w:left="240"/>
              <w:rPr>
                <w:sz w:val="18"/>
                <w:szCs w:val="18"/>
              </w:rPr>
            </w:pPr>
            <w:r>
              <w:rPr>
                <w:sz w:val="18"/>
                <w:szCs w:val="18"/>
              </w:rPr>
              <w:t>Prepaid expenses and other assets</w:t>
            </w:r>
          </w:p>
        </w:tc>
        <w:tc>
          <w:tcPr>
            <w:tcW w:w="11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sz w:val="18"/>
                <w:szCs w:val="18"/>
              </w:rPr>
              <w:t> </w:t>
            </w:r>
          </w:p>
        </w:tc>
        <w:tc>
          <w:tcPr>
            <w:tcW w:w="529"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9,442</w:t>
            </w:r>
          </w:p>
        </w:tc>
        <w:tc>
          <w:tcPr>
            <w:tcW w:w="11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sz w:val="18"/>
                <w:szCs w:val="18"/>
              </w:rPr>
              <w:t> </w:t>
            </w:r>
          </w:p>
        </w:tc>
        <w:tc>
          <w:tcPr>
            <w:tcW w:w="529"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9,412</w:t>
            </w:r>
          </w:p>
        </w:tc>
      </w:tr>
      <w:tr w:rsidR="00000000">
        <w:trPr>
          <w:divId w:val="1151167840"/>
        </w:trPr>
        <w:tc>
          <w:tcPr>
            <w:tcW w:w="3579"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ind w:left="240"/>
              <w:rPr>
                <w:sz w:val="18"/>
                <w:szCs w:val="18"/>
              </w:rPr>
            </w:pPr>
            <w:r>
              <w:rPr>
                <w:b/>
                <w:bCs/>
                <w:sz w:val="18"/>
                <w:szCs w:val="18"/>
              </w:rPr>
              <w:t>Total Current Assets</w:t>
            </w:r>
          </w:p>
        </w:tc>
        <w:tc>
          <w:tcPr>
            <w:tcW w:w="11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sz w:val="18"/>
                <w:szCs w:val="18"/>
              </w:rPr>
              <w:t> </w:t>
            </w:r>
          </w:p>
        </w:tc>
        <w:tc>
          <w:tcPr>
            <w:tcW w:w="52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723,590</w:t>
            </w:r>
          </w:p>
        </w:tc>
        <w:tc>
          <w:tcPr>
            <w:tcW w:w="11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sz w:val="18"/>
                <w:szCs w:val="18"/>
              </w:rPr>
              <w:t> </w:t>
            </w:r>
          </w:p>
        </w:tc>
        <w:tc>
          <w:tcPr>
            <w:tcW w:w="52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316,493</w:t>
            </w:r>
          </w:p>
        </w:tc>
      </w:tr>
      <w:tr w:rsidR="00000000">
        <w:trPr>
          <w:divId w:val="1151167840"/>
        </w:trPr>
        <w:tc>
          <w:tcPr>
            <w:tcW w:w="3579"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11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sz w:val="18"/>
                <w:szCs w:val="18"/>
              </w:rPr>
              <w:t> </w:t>
            </w:r>
          </w:p>
        </w:tc>
        <w:tc>
          <w:tcPr>
            <w:tcW w:w="529"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  </w:t>
            </w:r>
          </w:p>
        </w:tc>
        <w:tc>
          <w:tcPr>
            <w:tcW w:w="11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sz w:val="18"/>
                <w:szCs w:val="18"/>
              </w:rPr>
              <w:t> </w:t>
            </w:r>
          </w:p>
        </w:tc>
        <w:tc>
          <w:tcPr>
            <w:tcW w:w="529"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  </w:t>
            </w:r>
          </w:p>
        </w:tc>
      </w:tr>
      <w:tr w:rsidR="00000000">
        <w:trPr>
          <w:divId w:val="1151167840"/>
        </w:trPr>
        <w:tc>
          <w:tcPr>
            <w:tcW w:w="3579"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ind w:left="240"/>
              <w:rPr>
                <w:sz w:val="18"/>
                <w:szCs w:val="18"/>
              </w:rPr>
            </w:pPr>
            <w:r>
              <w:rPr>
                <w:sz w:val="18"/>
                <w:szCs w:val="18"/>
              </w:rPr>
              <w:t>Property and equipment, net</w:t>
            </w:r>
          </w:p>
        </w:tc>
        <w:tc>
          <w:tcPr>
            <w:tcW w:w="11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52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39,112</w:t>
            </w:r>
          </w:p>
        </w:tc>
        <w:tc>
          <w:tcPr>
            <w:tcW w:w="11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52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8,536</w:t>
            </w:r>
          </w:p>
        </w:tc>
      </w:tr>
      <w:tr w:rsidR="00000000">
        <w:trPr>
          <w:divId w:val="1151167840"/>
        </w:trPr>
        <w:tc>
          <w:tcPr>
            <w:tcW w:w="3579" w:type="pct"/>
            <w:tcMar>
              <w:top w:w="0" w:type="dxa"/>
              <w:left w:w="0" w:type="dxa"/>
              <w:bottom w:w="0" w:type="dxa"/>
              <w:right w:w="0" w:type="dxa"/>
            </w:tcMar>
            <w:vAlign w:val="bottom"/>
            <w:hideMark/>
          </w:tcPr>
          <w:p w:rsidR="00000000" w:rsidRDefault="00FF2C06">
            <w:pPr>
              <w:pStyle w:val="a3"/>
              <w:spacing w:before="0" w:beforeAutospacing="0" w:after="1" w:afterAutospacing="0"/>
              <w:ind w:left="240"/>
              <w:rPr>
                <w:sz w:val="18"/>
                <w:szCs w:val="18"/>
              </w:rPr>
            </w:pPr>
            <w:r>
              <w:rPr>
                <w:sz w:val="18"/>
                <w:szCs w:val="18"/>
              </w:rPr>
              <w:t>Operating lease right-of-use assets</w:t>
            </w:r>
          </w:p>
        </w:tc>
        <w:tc>
          <w:tcPr>
            <w:tcW w:w="11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529"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10,682</w:t>
            </w:r>
          </w:p>
        </w:tc>
        <w:tc>
          <w:tcPr>
            <w:tcW w:w="11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529"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10,695</w:t>
            </w:r>
          </w:p>
        </w:tc>
      </w:tr>
      <w:tr w:rsidR="00000000">
        <w:trPr>
          <w:divId w:val="1151167840"/>
        </w:trPr>
        <w:tc>
          <w:tcPr>
            <w:tcW w:w="3579"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ind w:left="240"/>
              <w:rPr>
                <w:sz w:val="18"/>
                <w:szCs w:val="18"/>
              </w:rPr>
            </w:pPr>
            <w:r>
              <w:rPr>
                <w:sz w:val="18"/>
                <w:szCs w:val="18"/>
              </w:rPr>
              <w:t>Restricted cash</w:t>
            </w:r>
          </w:p>
        </w:tc>
        <w:tc>
          <w:tcPr>
            <w:tcW w:w="11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52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5,525</w:t>
            </w:r>
          </w:p>
        </w:tc>
        <w:tc>
          <w:tcPr>
            <w:tcW w:w="11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52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5,450</w:t>
            </w:r>
          </w:p>
        </w:tc>
      </w:tr>
      <w:tr w:rsidR="00000000">
        <w:trPr>
          <w:divId w:val="1151167840"/>
        </w:trPr>
        <w:tc>
          <w:tcPr>
            <w:tcW w:w="3579" w:type="pct"/>
            <w:tcMar>
              <w:top w:w="0" w:type="dxa"/>
              <w:left w:w="0" w:type="dxa"/>
              <w:bottom w:w="0" w:type="dxa"/>
              <w:right w:w="0" w:type="dxa"/>
            </w:tcMar>
            <w:vAlign w:val="bottom"/>
            <w:hideMark/>
          </w:tcPr>
          <w:p w:rsidR="00000000" w:rsidRDefault="00FF2C06">
            <w:pPr>
              <w:pStyle w:val="a3"/>
              <w:spacing w:before="0" w:beforeAutospacing="0" w:after="1" w:afterAutospacing="0"/>
              <w:ind w:left="240"/>
              <w:rPr>
                <w:sz w:val="18"/>
                <w:szCs w:val="18"/>
              </w:rPr>
            </w:pPr>
            <w:r>
              <w:rPr>
                <w:sz w:val="18"/>
                <w:szCs w:val="18"/>
              </w:rPr>
              <w:t>Long-term assets</w:t>
            </w:r>
          </w:p>
        </w:tc>
        <w:tc>
          <w:tcPr>
            <w:tcW w:w="11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sz w:val="18"/>
                <w:szCs w:val="18"/>
              </w:rPr>
              <w:t> </w:t>
            </w:r>
          </w:p>
        </w:tc>
        <w:tc>
          <w:tcPr>
            <w:tcW w:w="529"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3,385</w:t>
            </w:r>
          </w:p>
        </w:tc>
        <w:tc>
          <w:tcPr>
            <w:tcW w:w="11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sz w:val="18"/>
                <w:szCs w:val="18"/>
              </w:rPr>
              <w:t> </w:t>
            </w:r>
          </w:p>
        </w:tc>
        <w:tc>
          <w:tcPr>
            <w:tcW w:w="529"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3,481</w:t>
            </w:r>
          </w:p>
        </w:tc>
      </w:tr>
      <w:tr w:rsidR="00000000">
        <w:trPr>
          <w:divId w:val="1151167840"/>
        </w:trPr>
        <w:tc>
          <w:tcPr>
            <w:tcW w:w="3579"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ind w:left="240"/>
              <w:rPr>
                <w:sz w:val="18"/>
                <w:szCs w:val="18"/>
              </w:rPr>
            </w:pPr>
            <w:r>
              <w:rPr>
                <w:b/>
                <w:bCs/>
                <w:sz w:val="18"/>
                <w:szCs w:val="18"/>
              </w:rPr>
              <w:t>Total Assets</w:t>
            </w:r>
          </w:p>
        </w:tc>
        <w:tc>
          <w:tcPr>
            <w:tcW w:w="11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sz w:val="18"/>
                <w:szCs w:val="18"/>
              </w:rPr>
              <w:t>$</w:t>
            </w:r>
          </w:p>
        </w:tc>
        <w:tc>
          <w:tcPr>
            <w:tcW w:w="5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782,294</w:t>
            </w:r>
          </w:p>
        </w:tc>
        <w:tc>
          <w:tcPr>
            <w:tcW w:w="11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sz w:val="18"/>
                <w:szCs w:val="18"/>
              </w:rPr>
              <w:t>$</w:t>
            </w:r>
          </w:p>
        </w:tc>
        <w:tc>
          <w:tcPr>
            <w:tcW w:w="5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344,655</w:t>
            </w:r>
          </w:p>
        </w:tc>
      </w:tr>
      <w:tr w:rsidR="00000000">
        <w:trPr>
          <w:divId w:val="1151167840"/>
        </w:trPr>
        <w:tc>
          <w:tcPr>
            <w:tcW w:w="3579"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11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sz w:val="18"/>
                <w:szCs w:val="18"/>
              </w:rPr>
              <w:t> </w:t>
            </w:r>
          </w:p>
        </w:tc>
        <w:tc>
          <w:tcPr>
            <w:tcW w:w="529"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  </w:t>
            </w:r>
          </w:p>
        </w:tc>
        <w:tc>
          <w:tcPr>
            <w:tcW w:w="11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sz w:val="18"/>
                <w:szCs w:val="18"/>
              </w:rPr>
              <w:t> </w:t>
            </w:r>
          </w:p>
        </w:tc>
        <w:tc>
          <w:tcPr>
            <w:tcW w:w="529"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  </w:t>
            </w:r>
          </w:p>
        </w:tc>
      </w:tr>
      <w:tr w:rsidR="00000000">
        <w:trPr>
          <w:divId w:val="1151167840"/>
        </w:trPr>
        <w:tc>
          <w:tcPr>
            <w:tcW w:w="3579"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b/>
                <w:bCs/>
                <w:sz w:val="18"/>
                <w:szCs w:val="18"/>
              </w:rPr>
              <w:t>LIABILITIES AND STOCKHOLDERS’ EQUITY</w:t>
            </w:r>
          </w:p>
        </w:tc>
        <w:tc>
          <w:tcPr>
            <w:tcW w:w="11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sz w:val="18"/>
                <w:szCs w:val="18"/>
              </w:rPr>
              <w:t> </w:t>
            </w:r>
          </w:p>
        </w:tc>
        <w:tc>
          <w:tcPr>
            <w:tcW w:w="52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  </w:t>
            </w:r>
          </w:p>
        </w:tc>
        <w:tc>
          <w:tcPr>
            <w:tcW w:w="11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sz w:val="18"/>
                <w:szCs w:val="18"/>
              </w:rPr>
              <w:t> </w:t>
            </w:r>
          </w:p>
        </w:tc>
        <w:tc>
          <w:tcPr>
            <w:tcW w:w="52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  </w:t>
            </w:r>
          </w:p>
        </w:tc>
      </w:tr>
      <w:tr w:rsidR="00000000">
        <w:trPr>
          <w:divId w:val="1151167840"/>
        </w:trPr>
        <w:tc>
          <w:tcPr>
            <w:tcW w:w="3579"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11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sz w:val="18"/>
                <w:szCs w:val="18"/>
              </w:rPr>
              <w:t> </w:t>
            </w:r>
          </w:p>
        </w:tc>
        <w:tc>
          <w:tcPr>
            <w:tcW w:w="529"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  </w:t>
            </w:r>
          </w:p>
        </w:tc>
        <w:tc>
          <w:tcPr>
            <w:tcW w:w="11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sz w:val="18"/>
                <w:szCs w:val="18"/>
              </w:rPr>
              <w:t> </w:t>
            </w:r>
          </w:p>
        </w:tc>
        <w:tc>
          <w:tcPr>
            <w:tcW w:w="529"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  </w:t>
            </w:r>
          </w:p>
        </w:tc>
      </w:tr>
      <w:tr w:rsidR="00000000">
        <w:trPr>
          <w:divId w:val="1151167840"/>
        </w:trPr>
        <w:tc>
          <w:tcPr>
            <w:tcW w:w="3579"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b/>
                <w:bCs/>
                <w:sz w:val="18"/>
                <w:szCs w:val="18"/>
              </w:rPr>
              <w:t>Current Liabilities</w:t>
            </w:r>
          </w:p>
        </w:tc>
        <w:tc>
          <w:tcPr>
            <w:tcW w:w="11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sz w:val="18"/>
                <w:szCs w:val="18"/>
              </w:rPr>
              <w:t> </w:t>
            </w:r>
          </w:p>
        </w:tc>
        <w:tc>
          <w:tcPr>
            <w:tcW w:w="52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  </w:t>
            </w:r>
          </w:p>
        </w:tc>
        <w:tc>
          <w:tcPr>
            <w:tcW w:w="11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sz w:val="18"/>
                <w:szCs w:val="18"/>
              </w:rPr>
              <w:t> </w:t>
            </w:r>
          </w:p>
        </w:tc>
        <w:tc>
          <w:tcPr>
            <w:tcW w:w="52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  </w:t>
            </w:r>
          </w:p>
        </w:tc>
      </w:tr>
      <w:tr w:rsidR="00000000">
        <w:trPr>
          <w:divId w:val="1151167840"/>
        </w:trPr>
        <w:tc>
          <w:tcPr>
            <w:tcW w:w="3579" w:type="pct"/>
            <w:tcMar>
              <w:top w:w="0" w:type="dxa"/>
              <w:left w:w="0" w:type="dxa"/>
              <w:bottom w:w="0" w:type="dxa"/>
              <w:right w:w="0" w:type="dxa"/>
            </w:tcMar>
            <w:vAlign w:val="bottom"/>
            <w:hideMark/>
          </w:tcPr>
          <w:p w:rsidR="00000000" w:rsidRDefault="00FF2C06">
            <w:pPr>
              <w:pStyle w:val="a3"/>
              <w:spacing w:before="0" w:beforeAutospacing="0" w:after="1" w:afterAutospacing="0"/>
              <w:ind w:left="240"/>
              <w:rPr>
                <w:sz w:val="18"/>
                <w:szCs w:val="18"/>
              </w:rPr>
            </w:pPr>
            <w:r>
              <w:rPr>
                <w:sz w:val="18"/>
                <w:szCs w:val="18"/>
              </w:rPr>
              <w:t>Accounts payable</w:t>
            </w:r>
          </w:p>
        </w:tc>
        <w:tc>
          <w:tcPr>
            <w:tcW w:w="11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sz w:val="18"/>
                <w:szCs w:val="18"/>
              </w:rPr>
              <w:t>$</w:t>
            </w:r>
          </w:p>
        </w:tc>
        <w:tc>
          <w:tcPr>
            <w:tcW w:w="529"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24,794</w:t>
            </w:r>
          </w:p>
        </w:tc>
        <w:tc>
          <w:tcPr>
            <w:tcW w:w="11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sz w:val="18"/>
                <w:szCs w:val="18"/>
              </w:rPr>
              <w:t>$</w:t>
            </w:r>
          </w:p>
        </w:tc>
        <w:tc>
          <w:tcPr>
            <w:tcW w:w="529"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15,567</w:t>
            </w:r>
          </w:p>
        </w:tc>
      </w:tr>
      <w:tr w:rsidR="00000000">
        <w:trPr>
          <w:divId w:val="1151167840"/>
        </w:trPr>
        <w:tc>
          <w:tcPr>
            <w:tcW w:w="3579"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ind w:left="240"/>
              <w:rPr>
                <w:sz w:val="18"/>
                <w:szCs w:val="18"/>
              </w:rPr>
            </w:pPr>
            <w:r>
              <w:rPr>
                <w:sz w:val="18"/>
                <w:szCs w:val="18"/>
              </w:rPr>
              <w:t>Accrued expenses</w:t>
            </w:r>
          </w:p>
        </w:tc>
        <w:tc>
          <w:tcPr>
            <w:tcW w:w="11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sz w:val="18"/>
                <w:szCs w:val="18"/>
              </w:rPr>
              <w:t> </w:t>
            </w:r>
          </w:p>
        </w:tc>
        <w:tc>
          <w:tcPr>
            <w:tcW w:w="52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32,400</w:t>
            </w:r>
          </w:p>
        </w:tc>
        <w:tc>
          <w:tcPr>
            <w:tcW w:w="11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sz w:val="18"/>
                <w:szCs w:val="18"/>
              </w:rPr>
              <w:t> </w:t>
            </w:r>
          </w:p>
        </w:tc>
        <w:tc>
          <w:tcPr>
            <w:tcW w:w="52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16,265</w:t>
            </w:r>
          </w:p>
        </w:tc>
      </w:tr>
      <w:tr w:rsidR="00000000">
        <w:trPr>
          <w:divId w:val="1151167840"/>
        </w:trPr>
        <w:tc>
          <w:tcPr>
            <w:tcW w:w="3579" w:type="pct"/>
            <w:tcMar>
              <w:top w:w="0" w:type="dxa"/>
              <w:left w:w="0" w:type="dxa"/>
              <w:bottom w:w="0" w:type="dxa"/>
              <w:right w:w="0" w:type="dxa"/>
            </w:tcMar>
            <w:vAlign w:val="bottom"/>
            <w:hideMark/>
          </w:tcPr>
          <w:p w:rsidR="00000000" w:rsidRDefault="00FF2C06">
            <w:pPr>
              <w:pStyle w:val="a3"/>
              <w:spacing w:before="0" w:beforeAutospacing="0" w:after="1" w:afterAutospacing="0"/>
              <w:ind w:left="240"/>
              <w:rPr>
                <w:sz w:val="18"/>
                <w:szCs w:val="18"/>
              </w:rPr>
            </w:pPr>
            <w:r>
              <w:rPr>
                <w:sz w:val="18"/>
                <w:szCs w:val="18"/>
              </w:rPr>
              <w:t>Operating lease liabilities - current</w:t>
            </w:r>
          </w:p>
        </w:tc>
        <w:tc>
          <w:tcPr>
            <w:tcW w:w="11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529"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7,196</w:t>
            </w:r>
          </w:p>
        </w:tc>
        <w:tc>
          <w:tcPr>
            <w:tcW w:w="11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529"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7,252</w:t>
            </w:r>
          </w:p>
        </w:tc>
      </w:tr>
      <w:tr w:rsidR="00000000">
        <w:trPr>
          <w:divId w:val="1151167840"/>
        </w:trPr>
        <w:tc>
          <w:tcPr>
            <w:tcW w:w="3579"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ind w:left="240"/>
              <w:rPr>
                <w:sz w:val="18"/>
                <w:szCs w:val="18"/>
              </w:rPr>
            </w:pPr>
            <w:r>
              <w:rPr>
                <w:b/>
                <w:bCs/>
                <w:sz w:val="18"/>
                <w:szCs w:val="18"/>
              </w:rPr>
              <w:t>Total Current Liabilities</w:t>
            </w:r>
          </w:p>
        </w:tc>
        <w:tc>
          <w:tcPr>
            <w:tcW w:w="11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sz w:val="18"/>
                <w:szCs w:val="18"/>
              </w:rPr>
              <w:t> </w:t>
            </w:r>
          </w:p>
        </w:tc>
        <w:tc>
          <w:tcPr>
            <w:tcW w:w="5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64,390</w:t>
            </w:r>
          </w:p>
        </w:tc>
        <w:tc>
          <w:tcPr>
            <w:tcW w:w="11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sz w:val="18"/>
                <w:szCs w:val="18"/>
              </w:rPr>
              <w:t> </w:t>
            </w:r>
          </w:p>
        </w:tc>
        <w:tc>
          <w:tcPr>
            <w:tcW w:w="5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39,084</w:t>
            </w:r>
          </w:p>
        </w:tc>
      </w:tr>
      <w:tr w:rsidR="00000000">
        <w:trPr>
          <w:divId w:val="1151167840"/>
        </w:trPr>
        <w:tc>
          <w:tcPr>
            <w:tcW w:w="3579"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11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sz w:val="18"/>
                <w:szCs w:val="18"/>
              </w:rPr>
              <w:t> </w:t>
            </w:r>
          </w:p>
        </w:tc>
        <w:tc>
          <w:tcPr>
            <w:tcW w:w="529"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  </w:t>
            </w:r>
          </w:p>
        </w:tc>
        <w:tc>
          <w:tcPr>
            <w:tcW w:w="11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sz w:val="18"/>
                <w:szCs w:val="18"/>
              </w:rPr>
              <w:t> </w:t>
            </w:r>
          </w:p>
        </w:tc>
        <w:tc>
          <w:tcPr>
            <w:tcW w:w="529"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  </w:t>
            </w:r>
          </w:p>
        </w:tc>
      </w:tr>
      <w:tr w:rsidR="00000000">
        <w:trPr>
          <w:divId w:val="1151167840"/>
        </w:trPr>
        <w:tc>
          <w:tcPr>
            <w:tcW w:w="3579"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b/>
                <w:bCs/>
                <w:sz w:val="18"/>
                <w:szCs w:val="18"/>
              </w:rPr>
              <w:t>Non-Current Liabilities</w:t>
            </w:r>
          </w:p>
        </w:tc>
        <w:tc>
          <w:tcPr>
            <w:tcW w:w="11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sz w:val="18"/>
                <w:szCs w:val="18"/>
              </w:rPr>
              <w:t> </w:t>
            </w:r>
          </w:p>
        </w:tc>
        <w:tc>
          <w:tcPr>
            <w:tcW w:w="52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  </w:t>
            </w:r>
          </w:p>
        </w:tc>
        <w:tc>
          <w:tcPr>
            <w:tcW w:w="11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sz w:val="18"/>
                <w:szCs w:val="18"/>
              </w:rPr>
              <w:t> </w:t>
            </w:r>
          </w:p>
        </w:tc>
        <w:tc>
          <w:tcPr>
            <w:tcW w:w="52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  </w:t>
            </w:r>
          </w:p>
        </w:tc>
      </w:tr>
      <w:tr w:rsidR="00000000">
        <w:trPr>
          <w:divId w:val="1151167840"/>
        </w:trPr>
        <w:tc>
          <w:tcPr>
            <w:tcW w:w="3579" w:type="pct"/>
            <w:tcMar>
              <w:top w:w="0" w:type="dxa"/>
              <w:left w:w="0" w:type="dxa"/>
              <w:bottom w:w="0" w:type="dxa"/>
              <w:right w:w="0" w:type="dxa"/>
            </w:tcMar>
            <w:vAlign w:val="bottom"/>
            <w:hideMark/>
          </w:tcPr>
          <w:p w:rsidR="00000000" w:rsidRDefault="00FF2C06">
            <w:pPr>
              <w:pStyle w:val="a3"/>
              <w:spacing w:before="0" w:beforeAutospacing="0" w:after="1" w:afterAutospacing="0"/>
              <w:ind w:left="240"/>
              <w:rPr>
                <w:sz w:val="18"/>
                <w:szCs w:val="18"/>
              </w:rPr>
            </w:pPr>
            <w:r>
              <w:rPr>
                <w:sz w:val="18"/>
                <w:szCs w:val="18"/>
              </w:rPr>
              <w:t>Operating lease liabilities – noncurrent</w:t>
            </w:r>
          </w:p>
        </w:tc>
        <w:tc>
          <w:tcPr>
            <w:tcW w:w="11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sz w:val="18"/>
                <w:szCs w:val="18"/>
              </w:rPr>
              <w:t> </w:t>
            </w:r>
          </w:p>
        </w:tc>
        <w:tc>
          <w:tcPr>
            <w:tcW w:w="529"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3,711</w:t>
            </w:r>
          </w:p>
        </w:tc>
        <w:tc>
          <w:tcPr>
            <w:tcW w:w="11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sz w:val="18"/>
                <w:szCs w:val="18"/>
              </w:rPr>
              <w:t> </w:t>
            </w:r>
          </w:p>
        </w:tc>
        <w:tc>
          <w:tcPr>
            <w:tcW w:w="529"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4,248</w:t>
            </w:r>
          </w:p>
        </w:tc>
      </w:tr>
      <w:tr w:rsidR="00000000">
        <w:trPr>
          <w:divId w:val="1151167840"/>
        </w:trPr>
        <w:tc>
          <w:tcPr>
            <w:tcW w:w="3579"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ind w:left="240"/>
              <w:rPr>
                <w:sz w:val="18"/>
                <w:szCs w:val="18"/>
              </w:rPr>
            </w:pPr>
            <w:r>
              <w:rPr>
                <w:sz w:val="18"/>
                <w:szCs w:val="18"/>
              </w:rPr>
              <w:t>Other liabilities</w:t>
            </w:r>
          </w:p>
        </w:tc>
        <w:tc>
          <w:tcPr>
            <w:tcW w:w="11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5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2,352</w:t>
            </w:r>
          </w:p>
        </w:tc>
        <w:tc>
          <w:tcPr>
            <w:tcW w:w="11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5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2,352</w:t>
            </w:r>
          </w:p>
        </w:tc>
      </w:tr>
      <w:tr w:rsidR="00000000">
        <w:trPr>
          <w:divId w:val="1151167840"/>
        </w:trPr>
        <w:tc>
          <w:tcPr>
            <w:tcW w:w="3579" w:type="pct"/>
            <w:tcMar>
              <w:top w:w="0" w:type="dxa"/>
              <w:left w:w="0" w:type="dxa"/>
              <w:bottom w:w="0" w:type="dxa"/>
              <w:right w:w="0" w:type="dxa"/>
            </w:tcMar>
            <w:vAlign w:val="bottom"/>
            <w:hideMark/>
          </w:tcPr>
          <w:p w:rsidR="00000000" w:rsidRDefault="00FF2C06">
            <w:pPr>
              <w:pStyle w:val="a3"/>
              <w:spacing w:before="0" w:beforeAutospacing="0" w:after="1" w:afterAutospacing="0"/>
              <w:ind w:left="240"/>
              <w:rPr>
                <w:sz w:val="18"/>
                <w:szCs w:val="18"/>
              </w:rPr>
            </w:pPr>
            <w:r>
              <w:rPr>
                <w:b/>
                <w:bCs/>
                <w:sz w:val="18"/>
                <w:szCs w:val="18"/>
              </w:rPr>
              <w:t>Total Non-Current Liabilities</w:t>
            </w:r>
          </w:p>
        </w:tc>
        <w:tc>
          <w:tcPr>
            <w:tcW w:w="11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sz w:val="18"/>
                <w:szCs w:val="18"/>
              </w:rPr>
              <w:t> </w:t>
            </w:r>
          </w:p>
        </w:tc>
        <w:tc>
          <w:tcPr>
            <w:tcW w:w="529"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6,063</w:t>
            </w:r>
          </w:p>
        </w:tc>
        <w:tc>
          <w:tcPr>
            <w:tcW w:w="11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sz w:val="18"/>
                <w:szCs w:val="18"/>
              </w:rPr>
              <w:t> </w:t>
            </w:r>
          </w:p>
        </w:tc>
        <w:tc>
          <w:tcPr>
            <w:tcW w:w="529"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6,600</w:t>
            </w:r>
          </w:p>
        </w:tc>
      </w:tr>
      <w:tr w:rsidR="00000000">
        <w:trPr>
          <w:divId w:val="1151167840"/>
        </w:trPr>
        <w:tc>
          <w:tcPr>
            <w:tcW w:w="3579"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ind w:left="240"/>
              <w:rPr>
                <w:sz w:val="18"/>
                <w:szCs w:val="18"/>
              </w:rPr>
            </w:pPr>
            <w:r>
              <w:rPr>
                <w:b/>
                <w:bCs/>
                <w:sz w:val="18"/>
                <w:szCs w:val="18"/>
              </w:rPr>
              <w:t>Total Liabilities</w:t>
            </w:r>
          </w:p>
        </w:tc>
        <w:tc>
          <w:tcPr>
            <w:tcW w:w="11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sz w:val="18"/>
                <w:szCs w:val="18"/>
              </w:rPr>
              <w:t> </w:t>
            </w:r>
          </w:p>
        </w:tc>
        <w:tc>
          <w:tcPr>
            <w:tcW w:w="5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70,453</w:t>
            </w:r>
          </w:p>
        </w:tc>
        <w:tc>
          <w:tcPr>
            <w:tcW w:w="11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sz w:val="18"/>
                <w:szCs w:val="18"/>
              </w:rPr>
              <w:t> </w:t>
            </w:r>
          </w:p>
        </w:tc>
        <w:tc>
          <w:tcPr>
            <w:tcW w:w="5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45,684</w:t>
            </w:r>
          </w:p>
        </w:tc>
      </w:tr>
      <w:tr w:rsidR="00000000">
        <w:trPr>
          <w:divId w:val="1151167840"/>
        </w:trPr>
        <w:tc>
          <w:tcPr>
            <w:tcW w:w="3579"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11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sz w:val="18"/>
                <w:szCs w:val="18"/>
              </w:rPr>
              <w:t> </w:t>
            </w:r>
          </w:p>
        </w:tc>
        <w:tc>
          <w:tcPr>
            <w:tcW w:w="529"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  </w:t>
            </w:r>
          </w:p>
        </w:tc>
        <w:tc>
          <w:tcPr>
            <w:tcW w:w="11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sz w:val="18"/>
                <w:szCs w:val="18"/>
              </w:rPr>
              <w:t> </w:t>
            </w:r>
          </w:p>
        </w:tc>
        <w:tc>
          <w:tcPr>
            <w:tcW w:w="529"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  </w:t>
            </w:r>
          </w:p>
        </w:tc>
      </w:tr>
      <w:tr w:rsidR="00000000">
        <w:trPr>
          <w:divId w:val="1151167840"/>
        </w:trPr>
        <w:tc>
          <w:tcPr>
            <w:tcW w:w="3579"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b/>
                <w:bCs/>
                <w:sz w:val="18"/>
                <w:szCs w:val="18"/>
              </w:rPr>
              <w:t>Commitments and contingencies (Note 8 and 9)</w:t>
            </w:r>
          </w:p>
        </w:tc>
        <w:tc>
          <w:tcPr>
            <w:tcW w:w="11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sz w:val="18"/>
                <w:szCs w:val="18"/>
              </w:rPr>
              <w:t> </w:t>
            </w:r>
          </w:p>
        </w:tc>
        <w:tc>
          <w:tcPr>
            <w:tcW w:w="52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  </w:t>
            </w:r>
          </w:p>
        </w:tc>
        <w:tc>
          <w:tcPr>
            <w:tcW w:w="11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sz w:val="18"/>
                <w:szCs w:val="18"/>
              </w:rPr>
              <w:t> </w:t>
            </w:r>
          </w:p>
        </w:tc>
        <w:tc>
          <w:tcPr>
            <w:tcW w:w="52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  </w:t>
            </w:r>
          </w:p>
        </w:tc>
      </w:tr>
      <w:tr w:rsidR="00000000">
        <w:trPr>
          <w:divId w:val="1151167840"/>
        </w:trPr>
        <w:tc>
          <w:tcPr>
            <w:tcW w:w="3579"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11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sz w:val="18"/>
                <w:szCs w:val="18"/>
              </w:rPr>
              <w:t> </w:t>
            </w:r>
          </w:p>
        </w:tc>
        <w:tc>
          <w:tcPr>
            <w:tcW w:w="529"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  </w:t>
            </w:r>
          </w:p>
        </w:tc>
        <w:tc>
          <w:tcPr>
            <w:tcW w:w="11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sz w:val="18"/>
                <w:szCs w:val="18"/>
              </w:rPr>
              <w:t> </w:t>
            </w:r>
          </w:p>
        </w:tc>
        <w:tc>
          <w:tcPr>
            <w:tcW w:w="529"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  </w:t>
            </w:r>
          </w:p>
        </w:tc>
      </w:tr>
      <w:tr w:rsidR="00000000">
        <w:trPr>
          <w:divId w:val="1151167840"/>
        </w:trPr>
        <w:tc>
          <w:tcPr>
            <w:tcW w:w="3579"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b/>
                <w:bCs/>
                <w:sz w:val="18"/>
                <w:szCs w:val="18"/>
              </w:rPr>
              <w:t>Stockholders’ Equity</w:t>
            </w:r>
          </w:p>
        </w:tc>
        <w:tc>
          <w:tcPr>
            <w:tcW w:w="11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sz w:val="18"/>
                <w:szCs w:val="18"/>
              </w:rPr>
              <w:t> </w:t>
            </w:r>
          </w:p>
        </w:tc>
        <w:tc>
          <w:tcPr>
            <w:tcW w:w="52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  </w:t>
            </w:r>
          </w:p>
        </w:tc>
        <w:tc>
          <w:tcPr>
            <w:tcW w:w="11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sz w:val="18"/>
                <w:szCs w:val="18"/>
              </w:rPr>
              <w:t> </w:t>
            </w:r>
          </w:p>
        </w:tc>
        <w:tc>
          <w:tcPr>
            <w:tcW w:w="52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  </w:t>
            </w:r>
          </w:p>
        </w:tc>
      </w:tr>
      <w:tr w:rsidR="00000000">
        <w:trPr>
          <w:divId w:val="1151167840"/>
        </w:trPr>
        <w:tc>
          <w:tcPr>
            <w:tcW w:w="3579" w:type="pct"/>
            <w:tcMar>
              <w:top w:w="0" w:type="dxa"/>
              <w:left w:w="0" w:type="dxa"/>
              <w:bottom w:w="0" w:type="dxa"/>
              <w:right w:w="0" w:type="dxa"/>
            </w:tcMar>
            <w:vAlign w:val="bottom"/>
            <w:hideMark/>
          </w:tcPr>
          <w:p w:rsidR="00000000" w:rsidRDefault="00FF2C06">
            <w:pPr>
              <w:pStyle w:val="a3"/>
              <w:spacing w:before="0" w:beforeAutospacing="0" w:after="1" w:afterAutospacing="0"/>
              <w:ind w:left="120"/>
              <w:rPr>
                <w:sz w:val="20"/>
                <w:szCs w:val="20"/>
              </w:rPr>
            </w:pPr>
            <w:r>
              <w:rPr>
                <w:sz w:val="18"/>
                <w:szCs w:val="18"/>
              </w:rPr>
              <w:t>Series A Convertible Preferred stock, $0.001 par value; 17,000 shares designated, 194 shares</w:t>
            </w:r>
            <w:r>
              <w:rPr>
                <w:sz w:val="18"/>
                <w:szCs w:val="18"/>
              </w:rPr>
              <w:t xml:space="preserve"> </w:t>
            </w:r>
            <w:r>
              <w:rPr>
                <w:color w:val="000000"/>
                <w:sz w:val="18"/>
                <w:szCs w:val="18"/>
              </w:rPr>
              <w:t>issue</w:t>
            </w:r>
            <w:r>
              <w:rPr>
                <w:color w:val="000000"/>
                <w:sz w:val="18"/>
                <w:szCs w:val="18"/>
              </w:rPr>
              <w:t>d</w:t>
            </w:r>
            <w:r>
              <w:rPr>
                <w:sz w:val="18"/>
                <w:szCs w:val="18"/>
              </w:rPr>
              <w:t xml:space="preserve"> and</w:t>
            </w:r>
            <w:r>
              <w:rPr>
                <w:sz w:val="18"/>
                <w:szCs w:val="18"/>
              </w:rPr>
              <w:t xml:space="preserve"> </w:t>
            </w:r>
            <w:r>
              <w:rPr>
                <w:color w:val="000000"/>
                <w:sz w:val="18"/>
                <w:szCs w:val="18"/>
              </w:rPr>
              <w:t>outstandin</w:t>
            </w:r>
            <w:r>
              <w:rPr>
                <w:color w:val="000000"/>
                <w:sz w:val="18"/>
                <w:szCs w:val="18"/>
              </w:rPr>
              <w:t>g</w:t>
            </w:r>
            <w:r>
              <w:rPr>
                <w:sz w:val="18"/>
                <w:szCs w:val="18"/>
              </w:rPr>
              <w:t xml:space="preserve"> as of</w:t>
            </w:r>
            <w:r>
              <w:rPr>
                <w:sz w:val="18"/>
                <w:szCs w:val="18"/>
              </w:rPr>
              <w:t xml:space="preserve"> </w:t>
            </w:r>
            <w:r>
              <w:rPr>
                <w:color w:val="000000"/>
                <w:sz w:val="18"/>
                <w:szCs w:val="18"/>
              </w:rPr>
              <w:t>September 30, 202</w:t>
            </w:r>
            <w:r>
              <w:rPr>
                <w:color w:val="000000"/>
                <w:sz w:val="18"/>
                <w:szCs w:val="18"/>
              </w:rPr>
              <w:t>0</w:t>
            </w:r>
            <w:r>
              <w:rPr>
                <w:sz w:val="18"/>
                <w:szCs w:val="18"/>
              </w:rPr>
              <w:t xml:space="preserve"> and December 31, 2019 (aggregate liquidation value of $194)</w:t>
            </w:r>
          </w:p>
        </w:tc>
        <w:tc>
          <w:tcPr>
            <w:tcW w:w="11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sz w:val="18"/>
                <w:szCs w:val="18"/>
              </w:rPr>
              <w:t> </w:t>
            </w:r>
          </w:p>
        </w:tc>
        <w:tc>
          <w:tcPr>
            <w:tcW w:w="529"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w:t>
            </w:r>
          </w:p>
        </w:tc>
        <w:tc>
          <w:tcPr>
            <w:tcW w:w="11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sz w:val="18"/>
                <w:szCs w:val="18"/>
              </w:rPr>
              <w:t> </w:t>
            </w:r>
          </w:p>
        </w:tc>
        <w:tc>
          <w:tcPr>
            <w:tcW w:w="529"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w:t>
            </w:r>
          </w:p>
        </w:tc>
      </w:tr>
      <w:tr w:rsidR="00000000">
        <w:trPr>
          <w:divId w:val="1151167840"/>
        </w:trPr>
        <w:tc>
          <w:tcPr>
            <w:tcW w:w="3579"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ind w:left="120"/>
              <w:rPr>
                <w:sz w:val="20"/>
                <w:szCs w:val="20"/>
              </w:rPr>
            </w:pPr>
            <w:r>
              <w:rPr>
                <w:sz w:val="18"/>
                <w:szCs w:val="18"/>
              </w:rPr>
              <w:t>Series B Convertible Preferred stock</w:t>
            </w:r>
            <w:r>
              <w:rPr>
                <w:sz w:val="18"/>
                <w:szCs w:val="18"/>
              </w:rPr>
              <w:t>, $0.001 par value; 11,500,000 shares designated, 3,581,119 shares</w:t>
            </w:r>
            <w:r>
              <w:rPr>
                <w:sz w:val="18"/>
                <w:szCs w:val="18"/>
              </w:rPr>
              <w:t xml:space="preserve"> </w:t>
            </w:r>
            <w:r>
              <w:rPr>
                <w:color w:val="000000"/>
                <w:sz w:val="18"/>
                <w:szCs w:val="18"/>
              </w:rPr>
              <w:t>issue</w:t>
            </w:r>
            <w:r>
              <w:rPr>
                <w:color w:val="000000"/>
                <w:sz w:val="18"/>
                <w:szCs w:val="18"/>
              </w:rPr>
              <w:t>d</w:t>
            </w:r>
            <w:r>
              <w:rPr>
                <w:sz w:val="18"/>
                <w:szCs w:val="18"/>
              </w:rPr>
              <w:t xml:space="preserve"> and</w:t>
            </w:r>
            <w:r>
              <w:rPr>
                <w:sz w:val="18"/>
                <w:szCs w:val="18"/>
              </w:rPr>
              <w:t xml:space="preserve"> </w:t>
            </w:r>
            <w:r>
              <w:rPr>
                <w:color w:val="000000"/>
                <w:sz w:val="18"/>
                <w:szCs w:val="18"/>
              </w:rPr>
              <w:t>outstandin</w:t>
            </w:r>
            <w:r>
              <w:rPr>
                <w:color w:val="000000"/>
                <w:sz w:val="18"/>
                <w:szCs w:val="18"/>
              </w:rPr>
              <w:t>g</w:t>
            </w:r>
            <w:r>
              <w:rPr>
                <w:sz w:val="18"/>
                <w:szCs w:val="18"/>
              </w:rPr>
              <w:t xml:space="preserve"> as of</w:t>
            </w:r>
            <w:r>
              <w:rPr>
                <w:sz w:val="18"/>
                <w:szCs w:val="18"/>
              </w:rPr>
              <w:t xml:space="preserve"> </w:t>
            </w:r>
            <w:r>
              <w:rPr>
                <w:color w:val="000000"/>
                <w:sz w:val="18"/>
                <w:szCs w:val="18"/>
              </w:rPr>
              <w:t>September 30, 202</w:t>
            </w:r>
            <w:r>
              <w:rPr>
                <w:color w:val="000000"/>
                <w:sz w:val="18"/>
                <w:szCs w:val="18"/>
              </w:rPr>
              <w:t>0</w:t>
            </w:r>
            <w:r>
              <w:rPr>
                <w:sz w:val="18"/>
                <w:szCs w:val="18"/>
              </w:rPr>
              <w:t xml:space="preserve"> and December 31, 2019 (aggregate liquidation value of $17,010)</w:t>
            </w:r>
          </w:p>
        </w:tc>
        <w:tc>
          <w:tcPr>
            <w:tcW w:w="11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sz w:val="18"/>
                <w:szCs w:val="18"/>
              </w:rPr>
              <w:t> </w:t>
            </w:r>
          </w:p>
        </w:tc>
        <w:tc>
          <w:tcPr>
            <w:tcW w:w="52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4</w:t>
            </w:r>
          </w:p>
        </w:tc>
        <w:tc>
          <w:tcPr>
            <w:tcW w:w="11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sz w:val="18"/>
                <w:szCs w:val="18"/>
              </w:rPr>
              <w:t> </w:t>
            </w:r>
          </w:p>
        </w:tc>
        <w:tc>
          <w:tcPr>
            <w:tcW w:w="52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4</w:t>
            </w:r>
          </w:p>
        </w:tc>
      </w:tr>
      <w:tr w:rsidR="00000000">
        <w:trPr>
          <w:divId w:val="1151167840"/>
        </w:trPr>
        <w:tc>
          <w:tcPr>
            <w:tcW w:w="3579" w:type="pct"/>
            <w:tcMar>
              <w:top w:w="0" w:type="dxa"/>
              <w:left w:w="0" w:type="dxa"/>
              <w:bottom w:w="0" w:type="dxa"/>
              <w:right w:w="0" w:type="dxa"/>
            </w:tcMar>
            <w:vAlign w:val="bottom"/>
            <w:hideMark/>
          </w:tcPr>
          <w:p w:rsidR="00000000" w:rsidRDefault="00FF2C06">
            <w:pPr>
              <w:pStyle w:val="a3"/>
              <w:spacing w:before="0" w:beforeAutospacing="0" w:after="1" w:afterAutospacing="0"/>
              <w:ind w:left="120"/>
              <w:rPr>
                <w:sz w:val="20"/>
                <w:szCs w:val="20"/>
              </w:rPr>
            </w:pPr>
            <w:r>
              <w:rPr>
                <w:sz w:val="18"/>
                <w:szCs w:val="18"/>
              </w:rPr>
              <w:t xml:space="preserve">Common stock, $0.000041666 par value; 300,000,000 </w:t>
            </w:r>
            <w:r>
              <w:rPr>
                <w:sz w:val="18"/>
                <w:szCs w:val="18"/>
              </w:rPr>
              <w:t>shares authorized, 146,581,624 and 126,411,808 shares issued and</w:t>
            </w:r>
            <w:r>
              <w:rPr>
                <w:sz w:val="18"/>
                <w:szCs w:val="18"/>
              </w:rPr>
              <w:t xml:space="preserve"> </w:t>
            </w:r>
            <w:r>
              <w:rPr>
                <w:color w:val="000000"/>
                <w:sz w:val="18"/>
                <w:szCs w:val="18"/>
              </w:rPr>
              <w:t>outstandin</w:t>
            </w:r>
            <w:r>
              <w:rPr>
                <w:color w:val="000000"/>
                <w:sz w:val="18"/>
                <w:szCs w:val="18"/>
              </w:rPr>
              <w:t>g</w:t>
            </w:r>
            <w:r>
              <w:rPr>
                <w:sz w:val="18"/>
                <w:szCs w:val="18"/>
              </w:rPr>
              <w:t xml:space="preserve"> as of</w:t>
            </w:r>
            <w:r>
              <w:rPr>
                <w:sz w:val="18"/>
                <w:szCs w:val="18"/>
              </w:rPr>
              <w:t xml:space="preserve"> </w:t>
            </w:r>
            <w:r>
              <w:rPr>
                <w:color w:val="000000"/>
                <w:sz w:val="18"/>
                <w:szCs w:val="18"/>
              </w:rPr>
              <w:t>September 30, 202</w:t>
            </w:r>
            <w:r>
              <w:rPr>
                <w:color w:val="000000"/>
                <w:sz w:val="18"/>
                <w:szCs w:val="18"/>
              </w:rPr>
              <w:t>0</w:t>
            </w:r>
            <w:r>
              <w:rPr>
                <w:sz w:val="18"/>
                <w:szCs w:val="18"/>
              </w:rPr>
              <w:t xml:space="preserve"> and December 31, 2019, respectively</w:t>
            </w:r>
          </w:p>
        </w:tc>
        <w:tc>
          <w:tcPr>
            <w:tcW w:w="11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sz w:val="18"/>
                <w:szCs w:val="18"/>
              </w:rPr>
              <w:t> </w:t>
            </w:r>
          </w:p>
        </w:tc>
        <w:tc>
          <w:tcPr>
            <w:tcW w:w="529"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6</w:t>
            </w:r>
          </w:p>
        </w:tc>
        <w:tc>
          <w:tcPr>
            <w:tcW w:w="11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sz w:val="18"/>
                <w:szCs w:val="18"/>
              </w:rPr>
              <w:t> </w:t>
            </w:r>
          </w:p>
        </w:tc>
        <w:tc>
          <w:tcPr>
            <w:tcW w:w="529"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5</w:t>
            </w:r>
          </w:p>
        </w:tc>
      </w:tr>
      <w:tr w:rsidR="00000000">
        <w:trPr>
          <w:divId w:val="1151167840"/>
        </w:trPr>
        <w:tc>
          <w:tcPr>
            <w:tcW w:w="3579"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ind w:left="120"/>
              <w:rPr>
                <w:sz w:val="18"/>
                <w:szCs w:val="18"/>
              </w:rPr>
            </w:pPr>
            <w:r>
              <w:rPr>
                <w:sz w:val="18"/>
                <w:szCs w:val="18"/>
              </w:rPr>
              <w:t>Accumulated other comprehensive income</w:t>
            </w:r>
          </w:p>
        </w:tc>
        <w:tc>
          <w:tcPr>
            <w:tcW w:w="11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sz w:val="18"/>
                <w:szCs w:val="18"/>
              </w:rPr>
              <w:t> </w:t>
            </w:r>
          </w:p>
        </w:tc>
        <w:tc>
          <w:tcPr>
            <w:tcW w:w="52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155</w:t>
            </w:r>
          </w:p>
        </w:tc>
        <w:tc>
          <w:tcPr>
            <w:tcW w:w="11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sz w:val="18"/>
                <w:szCs w:val="18"/>
              </w:rPr>
              <w:t> </w:t>
            </w:r>
          </w:p>
        </w:tc>
        <w:tc>
          <w:tcPr>
            <w:tcW w:w="52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220</w:t>
            </w:r>
          </w:p>
        </w:tc>
      </w:tr>
      <w:tr w:rsidR="00000000">
        <w:trPr>
          <w:divId w:val="1151167840"/>
        </w:trPr>
        <w:tc>
          <w:tcPr>
            <w:tcW w:w="3579" w:type="pct"/>
            <w:tcMar>
              <w:top w:w="0" w:type="dxa"/>
              <w:left w:w="0" w:type="dxa"/>
              <w:bottom w:w="0" w:type="dxa"/>
              <w:right w:w="0" w:type="dxa"/>
            </w:tcMar>
            <w:vAlign w:val="bottom"/>
            <w:hideMark/>
          </w:tcPr>
          <w:p w:rsidR="00000000" w:rsidRDefault="00FF2C06">
            <w:pPr>
              <w:pStyle w:val="a3"/>
              <w:spacing w:before="0" w:beforeAutospacing="0" w:after="1" w:afterAutospacing="0"/>
              <w:ind w:left="120"/>
              <w:rPr>
                <w:sz w:val="18"/>
                <w:szCs w:val="18"/>
              </w:rPr>
            </w:pPr>
            <w:r>
              <w:rPr>
                <w:sz w:val="18"/>
                <w:szCs w:val="18"/>
              </w:rPr>
              <w:t>Additional paid-in capital</w:t>
            </w:r>
          </w:p>
        </w:tc>
        <w:tc>
          <w:tcPr>
            <w:tcW w:w="11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sz w:val="18"/>
                <w:szCs w:val="18"/>
              </w:rPr>
              <w:t> </w:t>
            </w:r>
          </w:p>
        </w:tc>
        <w:tc>
          <w:tcPr>
            <w:tcW w:w="529"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1,473,472</w:t>
            </w:r>
          </w:p>
        </w:tc>
        <w:tc>
          <w:tcPr>
            <w:tcW w:w="11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sz w:val="18"/>
                <w:szCs w:val="18"/>
              </w:rPr>
              <w:t> </w:t>
            </w:r>
          </w:p>
        </w:tc>
        <w:tc>
          <w:tcPr>
            <w:tcW w:w="529"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869,354</w:t>
            </w:r>
          </w:p>
        </w:tc>
      </w:tr>
      <w:tr w:rsidR="00000000">
        <w:trPr>
          <w:divId w:val="1151167840"/>
        </w:trPr>
        <w:tc>
          <w:tcPr>
            <w:tcW w:w="3579"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ind w:left="120"/>
              <w:rPr>
                <w:sz w:val="18"/>
                <w:szCs w:val="18"/>
              </w:rPr>
            </w:pPr>
            <w:r>
              <w:rPr>
                <w:sz w:val="18"/>
                <w:szCs w:val="18"/>
              </w:rPr>
              <w:t>Accumulated deficit</w:t>
            </w:r>
          </w:p>
        </w:tc>
        <w:tc>
          <w:tcPr>
            <w:tcW w:w="11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sz w:val="18"/>
                <w:szCs w:val="18"/>
              </w:rPr>
              <w:t> </w:t>
            </w:r>
          </w:p>
        </w:tc>
        <w:tc>
          <w:tcPr>
            <w:tcW w:w="5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18"/>
                <w:szCs w:val="18"/>
              </w:rPr>
            </w:pPr>
            <w:r>
              <w:rPr>
                <w:sz w:val="18"/>
                <w:szCs w:val="18"/>
              </w:rPr>
              <w:t>(761,796)</w:t>
            </w:r>
          </w:p>
        </w:tc>
        <w:tc>
          <w:tcPr>
            <w:tcW w:w="11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sz w:val="18"/>
                <w:szCs w:val="18"/>
              </w:rPr>
              <w:t> </w:t>
            </w:r>
          </w:p>
        </w:tc>
        <w:tc>
          <w:tcPr>
            <w:tcW w:w="5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18"/>
                <w:szCs w:val="18"/>
              </w:rPr>
            </w:pPr>
            <w:r>
              <w:rPr>
                <w:sz w:val="18"/>
                <w:szCs w:val="18"/>
              </w:rPr>
              <w:t>(570,612)</w:t>
            </w:r>
          </w:p>
        </w:tc>
      </w:tr>
      <w:tr w:rsidR="00000000">
        <w:trPr>
          <w:divId w:val="1151167840"/>
        </w:trPr>
        <w:tc>
          <w:tcPr>
            <w:tcW w:w="3579" w:type="pct"/>
            <w:tcMar>
              <w:top w:w="0" w:type="dxa"/>
              <w:left w:w="0" w:type="dxa"/>
              <w:bottom w:w="0" w:type="dxa"/>
              <w:right w:w="0" w:type="dxa"/>
            </w:tcMar>
            <w:vAlign w:val="bottom"/>
            <w:hideMark/>
          </w:tcPr>
          <w:p w:rsidR="00000000" w:rsidRDefault="00FF2C06">
            <w:pPr>
              <w:pStyle w:val="a3"/>
              <w:spacing w:before="0" w:beforeAutospacing="0" w:after="1" w:afterAutospacing="0"/>
              <w:ind w:left="120"/>
              <w:rPr>
                <w:sz w:val="18"/>
                <w:szCs w:val="18"/>
              </w:rPr>
            </w:pPr>
            <w:r>
              <w:rPr>
                <w:b/>
                <w:bCs/>
                <w:sz w:val="18"/>
                <w:szCs w:val="18"/>
              </w:rPr>
              <w:t>Total Stockholders’ Equity</w:t>
            </w:r>
          </w:p>
        </w:tc>
        <w:tc>
          <w:tcPr>
            <w:tcW w:w="11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sz w:val="18"/>
                <w:szCs w:val="18"/>
              </w:rPr>
              <w:t> </w:t>
            </w:r>
          </w:p>
        </w:tc>
        <w:tc>
          <w:tcPr>
            <w:tcW w:w="529"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711,841</w:t>
            </w:r>
          </w:p>
        </w:tc>
        <w:tc>
          <w:tcPr>
            <w:tcW w:w="11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sz w:val="18"/>
                <w:szCs w:val="18"/>
              </w:rPr>
              <w:t> </w:t>
            </w:r>
          </w:p>
        </w:tc>
        <w:tc>
          <w:tcPr>
            <w:tcW w:w="529"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298,971</w:t>
            </w:r>
          </w:p>
        </w:tc>
      </w:tr>
      <w:tr w:rsidR="00000000">
        <w:trPr>
          <w:divId w:val="1151167840"/>
        </w:trPr>
        <w:tc>
          <w:tcPr>
            <w:tcW w:w="3579"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ind w:left="120"/>
              <w:rPr>
                <w:sz w:val="18"/>
                <w:szCs w:val="18"/>
              </w:rPr>
            </w:pPr>
            <w:r>
              <w:rPr>
                <w:b/>
                <w:bCs/>
                <w:sz w:val="18"/>
                <w:szCs w:val="18"/>
              </w:rPr>
              <w:t>Total Liabilities and Stockholders’ Equity</w:t>
            </w:r>
          </w:p>
        </w:tc>
        <w:tc>
          <w:tcPr>
            <w:tcW w:w="11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sz w:val="18"/>
                <w:szCs w:val="18"/>
              </w:rPr>
              <w:t>$</w:t>
            </w:r>
          </w:p>
        </w:tc>
        <w:tc>
          <w:tcPr>
            <w:tcW w:w="5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782,294</w:t>
            </w:r>
          </w:p>
        </w:tc>
        <w:tc>
          <w:tcPr>
            <w:tcW w:w="11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8"/>
                <w:szCs w:val="18"/>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8"/>
                <w:szCs w:val="18"/>
              </w:rPr>
            </w:pPr>
            <w:r>
              <w:rPr>
                <w:sz w:val="18"/>
                <w:szCs w:val="18"/>
              </w:rPr>
              <w:t>$</w:t>
            </w:r>
          </w:p>
        </w:tc>
        <w:tc>
          <w:tcPr>
            <w:tcW w:w="5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18"/>
                <w:szCs w:val="18"/>
              </w:rPr>
            </w:pPr>
            <w:r>
              <w:rPr>
                <w:sz w:val="18"/>
                <w:szCs w:val="18"/>
              </w:rPr>
              <w:t>344,655</w:t>
            </w:r>
          </w:p>
        </w:tc>
      </w:tr>
    </w:tbl>
    <w:p w:rsidR="00000000" w:rsidRDefault="00FF2C06">
      <w:pPr>
        <w:pStyle w:val="a3"/>
        <w:spacing w:before="0" w:beforeAutospacing="0" w:after="0" w:afterAutospacing="0"/>
        <w:divId w:val="1151167840"/>
        <w:rPr>
          <w:sz w:val="20"/>
          <w:szCs w:val="20"/>
        </w:rPr>
      </w:pPr>
      <w:r>
        <w:rPr>
          <w:sz w:val="8"/>
          <w:szCs w:val="8"/>
        </w:rPr>
        <w:t>​</w:t>
      </w:r>
    </w:p>
    <w:p w:rsidR="00000000" w:rsidRDefault="00FF2C06">
      <w:pPr>
        <w:pStyle w:val="a3"/>
        <w:spacing w:before="0" w:beforeAutospacing="0" w:after="200" w:afterAutospacing="0"/>
        <w:ind w:firstLine="547"/>
        <w:jc w:val="center"/>
        <w:divId w:val="1151167840"/>
        <w:rPr>
          <w:sz w:val="20"/>
          <w:szCs w:val="20"/>
        </w:rPr>
      </w:pPr>
      <w:r>
        <w:rPr>
          <w:sz w:val="20"/>
          <w:szCs w:val="20"/>
        </w:rPr>
        <w:t>The accompanying notes are an integral part of these condensed consolidated financial statements.</w:t>
      </w:r>
    </w:p>
    <w:p w:rsidR="00000000" w:rsidRDefault="00FF2C06">
      <w:pPr>
        <w:pStyle w:val="a3"/>
        <w:spacing w:before="480" w:beforeAutospacing="0" w:after="0" w:afterAutospacing="0"/>
        <w:jc w:val="center"/>
        <w:divId w:val="574361208"/>
        <w:rPr>
          <w:sz w:val="20"/>
          <w:szCs w:val="20"/>
        </w:rPr>
      </w:pPr>
      <w:r>
        <w:rPr>
          <w:sz w:val="20"/>
          <w:szCs w:val="20"/>
        </w:rPr>
        <w:lastRenderedPageBreak/>
        <w:t>2</w:t>
      </w:r>
    </w:p>
    <w:p w:rsidR="00000000" w:rsidRDefault="00FF2C06">
      <w:pPr>
        <w:pStyle w:val="a3"/>
        <w:spacing w:before="0" w:beforeAutospacing="0" w:after="600" w:afterAutospacing="0"/>
        <w:divId w:val="329404238"/>
        <w:rPr>
          <w:sz w:val="20"/>
          <w:szCs w:val="20"/>
        </w:rPr>
      </w:pPr>
      <w:hyperlink w:anchor="TOC" w:history="1">
        <w:r>
          <w:rPr>
            <w:rStyle w:val="a4"/>
            <w:sz w:val="20"/>
            <w:szCs w:val="20"/>
          </w:rPr>
          <w:t>Table of Contents</w:t>
        </w:r>
      </w:hyperlink>
    </w:p>
    <w:p w:rsidR="00000000" w:rsidRDefault="00FF2C06">
      <w:pPr>
        <w:pStyle w:val="a3"/>
        <w:spacing w:before="0" w:beforeAutospacing="0" w:after="0" w:afterAutospacing="0"/>
        <w:jc w:val="center"/>
        <w:divId w:val="332414450"/>
        <w:rPr>
          <w:b/>
          <w:bCs/>
          <w:sz w:val="20"/>
          <w:szCs w:val="20"/>
        </w:rPr>
      </w:pPr>
      <w:r>
        <w:rPr>
          <w:b/>
          <w:bCs/>
          <w:sz w:val="20"/>
          <w:szCs w:val="20"/>
        </w:rPr>
        <w:t>IOVANCE BIOTHERAPEUTICS, INC.</w:t>
      </w:r>
    </w:p>
    <w:p w:rsidR="00000000" w:rsidRDefault="00FF2C06">
      <w:pPr>
        <w:pStyle w:val="a3"/>
        <w:spacing w:before="0" w:beforeAutospacing="0" w:after="0" w:afterAutospacing="0"/>
        <w:jc w:val="center"/>
        <w:divId w:val="332414450"/>
        <w:rPr>
          <w:sz w:val="20"/>
          <w:szCs w:val="20"/>
        </w:rPr>
      </w:pPr>
      <w:r>
        <w:rPr>
          <w:b/>
          <w:bCs/>
          <w:sz w:val="20"/>
          <w:szCs w:val="20"/>
        </w:rPr>
        <w:t>Condensed Consolidated Statements of Operations</w:t>
      </w:r>
    </w:p>
    <w:p w:rsidR="00000000" w:rsidRDefault="00FF2C06">
      <w:pPr>
        <w:pStyle w:val="a3"/>
        <w:spacing w:before="0" w:beforeAutospacing="0" w:after="0" w:afterAutospacing="0"/>
        <w:jc w:val="center"/>
        <w:divId w:val="332414450"/>
        <w:rPr>
          <w:sz w:val="20"/>
          <w:szCs w:val="20"/>
        </w:rPr>
      </w:pPr>
      <w:r>
        <w:rPr>
          <w:b/>
          <w:bCs/>
          <w:sz w:val="20"/>
          <w:szCs w:val="20"/>
        </w:rPr>
        <w:t>(unaudited; in thousands, except p</w:t>
      </w:r>
      <w:r>
        <w:rPr>
          <w:b/>
          <w:bCs/>
          <w:sz w:val="20"/>
          <w:szCs w:val="20"/>
        </w:rPr>
        <w:t>er share information)</w:t>
      </w:r>
    </w:p>
    <w:p w:rsidR="00000000" w:rsidRDefault="00FF2C06">
      <w:pPr>
        <w:pStyle w:val="a3"/>
        <w:spacing w:before="0" w:beforeAutospacing="0" w:after="0" w:afterAutospacing="0"/>
        <w:jc w:val="center"/>
        <w:divId w:val="332414450"/>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200"/>
        <w:gridCol w:w="29"/>
        <w:gridCol w:w="100"/>
        <w:gridCol w:w="723"/>
        <w:gridCol w:w="160"/>
        <w:gridCol w:w="100"/>
        <w:gridCol w:w="723"/>
        <w:gridCol w:w="160"/>
        <w:gridCol w:w="100"/>
        <w:gridCol w:w="784"/>
        <w:gridCol w:w="160"/>
        <w:gridCol w:w="123"/>
        <w:gridCol w:w="784"/>
        <w:gridCol w:w="160"/>
      </w:tblGrid>
      <w:tr w:rsidR="00000000">
        <w:trPr>
          <w:divId w:val="332414450"/>
          <w:trHeight w:val="20"/>
        </w:trPr>
        <w:tc>
          <w:tcPr>
            <w:tcW w:w="2614" w:type="pct"/>
            <w:tcMar>
              <w:top w:w="0" w:type="dxa"/>
              <w:left w:w="0" w:type="dxa"/>
              <w:bottom w:w="0" w:type="dxa"/>
              <w:right w:w="0" w:type="dxa"/>
            </w:tcMar>
            <w:vAlign w:val="bottom"/>
            <w:hideMark/>
          </w:tcPr>
          <w:p w:rsidR="00000000" w:rsidRDefault="00FF2C06">
            <w:pPr>
              <w:pStyle w:val="a3"/>
              <w:spacing w:before="0" w:beforeAutospacing="0" w:after="1" w:afterAutospacing="0"/>
              <w:divId w:val="1896310464"/>
              <w:rPr>
                <w:sz w:val="20"/>
                <w:szCs w:val="20"/>
              </w:rPr>
            </w:pPr>
            <w:r>
              <w:rPr>
                <w:sz w:val="2"/>
                <w:szCs w:val="2"/>
              </w:rPr>
              <w:t>​</w:t>
            </w:r>
          </w:p>
        </w:tc>
        <w:tc>
          <w:tcPr>
            <w:tcW w:w="105" w:type="pct"/>
            <w:tcMar>
              <w:top w:w="0" w:type="dxa"/>
              <w:left w:w="0" w:type="dxa"/>
              <w:bottom w:w="0" w:type="dxa"/>
              <w:right w:w="0" w:type="dxa"/>
            </w:tcMar>
            <w:vAlign w:val="bottom"/>
            <w:hideMark/>
          </w:tcPr>
          <w:p w:rsidR="00000000" w:rsidRDefault="00FF2C06">
            <w:pPr>
              <w:pStyle w:val="a3"/>
              <w:spacing w:before="0" w:beforeAutospacing="0" w:after="1" w:afterAutospacing="0"/>
              <w:divId w:val="54280225"/>
              <w:rPr>
                <w:sz w:val="20"/>
                <w:szCs w:val="20"/>
              </w:rPr>
            </w:pPr>
            <w:r>
              <w:rPr>
                <w:sz w:val="2"/>
                <w:szCs w:val="2"/>
              </w:rPr>
              <w:t>​</w:t>
            </w:r>
          </w:p>
        </w:tc>
        <w:tc>
          <w:tcPr>
            <w:tcW w:w="64" w:type="pct"/>
            <w:tcMar>
              <w:top w:w="0" w:type="dxa"/>
              <w:left w:w="0" w:type="dxa"/>
              <w:bottom w:w="0" w:type="dxa"/>
              <w:right w:w="0" w:type="dxa"/>
            </w:tcMar>
            <w:vAlign w:val="bottom"/>
            <w:hideMark/>
          </w:tcPr>
          <w:p w:rsidR="00000000" w:rsidRDefault="00FF2C06">
            <w:pPr>
              <w:pStyle w:val="a3"/>
              <w:spacing w:before="0" w:beforeAutospacing="0" w:after="1" w:afterAutospacing="0"/>
              <w:divId w:val="1875119581"/>
              <w:rPr>
                <w:sz w:val="20"/>
                <w:szCs w:val="20"/>
              </w:rPr>
            </w:pPr>
            <w:r>
              <w:rPr>
                <w:sz w:val="2"/>
                <w:szCs w:val="2"/>
              </w:rPr>
              <w:t>​</w:t>
            </w:r>
          </w:p>
        </w:tc>
        <w:tc>
          <w:tcPr>
            <w:tcW w:w="473" w:type="pct"/>
            <w:tcMar>
              <w:top w:w="0" w:type="dxa"/>
              <w:left w:w="0" w:type="dxa"/>
              <w:bottom w:w="0" w:type="dxa"/>
              <w:right w:w="0" w:type="dxa"/>
            </w:tcMar>
            <w:vAlign w:val="bottom"/>
            <w:hideMark/>
          </w:tcPr>
          <w:p w:rsidR="00000000" w:rsidRDefault="00FF2C06">
            <w:pPr>
              <w:pStyle w:val="a3"/>
              <w:spacing w:before="0" w:beforeAutospacing="0" w:after="1" w:afterAutospacing="0"/>
              <w:divId w:val="2005937543"/>
              <w:rPr>
                <w:sz w:val="20"/>
                <w:szCs w:val="20"/>
              </w:rPr>
            </w:pPr>
            <w:r>
              <w:rPr>
                <w:sz w:val="2"/>
                <w:szCs w:val="2"/>
              </w:rPr>
              <w:t>​</w:t>
            </w:r>
          </w:p>
        </w:tc>
        <w:tc>
          <w:tcPr>
            <w:tcW w:w="105" w:type="pct"/>
            <w:tcMar>
              <w:top w:w="0" w:type="dxa"/>
              <w:left w:w="0" w:type="dxa"/>
              <w:bottom w:w="0" w:type="dxa"/>
              <w:right w:w="0" w:type="dxa"/>
            </w:tcMar>
            <w:vAlign w:val="bottom"/>
            <w:hideMark/>
          </w:tcPr>
          <w:p w:rsidR="00000000" w:rsidRDefault="00FF2C06">
            <w:pPr>
              <w:pStyle w:val="a3"/>
              <w:spacing w:before="0" w:beforeAutospacing="0" w:after="1" w:afterAutospacing="0"/>
              <w:divId w:val="414933266"/>
              <w:rPr>
                <w:sz w:val="20"/>
                <w:szCs w:val="20"/>
              </w:rPr>
            </w:pPr>
            <w:r>
              <w:rPr>
                <w:sz w:val="2"/>
                <w:szCs w:val="2"/>
              </w:rPr>
              <w:t>​</w:t>
            </w:r>
          </w:p>
        </w:tc>
        <w:tc>
          <w:tcPr>
            <w:tcW w:w="64" w:type="pct"/>
            <w:tcMar>
              <w:top w:w="0" w:type="dxa"/>
              <w:left w:w="0" w:type="dxa"/>
              <w:bottom w:w="0" w:type="dxa"/>
              <w:right w:w="0" w:type="dxa"/>
            </w:tcMar>
            <w:vAlign w:val="bottom"/>
            <w:hideMark/>
          </w:tcPr>
          <w:p w:rsidR="00000000" w:rsidRDefault="00FF2C06">
            <w:pPr>
              <w:pStyle w:val="a3"/>
              <w:spacing w:before="0" w:beforeAutospacing="0" w:after="1" w:afterAutospacing="0"/>
              <w:divId w:val="384763575"/>
              <w:rPr>
                <w:sz w:val="20"/>
                <w:szCs w:val="20"/>
              </w:rPr>
            </w:pPr>
            <w:r>
              <w:rPr>
                <w:sz w:val="2"/>
                <w:szCs w:val="2"/>
              </w:rPr>
              <w:t>​</w:t>
            </w:r>
          </w:p>
        </w:tc>
        <w:tc>
          <w:tcPr>
            <w:tcW w:w="385" w:type="pct"/>
            <w:tcMar>
              <w:top w:w="0" w:type="dxa"/>
              <w:left w:w="0" w:type="dxa"/>
              <w:bottom w:w="0" w:type="dxa"/>
              <w:right w:w="0" w:type="dxa"/>
            </w:tcMar>
            <w:vAlign w:val="bottom"/>
            <w:hideMark/>
          </w:tcPr>
          <w:p w:rsidR="00000000" w:rsidRDefault="00FF2C06">
            <w:pPr>
              <w:pStyle w:val="a3"/>
              <w:spacing w:before="0" w:beforeAutospacing="0" w:after="1" w:afterAutospacing="0"/>
              <w:divId w:val="896626610"/>
              <w:rPr>
                <w:sz w:val="20"/>
                <w:szCs w:val="20"/>
              </w:rPr>
            </w:pPr>
            <w:r>
              <w:rPr>
                <w:sz w:val="2"/>
                <w:szCs w:val="2"/>
              </w:rPr>
              <w:t>​</w:t>
            </w:r>
          </w:p>
        </w:tc>
        <w:tc>
          <w:tcPr>
            <w:tcW w:w="105" w:type="pct"/>
            <w:tcMar>
              <w:top w:w="0" w:type="dxa"/>
              <w:left w:w="0" w:type="dxa"/>
              <w:bottom w:w="0" w:type="dxa"/>
              <w:right w:w="0" w:type="dxa"/>
            </w:tcMar>
            <w:vAlign w:val="bottom"/>
            <w:hideMark/>
          </w:tcPr>
          <w:p w:rsidR="00000000" w:rsidRDefault="00FF2C06">
            <w:pPr>
              <w:pStyle w:val="a3"/>
              <w:spacing w:before="0" w:beforeAutospacing="0" w:after="1" w:afterAutospacing="0"/>
              <w:divId w:val="558707443"/>
              <w:rPr>
                <w:sz w:val="20"/>
                <w:szCs w:val="20"/>
              </w:rPr>
            </w:pPr>
            <w:r>
              <w:rPr>
                <w:sz w:val="2"/>
                <w:szCs w:val="2"/>
              </w:rPr>
              <w:t>​</w:t>
            </w:r>
          </w:p>
        </w:tc>
        <w:tc>
          <w:tcPr>
            <w:tcW w:w="64" w:type="pct"/>
            <w:tcMar>
              <w:top w:w="0" w:type="dxa"/>
              <w:left w:w="0" w:type="dxa"/>
              <w:bottom w:w="0" w:type="dxa"/>
              <w:right w:w="0" w:type="dxa"/>
            </w:tcMar>
            <w:vAlign w:val="bottom"/>
            <w:hideMark/>
          </w:tcPr>
          <w:p w:rsidR="00000000" w:rsidRDefault="00FF2C06">
            <w:pPr>
              <w:pStyle w:val="a3"/>
              <w:spacing w:before="0" w:beforeAutospacing="0" w:after="1" w:afterAutospacing="0"/>
              <w:divId w:val="1259170853"/>
              <w:rPr>
                <w:sz w:val="20"/>
                <w:szCs w:val="20"/>
              </w:rPr>
            </w:pPr>
            <w:r>
              <w:rPr>
                <w:sz w:val="2"/>
                <w:szCs w:val="2"/>
              </w:rPr>
              <w:t>​</w:t>
            </w:r>
          </w:p>
        </w:tc>
        <w:tc>
          <w:tcPr>
            <w:tcW w:w="386" w:type="pct"/>
            <w:tcMar>
              <w:top w:w="0" w:type="dxa"/>
              <w:left w:w="0" w:type="dxa"/>
              <w:bottom w:w="0" w:type="dxa"/>
              <w:right w:w="0" w:type="dxa"/>
            </w:tcMar>
            <w:vAlign w:val="bottom"/>
            <w:hideMark/>
          </w:tcPr>
          <w:p w:rsidR="00000000" w:rsidRDefault="00FF2C06">
            <w:pPr>
              <w:pStyle w:val="a3"/>
              <w:spacing w:before="0" w:beforeAutospacing="0" w:after="1" w:afterAutospacing="0"/>
              <w:divId w:val="1290362018"/>
              <w:rPr>
                <w:sz w:val="20"/>
                <w:szCs w:val="20"/>
              </w:rPr>
            </w:pPr>
            <w:r>
              <w:rPr>
                <w:sz w:val="2"/>
                <w:szCs w:val="2"/>
              </w:rPr>
              <w:t>​</w:t>
            </w:r>
          </w:p>
        </w:tc>
        <w:tc>
          <w:tcPr>
            <w:tcW w:w="105" w:type="pct"/>
            <w:tcMar>
              <w:top w:w="0" w:type="dxa"/>
              <w:left w:w="0" w:type="dxa"/>
              <w:bottom w:w="0" w:type="dxa"/>
              <w:right w:w="0" w:type="dxa"/>
            </w:tcMar>
            <w:vAlign w:val="bottom"/>
            <w:hideMark/>
          </w:tcPr>
          <w:p w:rsidR="00000000" w:rsidRDefault="00FF2C06">
            <w:pPr>
              <w:pStyle w:val="a3"/>
              <w:spacing w:before="0" w:beforeAutospacing="0" w:after="1" w:afterAutospacing="0"/>
              <w:divId w:val="1156800407"/>
              <w:rPr>
                <w:sz w:val="20"/>
                <w:szCs w:val="20"/>
              </w:rPr>
            </w:pPr>
            <w:r>
              <w:rPr>
                <w:sz w:val="2"/>
                <w:szCs w:val="2"/>
              </w:rPr>
              <w:t>​</w:t>
            </w:r>
          </w:p>
        </w:tc>
        <w:tc>
          <w:tcPr>
            <w:tcW w:w="64" w:type="pct"/>
            <w:tcMar>
              <w:top w:w="0" w:type="dxa"/>
              <w:left w:w="0" w:type="dxa"/>
              <w:bottom w:w="0" w:type="dxa"/>
              <w:right w:w="0" w:type="dxa"/>
            </w:tcMar>
            <w:vAlign w:val="bottom"/>
            <w:hideMark/>
          </w:tcPr>
          <w:p w:rsidR="00000000" w:rsidRDefault="00FF2C06">
            <w:pPr>
              <w:pStyle w:val="a3"/>
              <w:spacing w:before="0" w:beforeAutospacing="0" w:after="1" w:afterAutospacing="0"/>
              <w:divId w:val="1746879414"/>
              <w:rPr>
                <w:sz w:val="20"/>
                <w:szCs w:val="20"/>
              </w:rPr>
            </w:pPr>
            <w:r>
              <w:rPr>
                <w:sz w:val="2"/>
                <w:szCs w:val="2"/>
              </w:rPr>
              <w:t>​</w:t>
            </w:r>
          </w:p>
        </w:tc>
        <w:tc>
          <w:tcPr>
            <w:tcW w:w="387" w:type="pct"/>
            <w:tcMar>
              <w:top w:w="0" w:type="dxa"/>
              <w:left w:w="0" w:type="dxa"/>
              <w:bottom w:w="0" w:type="dxa"/>
              <w:right w:w="0" w:type="dxa"/>
            </w:tcMar>
            <w:vAlign w:val="bottom"/>
            <w:hideMark/>
          </w:tcPr>
          <w:p w:rsidR="00000000" w:rsidRDefault="00FF2C06">
            <w:pPr>
              <w:pStyle w:val="a3"/>
              <w:spacing w:before="0" w:beforeAutospacing="0" w:after="1" w:afterAutospacing="0"/>
              <w:divId w:val="1403799418"/>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2062631781"/>
              <w:rPr>
                <w:sz w:val="20"/>
                <w:szCs w:val="20"/>
              </w:rPr>
            </w:pPr>
            <w:r>
              <w:rPr>
                <w:sz w:val="2"/>
                <w:szCs w:val="2"/>
              </w:rPr>
              <w:t>​</w:t>
            </w:r>
          </w:p>
        </w:tc>
      </w:tr>
      <w:tr w:rsidR="00000000">
        <w:trPr>
          <w:divId w:val="332414450"/>
        </w:trPr>
        <w:tc>
          <w:tcPr>
            <w:tcW w:w="2614"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105"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1092" w:type="pct"/>
            <w:gridSpan w:val="5"/>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 xml:space="preserve">Three Months Ended </w:t>
            </w:r>
          </w:p>
        </w:tc>
        <w:tc>
          <w:tcPr>
            <w:tcW w:w="10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16"/>
                <w:szCs w:val="16"/>
              </w:rPr>
              <w:t>​</w:t>
            </w:r>
          </w:p>
        </w:tc>
        <w:tc>
          <w:tcPr>
            <w:tcW w:w="1007" w:type="pct"/>
            <w:gridSpan w:val="5"/>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 xml:space="preserve">Nine Months Ended </w:t>
            </w:r>
          </w:p>
        </w:tc>
        <w:tc>
          <w:tcPr>
            <w:tcW w:w="74"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rFonts w:ascii="Calibri" w:hAnsi="Calibri" w:cs="Calibri"/>
                <w:sz w:val="16"/>
                <w:szCs w:val="16"/>
              </w:rPr>
              <w:t>​</w:t>
            </w:r>
          </w:p>
        </w:tc>
      </w:tr>
      <w:tr w:rsidR="00000000">
        <w:trPr>
          <w:divId w:val="332414450"/>
        </w:trPr>
        <w:tc>
          <w:tcPr>
            <w:tcW w:w="2614"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105"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1092" w:type="pct"/>
            <w:gridSpan w:val="5"/>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September 30, </w:t>
            </w:r>
          </w:p>
        </w:tc>
        <w:tc>
          <w:tcPr>
            <w:tcW w:w="10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16"/>
                <w:szCs w:val="16"/>
              </w:rPr>
              <w:t>​</w:t>
            </w:r>
          </w:p>
        </w:tc>
        <w:tc>
          <w:tcPr>
            <w:tcW w:w="1007" w:type="pct"/>
            <w:gridSpan w:val="5"/>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September 30, </w:t>
            </w:r>
          </w:p>
        </w:tc>
        <w:tc>
          <w:tcPr>
            <w:tcW w:w="7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16"/>
                <w:szCs w:val="16"/>
              </w:rPr>
              <w:t>​</w:t>
            </w:r>
          </w:p>
        </w:tc>
      </w:tr>
      <w:tr w:rsidR="00000000">
        <w:trPr>
          <w:divId w:val="332414450"/>
        </w:trPr>
        <w:tc>
          <w:tcPr>
            <w:tcW w:w="2614" w:type="pct"/>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w:t>
            </w:r>
          </w:p>
        </w:tc>
        <w:tc>
          <w:tcPr>
            <w:tcW w:w="105"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537"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2020</w:t>
            </w:r>
          </w:p>
        </w:tc>
        <w:tc>
          <w:tcPr>
            <w:tcW w:w="10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b/>
                <w:bCs/>
                <w:sz w:val="16"/>
                <w:szCs w:val="16"/>
              </w:rPr>
              <w:t>    </w:t>
            </w:r>
          </w:p>
        </w:tc>
        <w:tc>
          <w:tcPr>
            <w:tcW w:w="450"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2019</w:t>
            </w:r>
          </w:p>
        </w:tc>
        <w:tc>
          <w:tcPr>
            <w:tcW w:w="10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b/>
                <w:bCs/>
                <w:sz w:val="16"/>
                <w:szCs w:val="16"/>
              </w:rPr>
              <w:t>    </w:t>
            </w:r>
          </w:p>
        </w:tc>
        <w:tc>
          <w:tcPr>
            <w:tcW w:w="450"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2020</w:t>
            </w:r>
          </w:p>
        </w:tc>
        <w:tc>
          <w:tcPr>
            <w:tcW w:w="10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b/>
                <w:bCs/>
                <w:sz w:val="16"/>
                <w:szCs w:val="16"/>
              </w:rPr>
              <w:t>    </w:t>
            </w:r>
          </w:p>
        </w:tc>
        <w:tc>
          <w:tcPr>
            <w:tcW w:w="451"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2019</w:t>
            </w:r>
          </w:p>
        </w:tc>
        <w:tc>
          <w:tcPr>
            <w:tcW w:w="7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b/>
                <w:bCs/>
                <w:sz w:val="16"/>
                <w:szCs w:val="16"/>
              </w:rPr>
              <w:t>    </w:t>
            </w:r>
          </w:p>
        </w:tc>
      </w:tr>
      <w:tr w:rsidR="00000000">
        <w:trPr>
          <w:divId w:val="332414450"/>
        </w:trPr>
        <w:tc>
          <w:tcPr>
            <w:tcW w:w="2614"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105"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4"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73"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105"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4"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385"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105"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4"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386"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105"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4"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387"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332414450"/>
        </w:trPr>
        <w:tc>
          <w:tcPr>
            <w:tcW w:w="2614"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20"/>
                <w:szCs w:val="20"/>
              </w:rPr>
              <w:t>Revenues</w:t>
            </w:r>
          </w:p>
        </w:tc>
        <w:tc>
          <w:tcPr>
            <w:tcW w:w="105"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20"/>
                <w:szCs w:val="20"/>
              </w:rPr>
              <w:t>$</w:t>
            </w:r>
          </w:p>
        </w:tc>
        <w:tc>
          <w:tcPr>
            <w:tcW w:w="4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b/>
                <w:bCs/>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20"/>
                <w:szCs w:val="20"/>
              </w:rPr>
              <w:t>$</w:t>
            </w:r>
          </w:p>
        </w:tc>
        <w:tc>
          <w:tcPr>
            <w:tcW w:w="3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b/>
                <w:bCs/>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20"/>
                <w:szCs w:val="20"/>
              </w:rPr>
              <w:t>$</w:t>
            </w:r>
          </w:p>
        </w:tc>
        <w:tc>
          <w:tcPr>
            <w:tcW w:w="3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b/>
                <w:bCs/>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20"/>
                <w:szCs w:val="20"/>
              </w:rPr>
              <w:t>$</w:t>
            </w:r>
          </w:p>
        </w:tc>
        <w:tc>
          <w:tcPr>
            <w:tcW w:w="3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b/>
                <w:bCs/>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20"/>
                <w:szCs w:val="20"/>
              </w:rPr>
              <w:t>​</w:t>
            </w:r>
          </w:p>
        </w:tc>
      </w:tr>
      <w:tr w:rsidR="00000000">
        <w:trPr>
          <w:divId w:val="332414450"/>
        </w:trPr>
        <w:tc>
          <w:tcPr>
            <w:tcW w:w="2614"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105"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473" w:type="pct"/>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w:t>
            </w:r>
          </w:p>
        </w:tc>
        <w:tc>
          <w:tcPr>
            <w:tcW w:w="10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w:t>
            </w:r>
          </w:p>
        </w:tc>
        <w:tc>
          <w:tcPr>
            <w:tcW w:w="10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386" w:type="pct"/>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w:t>
            </w:r>
          </w:p>
        </w:tc>
        <w:tc>
          <w:tcPr>
            <w:tcW w:w="10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387" w:type="pct"/>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332414450"/>
        </w:trPr>
        <w:tc>
          <w:tcPr>
            <w:tcW w:w="2614"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20"/>
                <w:szCs w:val="20"/>
              </w:rPr>
              <w:t>Costs and expenses</w:t>
            </w:r>
          </w:p>
        </w:tc>
        <w:tc>
          <w:tcPr>
            <w:tcW w:w="105"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47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38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38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387"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332414450"/>
        </w:trPr>
        <w:tc>
          <w:tcPr>
            <w:tcW w:w="2614" w:type="pct"/>
            <w:tcMar>
              <w:top w:w="0" w:type="dxa"/>
              <w:left w:w="0" w:type="dxa"/>
              <w:bottom w:w="0" w:type="dxa"/>
              <w:right w:w="0" w:type="dxa"/>
            </w:tcMar>
            <w:vAlign w:val="bottom"/>
            <w:hideMark/>
          </w:tcPr>
          <w:p w:rsidR="00000000" w:rsidRDefault="00FF2C06">
            <w:pPr>
              <w:pStyle w:val="a3"/>
              <w:spacing w:before="0" w:beforeAutospacing="0" w:after="1" w:afterAutospacing="0"/>
              <w:ind w:left="120"/>
              <w:rPr>
                <w:sz w:val="20"/>
                <w:szCs w:val="20"/>
              </w:rPr>
            </w:pPr>
            <w:r>
              <w:rPr>
                <w:sz w:val="20"/>
                <w:szCs w:val="20"/>
              </w:rPr>
              <w:t>Research and development expenses</w:t>
            </w:r>
          </w:p>
        </w:tc>
        <w:tc>
          <w:tcPr>
            <w:tcW w:w="105"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473"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43,050</w:t>
            </w:r>
          </w:p>
        </w:tc>
        <w:tc>
          <w:tcPr>
            <w:tcW w:w="10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41,582</w:t>
            </w:r>
          </w:p>
        </w:tc>
        <w:tc>
          <w:tcPr>
            <w:tcW w:w="10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386"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149,276</w:t>
            </w:r>
          </w:p>
        </w:tc>
        <w:tc>
          <w:tcPr>
            <w:tcW w:w="10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387"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111,785</w:t>
            </w:r>
          </w:p>
        </w:tc>
        <w:tc>
          <w:tcPr>
            <w:tcW w:w="7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332414450"/>
        </w:trPr>
        <w:tc>
          <w:tcPr>
            <w:tcW w:w="2614"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ind w:left="120"/>
              <w:rPr>
                <w:sz w:val="20"/>
                <w:szCs w:val="20"/>
              </w:rPr>
            </w:pPr>
            <w:r>
              <w:rPr>
                <w:sz w:val="20"/>
                <w:szCs w:val="20"/>
              </w:rPr>
              <w:t>General and administrative expenses</w:t>
            </w:r>
          </w:p>
        </w:tc>
        <w:tc>
          <w:tcPr>
            <w:tcW w:w="105"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4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15,916</w:t>
            </w:r>
          </w:p>
        </w:tc>
        <w:tc>
          <w:tcPr>
            <w:tcW w:w="10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3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10,029</w:t>
            </w:r>
          </w:p>
        </w:tc>
        <w:tc>
          <w:tcPr>
            <w:tcW w:w="10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3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44,127</w:t>
            </w:r>
          </w:p>
        </w:tc>
        <w:tc>
          <w:tcPr>
            <w:tcW w:w="10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3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29,977</w:t>
            </w:r>
          </w:p>
        </w:tc>
        <w:tc>
          <w:tcPr>
            <w:tcW w:w="7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332414450"/>
        </w:trPr>
        <w:tc>
          <w:tcPr>
            <w:tcW w:w="2614" w:type="pct"/>
            <w:tcMar>
              <w:top w:w="0" w:type="dxa"/>
              <w:left w:w="0" w:type="dxa"/>
              <w:bottom w:w="0" w:type="dxa"/>
              <w:right w:w="0" w:type="dxa"/>
            </w:tcMar>
            <w:vAlign w:val="bottom"/>
            <w:hideMark/>
          </w:tcPr>
          <w:p w:rsidR="00000000" w:rsidRDefault="00FF2C06">
            <w:pPr>
              <w:pStyle w:val="a3"/>
              <w:spacing w:before="0" w:beforeAutospacing="0" w:after="1" w:afterAutospacing="0"/>
              <w:ind w:left="120"/>
              <w:rPr>
                <w:sz w:val="20"/>
                <w:szCs w:val="20"/>
              </w:rPr>
            </w:pPr>
            <w:r>
              <w:rPr>
                <w:sz w:val="20"/>
                <w:szCs w:val="20"/>
              </w:rPr>
              <w:t>Total costs and expenses</w:t>
            </w:r>
          </w:p>
        </w:tc>
        <w:tc>
          <w:tcPr>
            <w:tcW w:w="105"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473"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58,966</w:t>
            </w:r>
          </w:p>
        </w:tc>
        <w:tc>
          <w:tcPr>
            <w:tcW w:w="10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385"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51,611</w:t>
            </w:r>
          </w:p>
        </w:tc>
        <w:tc>
          <w:tcPr>
            <w:tcW w:w="10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386"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193,403</w:t>
            </w:r>
          </w:p>
        </w:tc>
        <w:tc>
          <w:tcPr>
            <w:tcW w:w="10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387"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141,762</w:t>
            </w:r>
          </w:p>
        </w:tc>
        <w:tc>
          <w:tcPr>
            <w:tcW w:w="7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332414450"/>
        </w:trPr>
        <w:tc>
          <w:tcPr>
            <w:tcW w:w="2614"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105"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47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38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38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387"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332414450"/>
        </w:trPr>
        <w:tc>
          <w:tcPr>
            <w:tcW w:w="2614"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20"/>
                <w:szCs w:val="20"/>
              </w:rPr>
              <w:t>Loss from operations</w:t>
            </w:r>
          </w:p>
        </w:tc>
        <w:tc>
          <w:tcPr>
            <w:tcW w:w="105"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20"/>
                <w:szCs w:val="20"/>
              </w:rPr>
              <w:t>​</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473" w:type="pct"/>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(58,966)</w:t>
            </w:r>
          </w:p>
        </w:tc>
        <w:tc>
          <w:tcPr>
            <w:tcW w:w="10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(51,611)</w:t>
            </w:r>
          </w:p>
        </w:tc>
        <w:tc>
          <w:tcPr>
            <w:tcW w:w="105" w:type="pct"/>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386" w:type="pct"/>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(193,403)</w:t>
            </w:r>
          </w:p>
        </w:tc>
        <w:tc>
          <w:tcPr>
            <w:tcW w:w="105" w:type="pct"/>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 </w:t>
            </w:r>
          </w:p>
        </w:tc>
        <w:tc>
          <w:tcPr>
            <w:tcW w:w="387" w:type="pct"/>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(141,762)</w:t>
            </w:r>
          </w:p>
        </w:tc>
        <w:tc>
          <w:tcPr>
            <w:tcW w:w="7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332414450"/>
        </w:trPr>
        <w:tc>
          <w:tcPr>
            <w:tcW w:w="2614"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20"/>
                <w:szCs w:val="20"/>
              </w:rPr>
              <w:t>Other income</w:t>
            </w:r>
          </w:p>
        </w:tc>
        <w:tc>
          <w:tcPr>
            <w:tcW w:w="105"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47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38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38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387"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332414450"/>
        </w:trPr>
        <w:tc>
          <w:tcPr>
            <w:tcW w:w="2614" w:type="pct"/>
            <w:tcMar>
              <w:top w:w="0" w:type="dxa"/>
              <w:left w:w="0" w:type="dxa"/>
              <w:bottom w:w="0" w:type="dxa"/>
              <w:right w:w="0" w:type="dxa"/>
            </w:tcMar>
            <w:vAlign w:val="bottom"/>
            <w:hideMark/>
          </w:tcPr>
          <w:p w:rsidR="00000000" w:rsidRDefault="00FF2C06">
            <w:pPr>
              <w:pStyle w:val="a3"/>
              <w:spacing w:before="0" w:beforeAutospacing="0" w:after="1" w:afterAutospacing="0"/>
              <w:ind w:left="120"/>
              <w:rPr>
                <w:sz w:val="20"/>
                <w:szCs w:val="20"/>
              </w:rPr>
            </w:pPr>
            <w:r>
              <w:rPr>
                <w:sz w:val="20"/>
                <w:szCs w:val="20"/>
              </w:rPr>
              <w:t>Interest income, net</w:t>
            </w:r>
          </w:p>
        </w:tc>
        <w:tc>
          <w:tcPr>
            <w:tcW w:w="105"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473"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395</w:t>
            </w:r>
          </w:p>
        </w:tc>
        <w:tc>
          <w:tcPr>
            <w:tcW w:w="10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385"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2,124</w:t>
            </w:r>
          </w:p>
        </w:tc>
        <w:tc>
          <w:tcPr>
            <w:tcW w:w="10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386"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2,219</w:t>
            </w:r>
          </w:p>
        </w:tc>
        <w:tc>
          <w:tcPr>
            <w:tcW w:w="10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387"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7,774</w:t>
            </w:r>
          </w:p>
        </w:tc>
        <w:tc>
          <w:tcPr>
            <w:tcW w:w="7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332414450"/>
        </w:trPr>
        <w:tc>
          <w:tcPr>
            <w:tcW w:w="2614"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20"/>
                <w:szCs w:val="20"/>
              </w:rPr>
              <w:t>Net Loss</w:t>
            </w:r>
          </w:p>
        </w:tc>
        <w:tc>
          <w:tcPr>
            <w:tcW w:w="105"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(58,571)</w:t>
            </w:r>
          </w:p>
        </w:tc>
        <w:tc>
          <w:tcPr>
            <w:tcW w:w="10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3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(49,487)</w:t>
            </w:r>
          </w:p>
        </w:tc>
        <w:tc>
          <w:tcPr>
            <w:tcW w:w="10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3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(191,184)</w:t>
            </w:r>
          </w:p>
        </w:tc>
        <w:tc>
          <w:tcPr>
            <w:tcW w:w="10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3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(133,988)</w:t>
            </w:r>
          </w:p>
        </w:tc>
        <w:tc>
          <w:tcPr>
            <w:tcW w:w="7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332414450"/>
        </w:trPr>
        <w:tc>
          <w:tcPr>
            <w:tcW w:w="2614"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20"/>
                <w:szCs w:val="20"/>
              </w:rPr>
              <w:t>Net Loss Per Share of Common Stock, Basic and Diluted</w:t>
            </w:r>
          </w:p>
        </w:tc>
        <w:tc>
          <w:tcPr>
            <w:tcW w:w="105"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73" w:type="pct"/>
            <w:tcBorders>
              <w:bottom w:val="doub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(0.40)</w:t>
            </w:r>
          </w:p>
        </w:tc>
        <w:tc>
          <w:tcPr>
            <w:tcW w:w="10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385" w:type="pct"/>
            <w:tcBorders>
              <w:bottom w:val="doub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(0.40)</w:t>
            </w:r>
          </w:p>
        </w:tc>
        <w:tc>
          <w:tcPr>
            <w:tcW w:w="10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386" w:type="pct"/>
            <w:tcBorders>
              <w:bottom w:val="doub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(1.41)</w:t>
            </w:r>
          </w:p>
        </w:tc>
        <w:tc>
          <w:tcPr>
            <w:tcW w:w="10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387" w:type="pct"/>
            <w:tcBorders>
              <w:bottom w:val="doub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(1.08)</w:t>
            </w:r>
          </w:p>
        </w:tc>
        <w:tc>
          <w:tcPr>
            <w:tcW w:w="7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332414450"/>
        </w:trPr>
        <w:tc>
          <w:tcPr>
            <w:tcW w:w="2614"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20"/>
                <w:szCs w:val="20"/>
              </w:rPr>
              <w:t>Weighted Average Shares of Common Stock Outstanding, Basic and Diluted</w:t>
            </w:r>
          </w:p>
        </w:tc>
        <w:tc>
          <w:tcPr>
            <w:tcW w:w="105"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4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146,492</w:t>
            </w:r>
          </w:p>
        </w:tc>
        <w:tc>
          <w:tcPr>
            <w:tcW w:w="10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3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124,035</w:t>
            </w:r>
          </w:p>
        </w:tc>
        <w:tc>
          <w:tcPr>
            <w:tcW w:w="10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3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135,457</w:t>
            </w:r>
          </w:p>
        </w:tc>
        <w:tc>
          <w:tcPr>
            <w:tcW w:w="10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3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123,674</w:t>
            </w:r>
          </w:p>
        </w:tc>
        <w:tc>
          <w:tcPr>
            <w:tcW w:w="7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bl>
    <w:p w:rsidR="00000000" w:rsidRDefault="00FF2C06">
      <w:pPr>
        <w:pStyle w:val="a3"/>
        <w:spacing w:before="0" w:beforeAutospacing="0" w:after="0" w:afterAutospacing="0"/>
        <w:divId w:val="332414450"/>
        <w:rPr>
          <w:sz w:val="20"/>
          <w:szCs w:val="20"/>
        </w:rPr>
      </w:pPr>
      <w:r>
        <w:rPr>
          <w:sz w:val="20"/>
          <w:szCs w:val="20"/>
        </w:rPr>
        <w:t>​</w:t>
      </w:r>
    </w:p>
    <w:p w:rsidR="00000000" w:rsidRDefault="00FF2C06">
      <w:pPr>
        <w:pStyle w:val="a3"/>
        <w:spacing w:before="0" w:beforeAutospacing="0" w:after="200" w:afterAutospacing="0"/>
        <w:ind w:firstLine="547"/>
        <w:jc w:val="center"/>
        <w:divId w:val="332414450"/>
        <w:rPr>
          <w:sz w:val="20"/>
          <w:szCs w:val="20"/>
        </w:rPr>
      </w:pPr>
      <w:r>
        <w:rPr>
          <w:sz w:val="20"/>
          <w:szCs w:val="20"/>
        </w:rPr>
        <w:t>The accompanying notes are an integral part of these condensed consolidated financial statements.</w:t>
      </w:r>
    </w:p>
    <w:p w:rsidR="00000000" w:rsidRDefault="00FF2C06">
      <w:pPr>
        <w:pStyle w:val="a3"/>
        <w:spacing w:before="0" w:beforeAutospacing="0" w:after="0" w:afterAutospacing="0"/>
        <w:divId w:val="332414450"/>
        <w:rPr>
          <w:sz w:val="20"/>
          <w:szCs w:val="20"/>
        </w:rPr>
      </w:pPr>
      <w:r>
        <w:rPr>
          <w:sz w:val="20"/>
          <w:szCs w:val="20"/>
        </w:rPr>
        <w:t>​</w:t>
      </w:r>
    </w:p>
    <w:p w:rsidR="00000000" w:rsidRDefault="00FF2C06">
      <w:pPr>
        <w:pStyle w:val="a3"/>
        <w:spacing w:before="480" w:beforeAutospacing="0" w:after="0" w:afterAutospacing="0"/>
        <w:jc w:val="center"/>
        <w:divId w:val="69278192"/>
        <w:rPr>
          <w:sz w:val="20"/>
          <w:szCs w:val="20"/>
        </w:rPr>
      </w:pPr>
      <w:r>
        <w:rPr>
          <w:sz w:val="20"/>
          <w:szCs w:val="20"/>
        </w:rPr>
        <w:t>3</w:t>
      </w:r>
    </w:p>
    <w:p w:rsidR="00000000" w:rsidRDefault="00FF2C06">
      <w:pPr>
        <w:pStyle w:val="a3"/>
        <w:spacing w:before="0" w:beforeAutospacing="0" w:after="600" w:afterAutospacing="0"/>
        <w:divId w:val="1806775707"/>
        <w:rPr>
          <w:sz w:val="20"/>
          <w:szCs w:val="20"/>
        </w:rPr>
      </w:pPr>
      <w:hyperlink w:anchor="TOC" w:history="1">
        <w:r>
          <w:rPr>
            <w:rStyle w:val="a4"/>
            <w:sz w:val="20"/>
            <w:szCs w:val="20"/>
          </w:rPr>
          <w:t>Table of Contents</w:t>
        </w:r>
      </w:hyperlink>
    </w:p>
    <w:p w:rsidR="00000000" w:rsidRDefault="00FF2C06">
      <w:pPr>
        <w:pStyle w:val="a3"/>
        <w:spacing w:before="0" w:beforeAutospacing="0" w:after="0" w:afterAutospacing="0"/>
        <w:jc w:val="center"/>
        <w:divId w:val="1946644299"/>
        <w:rPr>
          <w:b/>
          <w:bCs/>
          <w:sz w:val="20"/>
          <w:szCs w:val="20"/>
        </w:rPr>
      </w:pPr>
      <w:r>
        <w:rPr>
          <w:b/>
          <w:bCs/>
          <w:sz w:val="20"/>
          <w:szCs w:val="20"/>
        </w:rPr>
        <w:t>IOVANCE BIOTHERAPEUTICS, INC.</w:t>
      </w:r>
    </w:p>
    <w:p w:rsidR="00000000" w:rsidRDefault="00FF2C06">
      <w:pPr>
        <w:pStyle w:val="a3"/>
        <w:spacing w:before="0" w:beforeAutospacing="0" w:after="0" w:afterAutospacing="0"/>
        <w:jc w:val="center"/>
        <w:divId w:val="1946644299"/>
        <w:rPr>
          <w:sz w:val="20"/>
          <w:szCs w:val="20"/>
        </w:rPr>
      </w:pPr>
      <w:r>
        <w:rPr>
          <w:b/>
          <w:bCs/>
          <w:sz w:val="20"/>
          <w:szCs w:val="20"/>
        </w:rPr>
        <w:t>Condensed Consolidated Statements of Comprehensive Loss</w:t>
      </w:r>
    </w:p>
    <w:p w:rsidR="00000000" w:rsidRDefault="00FF2C06">
      <w:pPr>
        <w:pStyle w:val="a3"/>
        <w:spacing w:before="0" w:beforeAutospacing="0" w:after="0" w:afterAutospacing="0"/>
        <w:jc w:val="center"/>
        <w:divId w:val="1946644299"/>
        <w:rPr>
          <w:sz w:val="20"/>
          <w:szCs w:val="20"/>
        </w:rPr>
      </w:pPr>
      <w:r>
        <w:rPr>
          <w:b/>
          <w:bCs/>
          <w:sz w:val="20"/>
          <w:szCs w:val="20"/>
        </w:rPr>
        <w:t>(unaudited; in thousands)</w:t>
      </w:r>
    </w:p>
    <w:p w:rsidR="00000000" w:rsidRDefault="00FF2C06">
      <w:pPr>
        <w:pStyle w:val="a3"/>
        <w:spacing w:before="0" w:beforeAutospacing="0" w:after="0" w:afterAutospacing="0"/>
        <w:jc w:val="center"/>
        <w:divId w:val="1946644299"/>
        <w:rPr>
          <w:sz w:val="20"/>
          <w:szCs w:val="20"/>
        </w:rPr>
      </w:pPr>
      <w:r>
        <w:rPr>
          <w:b/>
          <w:bCs/>
          <w:sz w:val="20"/>
          <w:szCs w:val="20"/>
        </w:rPr>
        <w:t>​</w:t>
      </w:r>
    </w:p>
    <w:tbl>
      <w:tblPr>
        <w:tblW w:w="5005" w:type="pct"/>
        <w:tblCellMar>
          <w:top w:w="15" w:type="dxa"/>
          <w:left w:w="0" w:type="dxa"/>
          <w:bottom w:w="15" w:type="dxa"/>
          <w:right w:w="0" w:type="dxa"/>
        </w:tblCellMar>
        <w:tblLook w:val="04A0" w:firstRow="1" w:lastRow="0" w:firstColumn="1" w:lastColumn="0" w:noHBand="0" w:noVBand="1"/>
      </w:tblPr>
      <w:tblGrid>
        <w:gridCol w:w="4325"/>
        <w:gridCol w:w="159"/>
        <w:gridCol w:w="100"/>
        <w:gridCol w:w="687"/>
        <w:gridCol w:w="160"/>
        <w:gridCol w:w="100"/>
        <w:gridCol w:w="689"/>
        <w:gridCol w:w="160"/>
        <w:gridCol w:w="100"/>
        <w:gridCol w:w="784"/>
        <w:gridCol w:w="160"/>
        <w:gridCol w:w="100"/>
        <w:gridCol w:w="784"/>
        <w:gridCol w:w="6"/>
      </w:tblGrid>
      <w:tr w:rsidR="00000000">
        <w:trPr>
          <w:divId w:val="1946644299"/>
          <w:trHeight w:val="20"/>
        </w:trPr>
        <w:tc>
          <w:tcPr>
            <w:tcW w:w="2609" w:type="pct"/>
            <w:tcMar>
              <w:top w:w="0" w:type="dxa"/>
              <w:left w:w="0" w:type="dxa"/>
              <w:bottom w:w="0" w:type="dxa"/>
              <w:right w:w="0" w:type="dxa"/>
            </w:tcMar>
            <w:vAlign w:val="bottom"/>
            <w:hideMark/>
          </w:tcPr>
          <w:p w:rsidR="00000000" w:rsidRDefault="00FF2C06">
            <w:pPr>
              <w:pStyle w:val="a3"/>
              <w:spacing w:before="0" w:beforeAutospacing="0" w:after="1" w:afterAutospacing="0"/>
              <w:divId w:val="570626594"/>
              <w:rPr>
                <w:sz w:val="20"/>
                <w:szCs w:val="20"/>
              </w:rPr>
            </w:pPr>
            <w:r>
              <w:rPr>
                <w:sz w:val="2"/>
                <w:szCs w:val="2"/>
              </w:rPr>
              <w:t>​</w:t>
            </w:r>
          </w:p>
        </w:tc>
        <w:tc>
          <w:tcPr>
            <w:tcW w:w="105" w:type="pct"/>
            <w:tcMar>
              <w:top w:w="0" w:type="dxa"/>
              <w:left w:w="0" w:type="dxa"/>
              <w:bottom w:w="0" w:type="dxa"/>
              <w:right w:w="0" w:type="dxa"/>
            </w:tcMar>
            <w:vAlign w:val="bottom"/>
            <w:hideMark/>
          </w:tcPr>
          <w:p w:rsidR="00000000" w:rsidRDefault="00FF2C06">
            <w:pPr>
              <w:pStyle w:val="a3"/>
              <w:spacing w:before="0" w:beforeAutospacing="0" w:after="1" w:afterAutospacing="0"/>
              <w:divId w:val="118115502"/>
              <w:rPr>
                <w:sz w:val="20"/>
                <w:szCs w:val="20"/>
              </w:rPr>
            </w:pPr>
            <w:r>
              <w:rPr>
                <w:sz w:val="2"/>
                <w:szCs w:val="2"/>
              </w:rPr>
              <w:t>​</w:t>
            </w:r>
          </w:p>
        </w:tc>
        <w:tc>
          <w:tcPr>
            <w:tcW w:w="66" w:type="pct"/>
            <w:tcMar>
              <w:top w:w="0" w:type="dxa"/>
              <w:left w:w="0" w:type="dxa"/>
              <w:bottom w:w="0" w:type="dxa"/>
              <w:right w:w="0" w:type="dxa"/>
            </w:tcMar>
            <w:vAlign w:val="bottom"/>
            <w:hideMark/>
          </w:tcPr>
          <w:p w:rsidR="00000000" w:rsidRDefault="00FF2C06">
            <w:pPr>
              <w:pStyle w:val="a3"/>
              <w:spacing w:before="0" w:beforeAutospacing="0" w:after="1" w:afterAutospacing="0"/>
              <w:divId w:val="433987251"/>
              <w:rPr>
                <w:sz w:val="20"/>
                <w:szCs w:val="20"/>
              </w:rPr>
            </w:pPr>
            <w:r>
              <w:rPr>
                <w:sz w:val="2"/>
                <w:szCs w:val="2"/>
              </w:rPr>
              <w:t>​</w:t>
            </w:r>
          </w:p>
        </w:tc>
        <w:tc>
          <w:tcPr>
            <w:tcW w:w="424" w:type="pct"/>
            <w:tcMar>
              <w:top w:w="0" w:type="dxa"/>
              <w:left w:w="0" w:type="dxa"/>
              <w:bottom w:w="0" w:type="dxa"/>
              <w:right w:w="0" w:type="dxa"/>
            </w:tcMar>
            <w:vAlign w:val="bottom"/>
            <w:hideMark/>
          </w:tcPr>
          <w:p w:rsidR="00000000" w:rsidRDefault="00FF2C06">
            <w:pPr>
              <w:pStyle w:val="a3"/>
              <w:spacing w:before="0" w:beforeAutospacing="0" w:after="1" w:afterAutospacing="0"/>
              <w:divId w:val="465511683"/>
              <w:rPr>
                <w:sz w:val="20"/>
                <w:szCs w:val="20"/>
              </w:rPr>
            </w:pPr>
            <w:r>
              <w:rPr>
                <w:sz w:val="2"/>
                <w:szCs w:val="2"/>
              </w:rPr>
              <w:t>​</w:t>
            </w:r>
          </w:p>
        </w:tc>
        <w:tc>
          <w:tcPr>
            <w:tcW w:w="105" w:type="pct"/>
            <w:tcMar>
              <w:top w:w="0" w:type="dxa"/>
              <w:left w:w="0" w:type="dxa"/>
              <w:bottom w:w="0" w:type="dxa"/>
              <w:right w:w="0" w:type="dxa"/>
            </w:tcMar>
            <w:vAlign w:val="bottom"/>
            <w:hideMark/>
          </w:tcPr>
          <w:p w:rsidR="00000000" w:rsidRDefault="00FF2C06">
            <w:pPr>
              <w:pStyle w:val="a3"/>
              <w:spacing w:before="0" w:beforeAutospacing="0" w:after="1" w:afterAutospacing="0"/>
              <w:divId w:val="214318090"/>
              <w:rPr>
                <w:sz w:val="20"/>
                <w:szCs w:val="20"/>
              </w:rPr>
            </w:pPr>
            <w:r>
              <w:rPr>
                <w:sz w:val="2"/>
                <w:szCs w:val="2"/>
              </w:rPr>
              <w:t>​</w:t>
            </w:r>
          </w:p>
        </w:tc>
        <w:tc>
          <w:tcPr>
            <w:tcW w:w="66" w:type="pct"/>
            <w:tcMar>
              <w:top w:w="0" w:type="dxa"/>
              <w:left w:w="0" w:type="dxa"/>
              <w:bottom w:w="0" w:type="dxa"/>
              <w:right w:w="0" w:type="dxa"/>
            </w:tcMar>
            <w:vAlign w:val="bottom"/>
            <w:hideMark/>
          </w:tcPr>
          <w:p w:rsidR="00000000" w:rsidRDefault="00FF2C06">
            <w:pPr>
              <w:pStyle w:val="a3"/>
              <w:spacing w:before="0" w:beforeAutospacing="0" w:after="1" w:afterAutospacing="0"/>
              <w:divId w:val="771900598"/>
              <w:rPr>
                <w:sz w:val="20"/>
                <w:szCs w:val="20"/>
              </w:rPr>
            </w:pPr>
            <w:r>
              <w:rPr>
                <w:sz w:val="2"/>
                <w:szCs w:val="2"/>
              </w:rPr>
              <w:t>​</w:t>
            </w:r>
          </w:p>
        </w:tc>
        <w:tc>
          <w:tcPr>
            <w:tcW w:w="424" w:type="pct"/>
            <w:tcMar>
              <w:top w:w="0" w:type="dxa"/>
              <w:left w:w="0" w:type="dxa"/>
              <w:bottom w:w="0" w:type="dxa"/>
              <w:right w:w="0" w:type="dxa"/>
            </w:tcMar>
            <w:vAlign w:val="bottom"/>
            <w:hideMark/>
          </w:tcPr>
          <w:p w:rsidR="00000000" w:rsidRDefault="00FF2C06">
            <w:pPr>
              <w:pStyle w:val="a3"/>
              <w:spacing w:before="0" w:beforeAutospacing="0" w:after="1" w:afterAutospacing="0"/>
              <w:divId w:val="1410618123"/>
              <w:rPr>
                <w:sz w:val="20"/>
                <w:szCs w:val="20"/>
              </w:rPr>
            </w:pPr>
            <w:r>
              <w:rPr>
                <w:sz w:val="2"/>
                <w:szCs w:val="2"/>
              </w:rPr>
              <w:t>​</w:t>
            </w:r>
          </w:p>
        </w:tc>
        <w:tc>
          <w:tcPr>
            <w:tcW w:w="105" w:type="pct"/>
            <w:tcMar>
              <w:top w:w="0" w:type="dxa"/>
              <w:left w:w="0" w:type="dxa"/>
              <w:bottom w:w="0" w:type="dxa"/>
              <w:right w:w="0" w:type="dxa"/>
            </w:tcMar>
            <w:vAlign w:val="bottom"/>
            <w:hideMark/>
          </w:tcPr>
          <w:p w:rsidR="00000000" w:rsidRDefault="00FF2C06">
            <w:pPr>
              <w:pStyle w:val="a3"/>
              <w:spacing w:before="0" w:beforeAutospacing="0" w:after="1" w:afterAutospacing="0"/>
              <w:divId w:val="1729525691"/>
              <w:rPr>
                <w:sz w:val="20"/>
                <w:szCs w:val="20"/>
              </w:rPr>
            </w:pPr>
            <w:r>
              <w:rPr>
                <w:sz w:val="2"/>
                <w:szCs w:val="2"/>
              </w:rPr>
              <w:t>​</w:t>
            </w:r>
          </w:p>
        </w:tc>
        <w:tc>
          <w:tcPr>
            <w:tcW w:w="66" w:type="pct"/>
            <w:tcMar>
              <w:top w:w="0" w:type="dxa"/>
              <w:left w:w="0" w:type="dxa"/>
              <w:bottom w:w="0" w:type="dxa"/>
              <w:right w:w="0" w:type="dxa"/>
            </w:tcMar>
            <w:vAlign w:val="bottom"/>
            <w:hideMark/>
          </w:tcPr>
          <w:p w:rsidR="00000000" w:rsidRDefault="00FF2C06">
            <w:pPr>
              <w:pStyle w:val="a3"/>
              <w:spacing w:before="0" w:beforeAutospacing="0" w:after="1" w:afterAutospacing="0"/>
              <w:divId w:val="381178391"/>
              <w:rPr>
                <w:sz w:val="20"/>
                <w:szCs w:val="20"/>
              </w:rPr>
            </w:pPr>
            <w:r>
              <w:rPr>
                <w:sz w:val="2"/>
                <w:szCs w:val="2"/>
              </w:rPr>
              <w:t>​</w:t>
            </w:r>
          </w:p>
        </w:tc>
        <w:tc>
          <w:tcPr>
            <w:tcW w:w="424" w:type="pct"/>
            <w:tcMar>
              <w:top w:w="0" w:type="dxa"/>
              <w:left w:w="0" w:type="dxa"/>
              <w:bottom w:w="0" w:type="dxa"/>
              <w:right w:w="0" w:type="dxa"/>
            </w:tcMar>
            <w:vAlign w:val="bottom"/>
            <w:hideMark/>
          </w:tcPr>
          <w:p w:rsidR="00000000" w:rsidRDefault="00FF2C06">
            <w:pPr>
              <w:pStyle w:val="a3"/>
              <w:spacing w:before="0" w:beforeAutospacing="0" w:after="1" w:afterAutospacing="0"/>
              <w:divId w:val="1442258976"/>
              <w:rPr>
                <w:sz w:val="20"/>
                <w:szCs w:val="20"/>
              </w:rPr>
            </w:pPr>
            <w:r>
              <w:rPr>
                <w:sz w:val="2"/>
                <w:szCs w:val="2"/>
              </w:rPr>
              <w:t>​</w:t>
            </w:r>
          </w:p>
        </w:tc>
        <w:tc>
          <w:tcPr>
            <w:tcW w:w="105" w:type="pct"/>
            <w:tcMar>
              <w:top w:w="0" w:type="dxa"/>
              <w:left w:w="0" w:type="dxa"/>
              <w:bottom w:w="0" w:type="dxa"/>
              <w:right w:w="0" w:type="dxa"/>
            </w:tcMar>
            <w:vAlign w:val="bottom"/>
            <w:hideMark/>
          </w:tcPr>
          <w:p w:rsidR="00000000" w:rsidRDefault="00FF2C06">
            <w:pPr>
              <w:pStyle w:val="a3"/>
              <w:spacing w:before="0" w:beforeAutospacing="0" w:after="1" w:afterAutospacing="0"/>
              <w:divId w:val="393820846"/>
              <w:rPr>
                <w:sz w:val="20"/>
                <w:szCs w:val="20"/>
              </w:rPr>
            </w:pPr>
            <w:r>
              <w:rPr>
                <w:sz w:val="2"/>
                <w:szCs w:val="2"/>
              </w:rPr>
              <w:t>​</w:t>
            </w:r>
          </w:p>
        </w:tc>
        <w:tc>
          <w:tcPr>
            <w:tcW w:w="66" w:type="pct"/>
            <w:tcMar>
              <w:top w:w="0" w:type="dxa"/>
              <w:left w:w="0" w:type="dxa"/>
              <w:bottom w:w="0" w:type="dxa"/>
              <w:right w:w="0" w:type="dxa"/>
            </w:tcMar>
            <w:vAlign w:val="bottom"/>
            <w:hideMark/>
          </w:tcPr>
          <w:p w:rsidR="00000000" w:rsidRDefault="00FF2C06">
            <w:pPr>
              <w:pStyle w:val="a3"/>
              <w:spacing w:before="0" w:beforeAutospacing="0" w:after="1" w:afterAutospacing="0"/>
              <w:divId w:val="1254708809"/>
              <w:rPr>
                <w:sz w:val="20"/>
                <w:szCs w:val="20"/>
              </w:rPr>
            </w:pPr>
            <w:r>
              <w:rPr>
                <w:sz w:val="2"/>
                <w:szCs w:val="2"/>
              </w:rPr>
              <w:t>​</w:t>
            </w:r>
          </w:p>
        </w:tc>
        <w:tc>
          <w:tcPr>
            <w:tcW w:w="424" w:type="pct"/>
            <w:tcMar>
              <w:top w:w="0" w:type="dxa"/>
              <w:left w:w="0" w:type="dxa"/>
              <w:bottom w:w="0" w:type="dxa"/>
              <w:right w:w="0" w:type="dxa"/>
            </w:tcMar>
            <w:vAlign w:val="bottom"/>
            <w:hideMark/>
          </w:tcPr>
          <w:p w:rsidR="00000000" w:rsidRDefault="00FF2C06">
            <w:pPr>
              <w:pStyle w:val="a3"/>
              <w:spacing w:before="0" w:beforeAutospacing="0" w:after="1" w:afterAutospacing="0"/>
              <w:divId w:val="843478244"/>
              <w:rPr>
                <w:sz w:val="20"/>
                <w:szCs w:val="20"/>
              </w:rPr>
            </w:pPr>
            <w:r>
              <w:rPr>
                <w:sz w:val="2"/>
                <w:szCs w:val="2"/>
              </w:rPr>
              <w:t>​</w:t>
            </w:r>
          </w:p>
        </w:tc>
        <w:tc>
          <w:tcPr>
            <w:tcW w:w="6"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551959878"/>
              <w:rPr>
                <w:sz w:val="20"/>
                <w:szCs w:val="20"/>
              </w:rPr>
            </w:pPr>
            <w:r>
              <w:rPr>
                <w:sz w:val="2"/>
                <w:szCs w:val="2"/>
              </w:rPr>
              <w:t>​</w:t>
            </w:r>
          </w:p>
        </w:tc>
      </w:tr>
      <w:tr w:rsidR="00000000">
        <w:trPr>
          <w:divId w:val="1946644299"/>
        </w:trPr>
        <w:tc>
          <w:tcPr>
            <w:tcW w:w="2609"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105"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1086" w:type="pct"/>
            <w:gridSpan w:val="5"/>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 xml:space="preserve">Three Months Ended </w:t>
            </w:r>
          </w:p>
        </w:tc>
        <w:tc>
          <w:tcPr>
            <w:tcW w:w="10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16"/>
                <w:szCs w:val="16"/>
              </w:rPr>
              <w:t>​</w:t>
            </w:r>
          </w:p>
        </w:tc>
        <w:tc>
          <w:tcPr>
            <w:tcW w:w="1086" w:type="pct"/>
            <w:gridSpan w:val="5"/>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 xml:space="preserve">Nine Months Ended </w:t>
            </w:r>
          </w:p>
        </w:tc>
        <w:tc>
          <w:tcPr>
            <w:tcW w:w="6"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b/>
                <w:bCs/>
                <w:sz w:val="16"/>
                <w:szCs w:val="16"/>
              </w:rPr>
              <w:t>​</w:t>
            </w:r>
          </w:p>
        </w:tc>
      </w:tr>
      <w:tr w:rsidR="00000000">
        <w:trPr>
          <w:divId w:val="1946644299"/>
        </w:trPr>
        <w:tc>
          <w:tcPr>
            <w:tcW w:w="2609"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105"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1086" w:type="pct"/>
            <w:gridSpan w:val="5"/>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September 30, </w:t>
            </w:r>
          </w:p>
        </w:tc>
        <w:tc>
          <w:tcPr>
            <w:tcW w:w="10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16"/>
                <w:szCs w:val="16"/>
              </w:rPr>
              <w:t>​</w:t>
            </w:r>
          </w:p>
        </w:tc>
        <w:tc>
          <w:tcPr>
            <w:tcW w:w="1086" w:type="pct"/>
            <w:gridSpan w:val="5"/>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September 30, </w:t>
            </w:r>
          </w:p>
        </w:tc>
        <w:tc>
          <w:tcPr>
            <w:tcW w:w="6"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b/>
                <w:bCs/>
                <w:sz w:val="16"/>
                <w:szCs w:val="16"/>
              </w:rPr>
              <w:t>​</w:t>
            </w:r>
          </w:p>
        </w:tc>
      </w:tr>
      <w:tr w:rsidR="00000000">
        <w:trPr>
          <w:divId w:val="1946644299"/>
        </w:trPr>
        <w:tc>
          <w:tcPr>
            <w:tcW w:w="2609" w:type="pct"/>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w:t>
            </w:r>
          </w:p>
        </w:tc>
        <w:tc>
          <w:tcPr>
            <w:tcW w:w="105"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490"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2020</w:t>
            </w:r>
          </w:p>
        </w:tc>
        <w:tc>
          <w:tcPr>
            <w:tcW w:w="10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b/>
                <w:bCs/>
                <w:sz w:val="16"/>
                <w:szCs w:val="16"/>
              </w:rPr>
              <w:t>    </w:t>
            </w:r>
          </w:p>
        </w:tc>
        <w:tc>
          <w:tcPr>
            <w:tcW w:w="490"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2019</w:t>
            </w:r>
          </w:p>
        </w:tc>
        <w:tc>
          <w:tcPr>
            <w:tcW w:w="10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b/>
                <w:bCs/>
                <w:sz w:val="16"/>
                <w:szCs w:val="16"/>
              </w:rPr>
              <w:t>    </w:t>
            </w:r>
          </w:p>
        </w:tc>
        <w:tc>
          <w:tcPr>
            <w:tcW w:w="490"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2020</w:t>
            </w:r>
          </w:p>
        </w:tc>
        <w:tc>
          <w:tcPr>
            <w:tcW w:w="10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b/>
                <w:bCs/>
                <w:sz w:val="16"/>
                <w:szCs w:val="16"/>
              </w:rPr>
              <w:t>    </w:t>
            </w:r>
          </w:p>
        </w:tc>
        <w:tc>
          <w:tcPr>
            <w:tcW w:w="490"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2019</w:t>
            </w:r>
          </w:p>
        </w:tc>
        <w:tc>
          <w:tcPr>
            <w:tcW w:w="6"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b/>
                <w:bCs/>
                <w:sz w:val="16"/>
                <w:szCs w:val="16"/>
              </w:rPr>
              <w:t>​</w:t>
            </w:r>
          </w:p>
        </w:tc>
      </w:tr>
      <w:tr w:rsidR="00000000">
        <w:trPr>
          <w:divId w:val="1946644299"/>
        </w:trPr>
        <w:tc>
          <w:tcPr>
            <w:tcW w:w="2609"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105"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6"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24"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105"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6"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24"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105"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6"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24"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105"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6"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24"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1946644299"/>
        </w:trPr>
        <w:tc>
          <w:tcPr>
            <w:tcW w:w="2609"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20"/>
                <w:szCs w:val="20"/>
              </w:rPr>
              <w:t>Net Loss</w:t>
            </w:r>
          </w:p>
        </w:tc>
        <w:tc>
          <w:tcPr>
            <w:tcW w:w="105"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(58,571)</w:t>
            </w:r>
          </w:p>
        </w:tc>
        <w:tc>
          <w:tcPr>
            <w:tcW w:w="10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(49,487)</w:t>
            </w:r>
          </w:p>
        </w:tc>
        <w:tc>
          <w:tcPr>
            <w:tcW w:w="10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(191,184)</w:t>
            </w:r>
          </w:p>
        </w:tc>
        <w:tc>
          <w:tcPr>
            <w:tcW w:w="10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(133,988)</w:t>
            </w:r>
          </w:p>
        </w:tc>
        <w:tc>
          <w:tcPr>
            <w:tcW w:w="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1946644299"/>
        </w:trPr>
        <w:tc>
          <w:tcPr>
            <w:tcW w:w="2609"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Other comprehensive (loss) / gain:</w:t>
            </w:r>
          </w:p>
        </w:tc>
        <w:tc>
          <w:tcPr>
            <w:tcW w:w="105"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424" w:type="pct"/>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w:t>
            </w:r>
          </w:p>
        </w:tc>
        <w:tc>
          <w:tcPr>
            <w:tcW w:w="10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424" w:type="pct"/>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w:t>
            </w:r>
          </w:p>
        </w:tc>
        <w:tc>
          <w:tcPr>
            <w:tcW w:w="10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424"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w:t>
            </w:r>
          </w:p>
        </w:tc>
        <w:tc>
          <w:tcPr>
            <w:tcW w:w="10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424"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w:t>
            </w:r>
          </w:p>
        </w:tc>
        <w:tc>
          <w:tcPr>
            <w:tcW w:w="6"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1946644299"/>
        </w:trPr>
        <w:tc>
          <w:tcPr>
            <w:tcW w:w="2609"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ind w:left="120"/>
              <w:rPr>
                <w:sz w:val="20"/>
                <w:szCs w:val="20"/>
              </w:rPr>
            </w:pPr>
            <w:r>
              <w:rPr>
                <w:sz w:val="20"/>
                <w:szCs w:val="20"/>
              </w:rPr>
              <w:t>Unrealized (loss) / gain on short-term investments</w:t>
            </w:r>
          </w:p>
        </w:tc>
        <w:tc>
          <w:tcPr>
            <w:tcW w:w="105"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ind w:left="120"/>
              <w:rPr>
                <w:sz w:val="20"/>
                <w:szCs w:val="20"/>
              </w:rPr>
            </w:pPr>
            <w:r>
              <w:rPr>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4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(162)</w:t>
            </w:r>
          </w:p>
        </w:tc>
        <w:tc>
          <w:tcPr>
            <w:tcW w:w="10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4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(133)</w:t>
            </w:r>
          </w:p>
        </w:tc>
        <w:tc>
          <w:tcPr>
            <w:tcW w:w="10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4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(65)</w:t>
            </w:r>
          </w:p>
        </w:tc>
        <w:tc>
          <w:tcPr>
            <w:tcW w:w="10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4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281</w:t>
            </w:r>
          </w:p>
        </w:tc>
        <w:tc>
          <w:tcPr>
            <w:tcW w:w="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1946644299"/>
        </w:trPr>
        <w:tc>
          <w:tcPr>
            <w:tcW w:w="2609"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20"/>
                <w:szCs w:val="20"/>
              </w:rPr>
              <w:t>Comprehensive Loss</w:t>
            </w:r>
          </w:p>
        </w:tc>
        <w:tc>
          <w:tcPr>
            <w:tcW w:w="105"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20"/>
                <w:szCs w:val="20"/>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24" w:type="pct"/>
            <w:tcBorders>
              <w:bottom w:val="doub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(58,733)</w:t>
            </w:r>
          </w:p>
        </w:tc>
        <w:tc>
          <w:tcPr>
            <w:tcW w:w="10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24" w:type="pct"/>
            <w:tcBorders>
              <w:bottom w:val="doub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(49,620)</w:t>
            </w:r>
          </w:p>
        </w:tc>
        <w:tc>
          <w:tcPr>
            <w:tcW w:w="10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24" w:type="pct"/>
            <w:tcBorders>
              <w:bottom w:val="doub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(191,249)</w:t>
            </w:r>
          </w:p>
        </w:tc>
        <w:tc>
          <w:tcPr>
            <w:tcW w:w="10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24" w:type="pct"/>
            <w:tcBorders>
              <w:bottom w:val="doub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(133,707)</w:t>
            </w:r>
          </w:p>
        </w:tc>
        <w:tc>
          <w:tcPr>
            <w:tcW w:w="6"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bl>
    <w:p w:rsidR="00000000" w:rsidRDefault="00FF2C06">
      <w:pPr>
        <w:pStyle w:val="a3"/>
        <w:spacing w:before="0" w:beforeAutospacing="0" w:after="0" w:afterAutospacing="0"/>
        <w:divId w:val="1946644299"/>
        <w:rPr>
          <w:sz w:val="20"/>
          <w:szCs w:val="20"/>
        </w:rPr>
      </w:pPr>
      <w:r>
        <w:rPr>
          <w:sz w:val="20"/>
          <w:szCs w:val="20"/>
        </w:rPr>
        <w:lastRenderedPageBreak/>
        <w:t>​</w:t>
      </w:r>
    </w:p>
    <w:p w:rsidR="00000000" w:rsidRDefault="00FF2C06">
      <w:pPr>
        <w:pStyle w:val="a3"/>
        <w:spacing w:before="0" w:beforeAutospacing="0" w:after="200" w:afterAutospacing="0"/>
        <w:ind w:firstLine="547"/>
        <w:jc w:val="center"/>
        <w:divId w:val="1946644299"/>
        <w:rPr>
          <w:sz w:val="20"/>
          <w:szCs w:val="20"/>
        </w:rPr>
      </w:pPr>
      <w:r>
        <w:rPr>
          <w:sz w:val="20"/>
          <w:szCs w:val="20"/>
        </w:rPr>
        <w:t>The accompanying notes are an integral part of these condensed consolidated financial statements.</w:t>
      </w:r>
    </w:p>
    <w:p w:rsidR="00000000" w:rsidRDefault="00FF2C06">
      <w:pPr>
        <w:pStyle w:val="a3"/>
        <w:spacing w:before="0" w:beforeAutospacing="0" w:after="0" w:afterAutospacing="0"/>
        <w:divId w:val="1946644299"/>
        <w:rPr>
          <w:sz w:val="20"/>
          <w:szCs w:val="20"/>
        </w:rPr>
      </w:pPr>
      <w:r>
        <w:rPr>
          <w:sz w:val="20"/>
          <w:szCs w:val="20"/>
        </w:rPr>
        <w:t>​</w:t>
      </w:r>
    </w:p>
    <w:p w:rsidR="00000000" w:rsidRDefault="00FF2C06">
      <w:pPr>
        <w:pStyle w:val="a3"/>
        <w:spacing w:before="0" w:beforeAutospacing="0" w:after="0" w:afterAutospacing="0" w:line="0" w:lineRule="atLeast"/>
        <w:divId w:val="1946644299"/>
        <w:rPr>
          <w:vanish/>
        </w:rPr>
      </w:pPr>
      <w:r>
        <w:rPr>
          <w:vanish/>
          <w:sz w:val="2"/>
          <w:szCs w:val="2"/>
        </w:rPr>
        <w:t>​</w:t>
      </w:r>
    </w:p>
    <w:p w:rsidR="00000000" w:rsidRDefault="00FF2C06">
      <w:pPr>
        <w:pStyle w:val="a3"/>
        <w:spacing w:before="480" w:beforeAutospacing="0" w:after="0" w:afterAutospacing="0"/>
        <w:jc w:val="center"/>
        <w:divId w:val="1151750147"/>
        <w:rPr>
          <w:sz w:val="20"/>
          <w:szCs w:val="20"/>
        </w:rPr>
      </w:pPr>
      <w:r>
        <w:rPr>
          <w:sz w:val="20"/>
          <w:szCs w:val="20"/>
        </w:rPr>
        <w:t>4</w:t>
      </w:r>
    </w:p>
    <w:p w:rsidR="00000000" w:rsidRDefault="00FF2C06">
      <w:pPr>
        <w:pStyle w:val="a3"/>
        <w:spacing w:before="0" w:beforeAutospacing="0" w:after="600" w:afterAutospacing="0"/>
        <w:divId w:val="2096121605"/>
        <w:rPr>
          <w:sz w:val="20"/>
          <w:szCs w:val="20"/>
        </w:rPr>
      </w:pPr>
      <w:hyperlink w:anchor="TOC" w:history="1">
        <w:r>
          <w:rPr>
            <w:rStyle w:val="a4"/>
            <w:sz w:val="20"/>
            <w:szCs w:val="20"/>
          </w:rPr>
          <w:t>Table of Contents</w:t>
        </w:r>
      </w:hyperlink>
    </w:p>
    <w:p w:rsidR="00000000" w:rsidRDefault="00FF2C06">
      <w:pPr>
        <w:pStyle w:val="a3"/>
        <w:spacing w:before="0" w:beforeAutospacing="0" w:after="0" w:afterAutospacing="0"/>
        <w:divId w:val="928273288"/>
        <w:rPr>
          <w:sz w:val="20"/>
          <w:szCs w:val="20"/>
        </w:rPr>
      </w:pPr>
      <w:r>
        <w:rPr>
          <w:sz w:val="20"/>
          <w:szCs w:val="20"/>
        </w:rPr>
        <w:t>​</w:t>
      </w:r>
    </w:p>
    <w:p w:rsidR="00000000" w:rsidRDefault="00FF2C06">
      <w:pPr>
        <w:pStyle w:val="a3"/>
        <w:spacing w:before="0" w:beforeAutospacing="0" w:after="0" w:afterAutospacing="0"/>
        <w:ind w:firstLine="547"/>
        <w:jc w:val="center"/>
        <w:divId w:val="928273288"/>
        <w:rPr>
          <w:b/>
          <w:bCs/>
          <w:sz w:val="20"/>
          <w:szCs w:val="20"/>
        </w:rPr>
      </w:pPr>
      <w:r>
        <w:rPr>
          <w:b/>
          <w:bCs/>
          <w:sz w:val="20"/>
          <w:szCs w:val="20"/>
        </w:rPr>
        <w:t>IOVANCE BIOTHERAPEUTICS, INC.</w:t>
      </w:r>
    </w:p>
    <w:p w:rsidR="00000000" w:rsidRDefault="00FF2C06">
      <w:pPr>
        <w:pStyle w:val="a3"/>
        <w:spacing w:before="0" w:beforeAutospacing="0" w:after="0" w:afterAutospacing="0"/>
        <w:jc w:val="center"/>
        <w:divId w:val="928273288"/>
        <w:rPr>
          <w:sz w:val="20"/>
          <w:szCs w:val="20"/>
        </w:rPr>
      </w:pPr>
      <w:r>
        <w:rPr>
          <w:b/>
          <w:bCs/>
          <w:sz w:val="20"/>
          <w:szCs w:val="20"/>
        </w:rPr>
        <w:t>Condensed Consolidated Statements of Stockholders’ Equity</w:t>
      </w:r>
    </w:p>
    <w:p w:rsidR="00000000" w:rsidRDefault="00FF2C06">
      <w:pPr>
        <w:pStyle w:val="a3"/>
        <w:spacing w:before="0" w:beforeAutospacing="0" w:after="0" w:afterAutospacing="0"/>
        <w:jc w:val="center"/>
        <w:divId w:val="928273288"/>
        <w:rPr>
          <w:sz w:val="20"/>
          <w:szCs w:val="20"/>
        </w:rPr>
      </w:pPr>
      <w:r>
        <w:rPr>
          <w:b/>
          <w:bCs/>
          <w:sz w:val="20"/>
          <w:szCs w:val="20"/>
        </w:rPr>
        <w:t>For the Nine Months Ended September 30, 2020 and 2019</w:t>
      </w:r>
    </w:p>
    <w:p w:rsidR="00000000" w:rsidRDefault="00FF2C06">
      <w:pPr>
        <w:pStyle w:val="a3"/>
        <w:spacing w:before="0" w:beforeAutospacing="0" w:after="0" w:afterAutospacing="0"/>
        <w:jc w:val="center"/>
        <w:divId w:val="928273288"/>
        <w:rPr>
          <w:sz w:val="20"/>
          <w:szCs w:val="20"/>
        </w:rPr>
      </w:pPr>
      <w:r>
        <w:rPr>
          <w:b/>
          <w:bCs/>
          <w:sz w:val="20"/>
          <w:szCs w:val="20"/>
        </w:rPr>
        <w:t>(unaudited; in thousands, except share information)</w:t>
      </w:r>
    </w:p>
    <w:p w:rsidR="00000000" w:rsidRDefault="00FF2C06">
      <w:pPr>
        <w:pStyle w:val="a3"/>
        <w:spacing w:before="0" w:beforeAutospacing="0" w:after="0" w:afterAutospacing="0"/>
        <w:jc w:val="center"/>
        <w:divId w:val="928273288"/>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458"/>
        <w:gridCol w:w="160"/>
        <w:gridCol w:w="464"/>
        <w:gridCol w:w="161"/>
        <w:gridCol w:w="83"/>
        <w:gridCol w:w="478"/>
        <w:gridCol w:w="160"/>
        <w:gridCol w:w="747"/>
        <w:gridCol w:w="160"/>
        <w:gridCol w:w="83"/>
        <w:gridCol w:w="478"/>
        <w:gridCol w:w="160"/>
        <w:gridCol w:w="848"/>
        <w:gridCol w:w="160"/>
        <w:gridCol w:w="81"/>
        <w:gridCol w:w="492"/>
        <w:gridCol w:w="160"/>
        <w:gridCol w:w="80"/>
        <w:gridCol w:w="688"/>
        <w:gridCol w:w="160"/>
        <w:gridCol w:w="127"/>
        <w:gridCol w:w="1184"/>
        <w:gridCol w:w="160"/>
        <w:gridCol w:w="99"/>
        <w:gridCol w:w="808"/>
        <w:gridCol w:w="160"/>
        <w:gridCol w:w="130"/>
        <w:gridCol w:w="813"/>
      </w:tblGrid>
      <w:tr w:rsidR="00000000">
        <w:trPr>
          <w:divId w:val="928273288"/>
          <w:trHeight w:val="20"/>
        </w:trPr>
        <w:tc>
          <w:tcPr>
            <w:tcW w:w="1288" w:type="pct"/>
            <w:tcMar>
              <w:top w:w="0" w:type="dxa"/>
              <w:left w:w="0" w:type="dxa"/>
              <w:bottom w:w="0" w:type="dxa"/>
              <w:right w:w="0" w:type="dxa"/>
            </w:tcMar>
            <w:vAlign w:val="bottom"/>
            <w:hideMark/>
          </w:tcPr>
          <w:p w:rsidR="00000000" w:rsidRDefault="00FF2C06">
            <w:pPr>
              <w:pStyle w:val="a3"/>
              <w:spacing w:before="0" w:beforeAutospacing="0" w:after="0" w:afterAutospacing="0"/>
              <w:divId w:val="887112235"/>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2146313772"/>
              <w:rPr>
                <w:sz w:val="20"/>
                <w:szCs w:val="20"/>
              </w:rPr>
            </w:pPr>
            <w:r>
              <w:rPr>
                <w:sz w:val="2"/>
                <w:szCs w:val="2"/>
              </w:rPr>
              <w:t>​</w:t>
            </w:r>
          </w:p>
        </w:tc>
        <w:tc>
          <w:tcPr>
            <w:tcW w:w="217"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959531378"/>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928732702"/>
              <w:rPr>
                <w:sz w:val="20"/>
                <w:szCs w:val="20"/>
              </w:rPr>
            </w:pPr>
            <w:r>
              <w:rPr>
                <w:sz w:val="2"/>
                <w:szCs w:val="2"/>
              </w:rPr>
              <w:t>​</w:t>
            </w:r>
          </w:p>
        </w:tc>
        <w:tc>
          <w:tcPr>
            <w:tcW w:w="38"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391470761"/>
              <w:rPr>
                <w:sz w:val="20"/>
                <w:szCs w:val="20"/>
              </w:rPr>
            </w:pPr>
            <w:r>
              <w:rPr>
                <w:sz w:val="2"/>
                <w:szCs w:val="2"/>
              </w:rPr>
              <w:t>​</w:t>
            </w:r>
          </w:p>
        </w:tc>
        <w:tc>
          <w:tcPr>
            <w:tcW w:w="218"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413888095"/>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72843901"/>
              <w:rPr>
                <w:sz w:val="20"/>
                <w:szCs w:val="20"/>
              </w:rPr>
            </w:pPr>
            <w:r>
              <w:rPr>
                <w:sz w:val="2"/>
                <w:szCs w:val="2"/>
              </w:rPr>
              <w:t>​</w:t>
            </w:r>
          </w:p>
        </w:tc>
        <w:tc>
          <w:tcPr>
            <w:tcW w:w="273"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143307587"/>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824929790"/>
              <w:rPr>
                <w:sz w:val="20"/>
                <w:szCs w:val="20"/>
              </w:rPr>
            </w:pPr>
            <w:r>
              <w:rPr>
                <w:sz w:val="2"/>
                <w:szCs w:val="2"/>
              </w:rPr>
              <w:t>​</w:t>
            </w:r>
          </w:p>
        </w:tc>
        <w:tc>
          <w:tcPr>
            <w:tcW w:w="38"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578591840"/>
              <w:rPr>
                <w:sz w:val="20"/>
                <w:szCs w:val="20"/>
              </w:rPr>
            </w:pPr>
            <w:r>
              <w:rPr>
                <w:sz w:val="2"/>
                <w:szCs w:val="2"/>
              </w:rPr>
              <w:t>​</w:t>
            </w:r>
          </w:p>
        </w:tc>
        <w:tc>
          <w:tcPr>
            <w:tcW w:w="218"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997414571"/>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358889452"/>
              <w:rPr>
                <w:sz w:val="20"/>
                <w:szCs w:val="20"/>
              </w:rPr>
            </w:pPr>
            <w:r>
              <w:rPr>
                <w:sz w:val="2"/>
                <w:szCs w:val="2"/>
              </w:rPr>
              <w:t>​</w:t>
            </w:r>
          </w:p>
        </w:tc>
        <w:tc>
          <w:tcPr>
            <w:tcW w:w="308"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987053700"/>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899095369"/>
              <w:rPr>
                <w:sz w:val="20"/>
                <w:szCs w:val="20"/>
              </w:rPr>
            </w:pPr>
            <w:r>
              <w:rPr>
                <w:sz w:val="2"/>
                <w:szCs w:val="2"/>
              </w:rPr>
              <w:t>​</w:t>
            </w:r>
          </w:p>
        </w:tc>
        <w:tc>
          <w:tcPr>
            <w:tcW w:w="38"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7313724"/>
              <w:rPr>
                <w:sz w:val="20"/>
                <w:szCs w:val="20"/>
              </w:rPr>
            </w:pPr>
            <w:r>
              <w:rPr>
                <w:sz w:val="2"/>
                <w:szCs w:val="2"/>
              </w:rPr>
              <w:t>​</w:t>
            </w:r>
          </w:p>
        </w:tc>
        <w:tc>
          <w:tcPr>
            <w:tcW w:w="269"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865798662"/>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570265783"/>
              <w:rPr>
                <w:sz w:val="20"/>
                <w:szCs w:val="20"/>
              </w:rPr>
            </w:pPr>
            <w:r>
              <w:rPr>
                <w:sz w:val="2"/>
                <w:szCs w:val="2"/>
              </w:rPr>
              <w:t>​</w:t>
            </w:r>
          </w:p>
        </w:tc>
        <w:tc>
          <w:tcPr>
            <w:tcW w:w="38"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526917332"/>
              <w:rPr>
                <w:sz w:val="20"/>
                <w:szCs w:val="20"/>
              </w:rPr>
            </w:pPr>
            <w:r>
              <w:rPr>
                <w:sz w:val="2"/>
                <w:szCs w:val="2"/>
              </w:rPr>
              <w:t>​</w:t>
            </w:r>
          </w:p>
        </w:tc>
        <w:tc>
          <w:tcPr>
            <w:tcW w:w="268"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895778330"/>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2098937943"/>
              <w:rPr>
                <w:sz w:val="20"/>
                <w:szCs w:val="20"/>
              </w:rPr>
            </w:pPr>
            <w:r>
              <w:rPr>
                <w:sz w:val="2"/>
                <w:szCs w:val="2"/>
              </w:rPr>
              <w:t>​</w:t>
            </w:r>
          </w:p>
        </w:tc>
        <w:tc>
          <w:tcPr>
            <w:tcW w:w="44"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481656975"/>
              <w:rPr>
                <w:sz w:val="20"/>
                <w:szCs w:val="20"/>
              </w:rPr>
            </w:pPr>
            <w:r>
              <w:rPr>
                <w:sz w:val="2"/>
                <w:szCs w:val="2"/>
              </w:rPr>
              <w:t>​</w:t>
            </w:r>
          </w:p>
        </w:tc>
        <w:tc>
          <w:tcPr>
            <w:tcW w:w="411"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54733515"/>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301610667"/>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765564703"/>
              <w:rPr>
                <w:sz w:val="20"/>
                <w:szCs w:val="20"/>
              </w:rPr>
            </w:pPr>
            <w:r>
              <w:rPr>
                <w:sz w:val="2"/>
                <w:szCs w:val="2"/>
              </w:rPr>
              <w:t>​</w:t>
            </w:r>
          </w:p>
        </w:tc>
        <w:tc>
          <w:tcPr>
            <w:tcW w:w="319"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959529313"/>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835654068"/>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053233783"/>
              <w:rPr>
                <w:sz w:val="20"/>
                <w:szCs w:val="20"/>
              </w:rPr>
            </w:pPr>
            <w:r>
              <w:rPr>
                <w:sz w:val="2"/>
                <w:szCs w:val="2"/>
              </w:rPr>
              <w:t>​</w:t>
            </w:r>
          </w:p>
        </w:tc>
        <w:tc>
          <w:tcPr>
            <w:tcW w:w="282"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418674762"/>
              <w:rPr>
                <w:sz w:val="20"/>
                <w:szCs w:val="20"/>
              </w:rPr>
            </w:pPr>
            <w:r>
              <w:rPr>
                <w:sz w:val="2"/>
                <w:szCs w:val="2"/>
              </w:rPr>
              <w:t>​</w:t>
            </w:r>
          </w:p>
        </w:tc>
      </w:tr>
      <w:tr w:rsidR="00000000">
        <w:trPr>
          <w:divId w:val="928273288"/>
        </w:trPr>
        <w:tc>
          <w:tcPr>
            <w:tcW w:w="1288" w:type="pct"/>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b/>
                <w:bCs/>
                <w:sz w:val="16"/>
                <w:szCs w:val="16"/>
              </w:rPr>
              <w:t>​</w:t>
            </w:r>
          </w:p>
        </w:tc>
        <w:tc>
          <w:tcPr>
            <w:tcW w:w="537" w:type="pct"/>
            <w:gridSpan w:val="4"/>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Series A </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b/>
                <w:bCs/>
                <w:sz w:val="16"/>
                <w:szCs w:val="16"/>
              </w:rPr>
              <w:t>​</w:t>
            </w:r>
          </w:p>
        </w:tc>
        <w:tc>
          <w:tcPr>
            <w:tcW w:w="594" w:type="pct"/>
            <w:gridSpan w:val="4"/>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Series B</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b/>
                <w:bCs/>
                <w:sz w:val="16"/>
                <w:szCs w:val="16"/>
              </w:rPr>
              <w:t>​</w:t>
            </w:r>
          </w:p>
        </w:tc>
        <w:tc>
          <w:tcPr>
            <w:tcW w:w="308"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b/>
                <w:bCs/>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b/>
                <w:bCs/>
                <w:sz w:val="16"/>
                <w:szCs w:val="16"/>
              </w:rPr>
              <w:t>​</w:t>
            </w:r>
          </w:p>
        </w:tc>
        <w:tc>
          <w:tcPr>
            <w:tcW w:w="38"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b/>
                <w:bCs/>
                <w:sz w:val="16"/>
                <w:szCs w:val="16"/>
              </w:rPr>
              <w:t>​</w:t>
            </w:r>
          </w:p>
        </w:tc>
        <w:tc>
          <w:tcPr>
            <w:tcW w:w="269"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b/>
                <w:bCs/>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b/>
                <w:bCs/>
                <w:sz w:val="16"/>
                <w:szCs w:val="16"/>
              </w:rPr>
              <w:t>​</w:t>
            </w:r>
          </w:p>
        </w:tc>
        <w:tc>
          <w:tcPr>
            <w:tcW w:w="38"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sz w:val="16"/>
                <w:szCs w:val="16"/>
              </w:rPr>
              <w:t>​</w:t>
            </w:r>
          </w:p>
        </w:tc>
        <w:tc>
          <w:tcPr>
            <w:tcW w:w="268"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b/>
                <w:bCs/>
                <w:sz w:val="16"/>
                <w:szCs w:val="16"/>
              </w:rPr>
              <w:t>​</w:t>
            </w:r>
          </w:p>
        </w:tc>
        <w:tc>
          <w:tcPr>
            <w:tcW w:w="44"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sz w:val="16"/>
                <w:szCs w:val="16"/>
              </w:rPr>
              <w:t>​</w:t>
            </w:r>
          </w:p>
        </w:tc>
        <w:tc>
          <w:tcPr>
            <w:tcW w:w="411"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b/>
                <w:bCs/>
                <w:sz w:val="16"/>
                <w:szCs w:val="16"/>
              </w:rPr>
              <w:t>​</w:t>
            </w:r>
          </w:p>
        </w:tc>
        <w:tc>
          <w:tcPr>
            <w:tcW w:w="39"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sz w:val="16"/>
                <w:szCs w:val="16"/>
              </w:rPr>
              <w:t>​</w:t>
            </w:r>
          </w:p>
        </w:tc>
        <w:tc>
          <w:tcPr>
            <w:tcW w:w="319"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b/>
                <w:bCs/>
                <w:sz w:val="16"/>
                <w:szCs w:val="16"/>
              </w:rPr>
              <w:t>​</w:t>
            </w:r>
          </w:p>
        </w:tc>
        <w:tc>
          <w:tcPr>
            <w:tcW w:w="45"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sz w:val="16"/>
                <w:szCs w:val="16"/>
              </w:rPr>
              <w:t>​</w:t>
            </w:r>
          </w:p>
        </w:tc>
        <w:tc>
          <w:tcPr>
            <w:tcW w:w="282"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sz w:val="16"/>
                <w:szCs w:val="16"/>
              </w:rPr>
              <w:t>​</w:t>
            </w:r>
          </w:p>
        </w:tc>
      </w:tr>
      <w:tr w:rsidR="00000000">
        <w:trPr>
          <w:divId w:val="928273288"/>
        </w:trPr>
        <w:tc>
          <w:tcPr>
            <w:tcW w:w="1288" w:type="pct"/>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b/>
                <w:bCs/>
                <w:sz w:val="16"/>
                <w:szCs w:val="16"/>
              </w:rPr>
              <w:t>​</w:t>
            </w:r>
          </w:p>
        </w:tc>
        <w:tc>
          <w:tcPr>
            <w:tcW w:w="537" w:type="pct"/>
            <w:gridSpan w:val="4"/>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Convertible</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b/>
                <w:bCs/>
                <w:sz w:val="16"/>
                <w:szCs w:val="16"/>
              </w:rPr>
              <w:t>​</w:t>
            </w:r>
          </w:p>
        </w:tc>
        <w:tc>
          <w:tcPr>
            <w:tcW w:w="594" w:type="pct"/>
            <w:gridSpan w:val="4"/>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Convertible</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b/>
                <w:bCs/>
                <w:sz w:val="16"/>
                <w:szCs w:val="16"/>
              </w:rPr>
              <w:t>​</w:t>
            </w:r>
          </w:p>
        </w:tc>
        <w:tc>
          <w:tcPr>
            <w:tcW w:w="308"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b/>
                <w:bCs/>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b/>
                <w:bCs/>
                <w:sz w:val="16"/>
                <w:szCs w:val="16"/>
              </w:rPr>
              <w:t>​</w:t>
            </w:r>
          </w:p>
        </w:tc>
        <w:tc>
          <w:tcPr>
            <w:tcW w:w="38"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b/>
                <w:bCs/>
                <w:sz w:val="16"/>
                <w:szCs w:val="16"/>
              </w:rPr>
              <w:t>​</w:t>
            </w:r>
          </w:p>
        </w:tc>
        <w:tc>
          <w:tcPr>
            <w:tcW w:w="269"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b/>
                <w:bCs/>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b/>
                <w:bCs/>
                <w:sz w:val="16"/>
                <w:szCs w:val="16"/>
              </w:rPr>
              <w:t>​</w:t>
            </w:r>
          </w:p>
        </w:tc>
        <w:tc>
          <w:tcPr>
            <w:tcW w:w="306" w:type="pct"/>
            <w:gridSpan w:val="2"/>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Additional</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b/>
                <w:bCs/>
                <w:sz w:val="16"/>
                <w:szCs w:val="16"/>
              </w:rPr>
              <w:t>​</w:t>
            </w:r>
          </w:p>
        </w:tc>
        <w:tc>
          <w:tcPr>
            <w:tcW w:w="455" w:type="pct"/>
            <w:gridSpan w:val="2"/>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Accumulated other</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b/>
                <w:bCs/>
                <w:sz w:val="16"/>
                <w:szCs w:val="16"/>
              </w:rPr>
              <w:t>​</w:t>
            </w:r>
          </w:p>
        </w:tc>
        <w:tc>
          <w:tcPr>
            <w:tcW w:w="39"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sz w:val="16"/>
                <w:szCs w:val="16"/>
              </w:rPr>
              <w:t>​</w:t>
            </w:r>
          </w:p>
        </w:tc>
        <w:tc>
          <w:tcPr>
            <w:tcW w:w="319"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b/>
                <w:bCs/>
                <w:sz w:val="16"/>
                <w:szCs w:val="16"/>
              </w:rPr>
              <w:t>​</w:t>
            </w:r>
          </w:p>
        </w:tc>
        <w:tc>
          <w:tcPr>
            <w:tcW w:w="327" w:type="pct"/>
            <w:gridSpan w:val="2"/>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Total</w:t>
            </w:r>
          </w:p>
        </w:tc>
      </w:tr>
      <w:tr w:rsidR="00000000">
        <w:trPr>
          <w:divId w:val="928273288"/>
        </w:trPr>
        <w:tc>
          <w:tcPr>
            <w:tcW w:w="1288" w:type="pct"/>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b/>
                <w:bCs/>
                <w:sz w:val="16"/>
                <w:szCs w:val="16"/>
              </w:rPr>
              <w:t>​</w:t>
            </w:r>
          </w:p>
        </w:tc>
        <w:tc>
          <w:tcPr>
            <w:tcW w:w="537" w:type="pct"/>
            <w:gridSpan w:val="4"/>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Preferred Sock</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b/>
                <w:bCs/>
                <w:sz w:val="16"/>
                <w:szCs w:val="16"/>
              </w:rPr>
              <w:t>​</w:t>
            </w:r>
          </w:p>
        </w:tc>
        <w:tc>
          <w:tcPr>
            <w:tcW w:w="594" w:type="pct"/>
            <w:gridSpan w:val="4"/>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Preferred Stock</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b/>
                <w:bCs/>
                <w:sz w:val="16"/>
                <w:szCs w:val="16"/>
              </w:rPr>
              <w:t>​</w:t>
            </w:r>
          </w:p>
        </w:tc>
        <w:tc>
          <w:tcPr>
            <w:tcW w:w="680" w:type="pct"/>
            <w:gridSpan w:val="4"/>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Common Stock</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b/>
                <w:bCs/>
                <w:sz w:val="16"/>
                <w:szCs w:val="16"/>
              </w:rPr>
              <w:t>​</w:t>
            </w:r>
          </w:p>
        </w:tc>
        <w:tc>
          <w:tcPr>
            <w:tcW w:w="306" w:type="pct"/>
            <w:gridSpan w:val="2"/>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Paid-In</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b/>
                <w:bCs/>
                <w:sz w:val="16"/>
                <w:szCs w:val="16"/>
              </w:rPr>
              <w:t>​</w:t>
            </w:r>
          </w:p>
        </w:tc>
        <w:tc>
          <w:tcPr>
            <w:tcW w:w="455" w:type="pct"/>
            <w:gridSpan w:val="2"/>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Comprehensive</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b/>
                <w:bCs/>
                <w:sz w:val="16"/>
                <w:szCs w:val="16"/>
              </w:rPr>
              <w:t>​</w:t>
            </w:r>
          </w:p>
        </w:tc>
        <w:tc>
          <w:tcPr>
            <w:tcW w:w="359" w:type="pct"/>
            <w:gridSpan w:val="2"/>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Accumulated</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b/>
                <w:bCs/>
                <w:sz w:val="16"/>
                <w:szCs w:val="16"/>
              </w:rPr>
              <w:t>​</w:t>
            </w:r>
          </w:p>
        </w:tc>
        <w:tc>
          <w:tcPr>
            <w:tcW w:w="327" w:type="pct"/>
            <w:gridSpan w:val="2"/>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Stockholders’</w:t>
            </w:r>
          </w:p>
        </w:tc>
      </w:tr>
      <w:tr w:rsidR="00000000">
        <w:trPr>
          <w:divId w:val="928273288"/>
        </w:trPr>
        <w:tc>
          <w:tcPr>
            <w:tcW w:w="1288" w:type="pct"/>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    </w:t>
            </w:r>
          </w:p>
        </w:tc>
        <w:tc>
          <w:tcPr>
            <w:tcW w:w="217"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Shares</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    </w:t>
            </w:r>
          </w:p>
        </w:tc>
        <w:tc>
          <w:tcPr>
            <w:tcW w:w="256"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Amount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    </w:t>
            </w:r>
          </w:p>
        </w:tc>
        <w:tc>
          <w:tcPr>
            <w:tcW w:w="273"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Shares</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    </w:t>
            </w:r>
          </w:p>
        </w:tc>
        <w:tc>
          <w:tcPr>
            <w:tcW w:w="256"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Amount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    </w:t>
            </w:r>
          </w:p>
        </w:tc>
        <w:tc>
          <w:tcPr>
            <w:tcW w:w="308"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Shares</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    </w:t>
            </w:r>
          </w:p>
        </w:tc>
        <w:tc>
          <w:tcPr>
            <w:tcW w:w="307"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Amount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    </w:t>
            </w:r>
          </w:p>
        </w:tc>
        <w:tc>
          <w:tcPr>
            <w:tcW w:w="306"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Capital</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    </w:t>
            </w:r>
          </w:p>
        </w:tc>
        <w:tc>
          <w:tcPr>
            <w:tcW w:w="455"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Income</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    </w:t>
            </w:r>
          </w:p>
        </w:tc>
        <w:tc>
          <w:tcPr>
            <w:tcW w:w="359"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Deficit</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    </w:t>
            </w:r>
          </w:p>
        </w:tc>
        <w:tc>
          <w:tcPr>
            <w:tcW w:w="327"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Equity</w:t>
            </w:r>
          </w:p>
        </w:tc>
      </w:tr>
      <w:tr w:rsidR="00FF2C06">
        <w:trPr>
          <w:divId w:val="928273288"/>
        </w:trPr>
        <w:tc>
          <w:tcPr>
            <w:tcW w:w="1288" w:type="pct"/>
            <w:shd w:val="clear" w:color="auto" w:fill="CCEEFF"/>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b/>
                <w:bCs/>
                <w:sz w:val="16"/>
                <w:szCs w:val="16"/>
              </w:rPr>
              <w:t>Balance - December 31, 2019</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 </w:t>
            </w:r>
          </w:p>
        </w:tc>
        <w:tc>
          <w:tcPr>
            <w:tcW w:w="217"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48"/>
              <w:jc w:val="right"/>
              <w:rPr>
                <w:sz w:val="16"/>
                <w:szCs w:val="16"/>
              </w:rPr>
            </w:pPr>
            <w:r>
              <w:rPr>
                <w:sz w:val="16"/>
                <w:szCs w:val="16"/>
              </w:rPr>
              <w:t>194</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w:t>
            </w:r>
          </w:p>
        </w:tc>
        <w:tc>
          <w:tcPr>
            <w:tcW w:w="21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48"/>
              <w:jc w:val="right"/>
              <w:rPr>
                <w:sz w:val="16"/>
                <w:szCs w:val="16"/>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 </w:t>
            </w:r>
          </w:p>
        </w:tc>
        <w:tc>
          <w:tcPr>
            <w:tcW w:w="27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48"/>
              <w:jc w:val="right"/>
              <w:rPr>
                <w:sz w:val="16"/>
                <w:szCs w:val="16"/>
              </w:rPr>
            </w:pPr>
            <w:r>
              <w:rPr>
                <w:sz w:val="16"/>
                <w:szCs w:val="16"/>
              </w:rPr>
              <w:t>3,581,119</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w:t>
            </w:r>
          </w:p>
        </w:tc>
        <w:tc>
          <w:tcPr>
            <w:tcW w:w="21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48"/>
              <w:jc w:val="right"/>
              <w:rPr>
                <w:sz w:val="16"/>
                <w:szCs w:val="16"/>
              </w:rPr>
            </w:pPr>
            <w:r>
              <w:rPr>
                <w:sz w:val="16"/>
                <w:szCs w:val="16"/>
              </w:rPr>
              <w:t>4</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 </w:t>
            </w:r>
          </w:p>
        </w:tc>
        <w:tc>
          <w:tcPr>
            <w:tcW w:w="30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48"/>
              <w:jc w:val="right"/>
              <w:rPr>
                <w:sz w:val="16"/>
                <w:szCs w:val="16"/>
              </w:rPr>
            </w:pPr>
            <w:r>
              <w:rPr>
                <w:sz w:val="16"/>
                <w:szCs w:val="16"/>
              </w:rPr>
              <w:t>126,411,808</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w:t>
            </w:r>
          </w:p>
        </w:tc>
        <w:tc>
          <w:tcPr>
            <w:tcW w:w="26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48"/>
              <w:jc w:val="right"/>
              <w:rPr>
                <w:sz w:val="16"/>
                <w:szCs w:val="16"/>
              </w:rPr>
            </w:pPr>
            <w:r>
              <w:rPr>
                <w:sz w:val="16"/>
                <w:szCs w:val="16"/>
              </w:rPr>
              <w:t>5</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w:t>
            </w:r>
          </w:p>
        </w:tc>
        <w:tc>
          <w:tcPr>
            <w:tcW w:w="26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48"/>
              <w:jc w:val="right"/>
              <w:rPr>
                <w:sz w:val="16"/>
                <w:szCs w:val="16"/>
              </w:rPr>
            </w:pPr>
            <w:r>
              <w:rPr>
                <w:sz w:val="16"/>
                <w:szCs w:val="16"/>
              </w:rPr>
              <w:t>869,354</w:t>
            </w:r>
          </w:p>
        </w:tc>
        <w:tc>
          <w:tcPr>
            <w:tcW w:w="6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w:t>
            </w:r>
          </w:p>
        </w:tc>
        <w:tc>
          <w:tcPr>
            <w:tcW w:w="41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48"/>
              <w:jc w:val="right"/>
              <w:rPr>
                <w:sz w:val="16"/>
                <w:szCs w:val="16"/>
              </w:rPr>
            </w:pPr>
            <w:r>
              <w:rPr>
                <w:sz w:val="16"/>
                <w:szCs w:val="16"/>
              </w:rPr>
              <w:t>220</w:t>
            </w:r>
          </w:p>
        </w:tc>
        <w:tc>
          <w:tcPr>
            <w:tcW w:w="6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16"/>
                <w:szCs w:val="16"/>
              </w:rPr>
            </w:pPr>
            <w:r>
              <w:rPr>
                <w:sz w:val="16"/>
                <w:szCs w:val="16"/>
              </w:rPr>
              <w:t>(</w:t>
            </w:r>
            <w:r>
              <w:rPr>
                <w:sz w:val="16"/>
                <w:szCs w:val="16"/>
              </w:rPr>
              <w:t>570,612)</w:t>
            </w:r>
          </w:p>
        </w:tc>
        <w:tc>
          <w:tcPr>
            <w:tcW w:w="6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w:t>
            </w:r>
          </w:p>
        </w:tc>
        <w:tc>
          <w:tcPr>
            <w:tcW w:w="28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48"/>
              <w:jc w:val="right"/>
              <w:rPr>
                <w:sz w:val="16"/>
                <w:szCs w:val="16"/>
              </w:rPr>
            </w:pPr>
            <w:r>
              <w:rPr>
                <w:sz w:val="16"/>
                <w:szCs w:val="16"/>
              </w:rPr>
              <w:t>298,971</w:t>
            </w:r>
          </w:p>
        </w:tc>
      </w:tr>
      <w:tr w:rsidR="00000000">
        <w:trPr>
          <w:divId w:val="928273288"/>
        </w:trPr>
        <w:tc>
          <w:tcPr>
            <w:tcW w:w="1288" w:type="pct"/>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Stock-based compensation expense</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17"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18"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7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18"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08"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69"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 </w:t>
            </w:r>
          </w:p>
        </w:tc>
        <w:tc>
          <w:tcPr>
            <w:tcW w:w="268" w:type="pct"/>
            <w:noWrap/>
            <w:tcMar>
              <w:top w:w="0" w:type="dxa"/>
              <w:left w:w="0" w:type="dxa"/>
              <w:bottom w:w="0" w:type="dxa"/>
              <w:right w:w="0" w:type="dxa"/>
            </w:tcMar>
            <w:vAlign w:val="bottom"/>
            <w:hideMark/>
          </w:tcPr>
          <w:p w:rsidR="00000000" w:rsidRDefault="00FF2C06">
            <w:pPr>
              <w:pStyle w:val="a3"/>
              <w:spacing w:before="0" w:beforeAutospacing="0" w:after="0" w:afterAutospacing="0"/>
              <w:ind w:right="48"/>
              <w:jc w:val="right"/>
              <w:rPr>
                <w:sz w:val="16"/>
                <w:szCs w:val="16"/>
              </w:rPr>
            </w:pPr>
            <w:r>
              <w:rPr>
                <w:sz w:val="16"/>
                <w:szCs w:val="16"/>
              </w:rPr>
              <w:t>30,655</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44"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411"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19"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 </w:t>
            </w:r>
          </w:p>
        </w:tc>
        <w:tc>
          <w:tcPr>
            <w:tcW w:w="282" w:type="pct"/>
            <w:noWrap/>
            <w:tcMar>
              <w:top w:w="0" w:type="dxa"/>
              <w:left w:w="0" w:type="dxa"/>
              <w:bottom w:w="0" w:type="dxa"/>
              <w:right w:w="0" w:type="dxa"/>
            </w:tcMar>
            <w:vAlign w:val="bottom"/>
            <w:hideMark/>
          </w:tcPr>
          <w:p w:rsidR="00000000" w:rsidRDefault="00FF2C06">
            <w:pPr>
              <w:pStyle w:val="a3"/>
              <w:spacing w:before="0" w:beforeAutospacing="0" w:after="0" w:afterAutospacing="0"/>
              <w:ind w:right="48"/>
              <w:jc w:val="right"/>
              <w:rPr>
                <w:sz w:val="16"/>
                <w:szCs w:val="16"/>
              </w:rPr>
            </w:pPr>
            <w:r>
              <w:rPr>
                <w:sz w:val="16"/>
                <w:szCs w:val="16"/>
              </w:rPr>
              <w:t>30,655</w:t>
            </w:r>
          </w:p>
        </w:tc>
      </w:tr>
      <w:tr w:rsidR="00FF2C06">
        <w:trPr>
          <w:divId w:val="928273288"/>
        </w:trPr>
        <w:tc>
          <w:tcPr>
            <w:tcW w:w="1288" w:type="pct"/>
            <w:shd w:val="clear" w:color="auto" w:fill="CCEEFF"/>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Vesting of restricted shares issued for services</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17"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1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7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1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 </w:t>
            </w:r>
          </w:p>
        </w:tc>
        <w:tc>
          <w:tcPr>
            <w:tcW w:w="30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48"/>
              <w:jc w:val="right"/>
              <w:rPr>
                <w:sz w:val="16"/>
                <w:szCs w:val="16"/>
              </w:rPr>
            </w:pPr>
            <w:r>
              <w:rPr>
                <w:sz w:val="16"/>
                <w:szCs w:val="16"/>
              </w:rPr>
              <w:t>13,449</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 </w:t>
            </w:r>
          </w:p>
        </w:tc>
        <w:tc>
          <w:tcPr>
            <w:tcW w:w="26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48"/>
              <w:jc w:val="right"/>
              <w:rPr>
                <w:sz w:val="16"/>
                <w:szCs w:val="16"/>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 </w:t>
            </w:r>
          </w:p>
        </w:tc>
        <w:tc>
          <w:tcPr>
            <w:tcW w:w="26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41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 </w:t>
            </w:r>
          </w:p>
        </w:tc>
        <w:tc>
          <w:tcPr>
            <w:tcW w:w="28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48"/>
              <w:jc w:val="right"/>
              <w:rPr>
                <w:sz w:val="16"/>
                <w:szCs w:val="16"/>
              </w:rPr>
            </w:pPr>
            <w:r>
              <w:rPr>
                <w:sz w:val="16"/>
                <w:szCs w:val="16"/>
              </w:rPr>
              <w:t>—</w:t>
            </w:r>
          </w:p>
        </w:tc>
      </w:tr>
      <w:tr w:rsidR="00000000">
        <w:trPr>
          <w:divId w:val="928273288"/>
        </w:trPr>
        <w:tc>
          <w:tcPr>
            <w:tcW w:w="1288" w:type="pct"/>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Tax payments related to shares withheld for vested restricted stock units</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17"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18"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7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18"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08"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69"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 </w:t>
            </w:r>
          </w:p>
        </w:tc>
        <w:tc>
          <w:tcPr>
            <w:tcW w:w="268" w:type="pct"/>
            <w:noWrap/>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16"/>
                <w:szCs w:val="16"/>
              </w:rPr>
            </w:pPr>
            <w:r>
              <w:rPr>
                <w:sz w:val="16"/>
                <w:szCs w:val="16"/>
              </w:rPr>
              <w:t>(283)</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44"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411"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19"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 </w:t>
            </w:r>
          </w:p>
        </w:tc>
        <w:tc>
          <w:tcPr>
            <w:tcW w:w="282" w:type="pct"/>
            <w:noWrap/>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16"/>
                <w:szCs w:val="16"/>
              </w:rPr>
            </w:pPr>
            <w:r>
              <w:rPr>
                <w:sz w:val="16"/>
                <w:szCs w:val="16"/>
              </w:rPr>
              <w:t>(283)</w:t>
            </w:r>
          </w:p>
        </w:tc>
      </w:tr>
      <w:tr w:rsidR="00FF2C06">
        <w:trPr>
          <w:divId w:val="928273288"/>
        </w:trPr>
        <w:tc>
          <w:tcPr>
            <w:tcW w:w="1288" w:type="pct"/>
            <w:shd w:val="clear" w:color="auto" w:fill="CCEEFF"/>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Common stock issued upon exercise of stock options</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17"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1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7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1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 </w:t>
            </w:r>
          </w:p>
        </w:tc>
        <w:tc>
          <w:tcPr>
            <w:tcW w:w="30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48"/>
              <w:jc w:val="right"/>
              <w:rPr>
                <w:sz w:val="16"/>
                <w:szCs w:val="16"/>
              </w:rPr>
            </w:pPr>
            <w:r>
              <w:rPr>
                <w:sz w:val="16"/>
                <w:szCs w:val="16"/>
              </w:rPr>
              <w:t>680,561</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 </w:t>
            </w:r>
          </w:p>
        </w:tc>
        <w:tc>
          <w:tcPr>
            <w:tcW w:w="26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48"/>
              <w:jc w:val="right"/>
              <w:rPr>
                <w:sz w:val="16"/>
                <w:szCs w:val="16"/>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 </w:t>
            </w:r>
          </w:p>
        </w:tc>
        <w:tc>
          <w:tcPr>
            <w:tcW w:w="26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48"/>
              <w:jc w:val="right"/>
              <w:rPr>
                <w:sz w:val="16"/>
                <w:szCs w:val="16"/>
              </w:rPr>
            </w:pPr>
            <w:r>
              <w:rPr>
                <w:sz w:val="16"/>
                <w:szCs w:val="16"/>
              </w:rPr>
              <w:t>6,704</w:t>
            </w:r>
          </w:p>
        </w:tc>
        <w:tc>
          <w:tcPr>
            <w:tcW w:w="6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41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 </w:t>
            </w:r>
          </w:p>
        </w:tc>
        <w:tc>
          <w:tcPr>
            <w:tcW w:w="28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48"/>
              <w:jc w:val="right"/>
              <w:rPr>
                <w:sz w:val="16"/>
                <w:szCs w:val="16"/>
              </w:rPr>
            </w:pPr>
            <w:r>
              <w:rPr>
                <w:sz w:val="16"/>
                <w:szCs w:val="16"/>
              </w:rPr>
              <w:t>6,704</w:t>
            </w:r>
          </w:p>
        </w:tc>
      </w:tr>
      <w:tr w:rsidR="00000000">
        <w:trPr>
          <w:divId w:val="928273288"/>
        </w:trPr>
        <w:tc>
          <w:tcPr>
            <w:tcW w:w="1288" w:type="pct"/>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Unrealized loss on short-term investments</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17"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18"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7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18"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08"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69"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68"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44"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 </w:t>
            </w:r>
          </w:p>
        </w:tc>
        <w:tc>
          <w:tcPr>
            <w:tcW w:w="411" w:type="pct"/>
            <w:noWrap/>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16"/>
                <w:szCs w:val="16"/>
              </w:rPr>
            </w:pPr>
            <w:r>
              <w:rPr>
                <w:sz w:val="16"/>
                <w:szCs w:val="16"/>
              </w:rPr>
              <w:t>(65)</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19"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 </w:t>
            </w:r>
          </w:p>
        </w:tc>
        <w:tc>
          <w:tcPr>
            <w:tcW w:w="282" w:type="pct"/>
            <w:noWrap/>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16"/>
                <w:szCs w:val="16"/>
              </w:rPr>
            </w:pPr>
            <w:r>
              <w:rPr>
                <w:sz w:val="16"/>
                <w:szCs w:val="16"/>
              </w:rPr>
              <w:t>(65)</w:t>
            </w:r>
          </w:p>
        </w:tc>
      </w:tr>
      <w:tr w:rsidR="00FF2C06">
        <w:trPr>
          <w:divId w:val="928273288"/>
        </w:trPr>
        <w:tc>
          <w:tcPr>
            <w:tcW w:w="1288" w:type="pct"/>
            <w:shd w:val="clear" w:color="auto" w:fill="CCEEFF"/>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Common stock sold in public offering, net of offering costs</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17"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1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7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1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0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48"/>
              <w:jc w:val="right"/>
              <w:rPr>
                <w:sz w:val="16"/>
                <w:szCs w:val="16"/>
              </w:rPr>
            </w:pPr>
            <w:r>
              <w:rPr>
                <w:sz w:val="16"/>
                <w:szCs w:val="16"/>
              </w:rPr>
              <w:t>19,475,806</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6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48"/>
              <w:jc w:val="right"/>
              <w:rPr>
                <w:sz w:val="16"/>
                <w:szCs w:val="16"/>
              </w:rPr>
            </w:pPr>
            <w:r>
              <w:rPr>
                <w:sz w:val="16"/>
                <w:szCs w:val="16"/>
              </w:rPr>
              <w:t>1</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6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48"/>
              <w:jc w:val="right"/>
              <w:rPr>
                <w:sz w:val="16"/>
                <w:szCs w:val="16"/>
              </w:rPr>
            </w:pPr>
            <w:r>
              <w:rPr>
                <w:sz w:val="16"/>
                <w:szCs w:val="16"/>
              </w:rPr>
              <w:t>567,042</w:t>
            </w:r>
          </w:p>
        </w:tc>
        <w:tc>
          <w:tcPr>
            <w:tcW w:w="6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41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8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48"/>
              <w:jc w:val="right"/>
              <w:rPr>
                <w:sz w:val="16"/>
                <w:szCs w:val="16"/>
              </w:rPr>
            </w:pPr>
            <w:r>
              <w:rPr>
                <w:sz w:val="16"/>
                <w:szCs w:val="16"/>
              </w:rPr>
              <w:t>567,043</w:t>
            </w:r>
          </w:p>
        </w:tc>
      </w:tr>
      <w:tr w:rsidR="00000000">
        <w:trPr>
          <w:divId w:val="928273288"/>
        </w:trPr>
        <w:tc>
          <w:tcPr>
            <w:tcW w:w="1288" w:type="pct"/>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Net loss</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17"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18"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73"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18"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08"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69"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68"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44"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411"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9"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 </w:t>
            </w:r>
          </w:p>
        </w:tc>
        <w:tc>
          <w:tcPr>
            <w:tcW w:w="319"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16"/>
                <w:szCs w:val="16"/>
              </w:rPr>
            </w:pPr>
            <w:r>
              <w:rPr>
                <w:sz w:val="16"/>
                <w:szCs w:val="16"/>
              </w:rPr>
              <w:t>(191,184)</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45"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 </w:t>
            </w:r>
          </w:p>
        </w:tc>
        <w:tc>
          <w:tcPr>
            <w:tcW w:w="282"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16"/>
                <w:szCs w:val="16"/>
              </w:rPr>
            </w:pPr>
            <w:r>
              <w:rPr>
                <w:sz w:val="16"/>
                <w:szCs w:val="16"/>
              </w:rPr>
              <w:t>(191,184)</w:t>
            </w:r>
          </w:p>
        </w:tc>
      </w:tr>
      <w:tr w:rsidR="00FF2C06">
        <w:trPr>
          <w:divId w:val="928273288"/>
        </w:trPr>
        <w:tc>
          <w:tcPr>
            <w:tcW w:w="1288" w:type="pct"/>
            <w:shd w:val="clear" w:color="auto" w:fill="CCEEFF"/>
            <w:tcMar>
              <w:top w:w="0" w:type="dxa"/>
              <w:left w:w="0" w:type="dxa"/>
              <w:bottom w:w="0" w:type="dxa"/>
              <w:right w:w="0" w:type="dxa"/>
            </w:tcMar>
            <w:vAlign w:val="bottom"/>
            <w:hideMark/>
          </w:tcPr>
          <w:p w:rsidR="00000000" w:rsidRDefault="00FF2C06">
            <w:pPr>
              <w:pStyle w:val="a3"/>
              <w:spacing w:before="0" w:beforeAutospacing="0" w:after="0" w:afterAutospacing="0"/>
              <w:ind w:left="120"/>
              <w:rPr>
                <w:sz w:val="16"/>
                <w:szCs w:val="16"/>
              </w:rPr>
            </w:pPr>
            <w:r>
              <w:rPr>
                <w:b/>
                <w:bCs/>
                <w:sz w:val="16"/>
                <w:szCs w:val="16"/>
              </w:rPr>
              <w:t>Balance - September 30, 2020</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 </w:t>
            </w:r>
          </w:p>
        </w:tc>
        <w:tc>
          <w:tcPr>
            <w:tcW w:w="21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48"/>
              <w:jc w:val="right"/>
              <w:rPr>
                <w:sz w:val="16"/>
                <w:szCs w:val="16"/>
              </w:rPr>
            </w:pPr>
            <w:r>
              <w:rPr>
                <w:sz w:val="16"/>
                <w:szCs w:val="16"/>
              </w:rPr>
              <w:t>194</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w:t>
            </w:r>
          </w:p>
        </w:tc>
        <w:tc>
          <w:tcPr>
            <w:tcW w:w="21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48"/>
              <w:jc w:val="right"/>
              <w:rPr>
                <w:sz w:val="16"/>
                <w:szCs w:val="16"/>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 </w:t>
            </w:r>
          </w:p>
        </w:tc>
        <w:tc>
          <w:tcPr>
            <w:tcW w:w="2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48"/>
              <w:jc w:val="right"/>
              <w:rPr>
                <w:sz w:val="16"/>
                <w:szCs w:val="16"/>
              </w:rPr>
            </w:pPr>
            <w:r>
              <w:rPr>
                <w:sz w:val="16"/>
                <w:szCs w:val="16"/>
              </w:rPr>
              <w:t>3,581,119</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w:t>
            </w:r>
          </w:p>
        </w:tc>
        <w:tc>
          <w:tcPr>
            <w:tcW w:w="21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48"/>
              <w:jc w:val="right"/>
              <w:rPr>
                <w:sz w:val="16"/>
                <w:szCs w:val="16"/>
              </w:rPr>
            </w:pPr>
            <w:r>
              <w:rPr>
                <w:sz w:val="16"/>
                <w:szCs w:val="16"/>
              </w:rPr>
              <w:t>4</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 </w:t>
            </w:r>
          </w:p>
        </w:tc>
        <w:tc>
          <w:tcPr>
            <w:tcW w:w="30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48"/>
              <w:jc w:val="right"/>
              <w:rPr>
                <w:sz w:val="16"/>
                <w:szCs w:val="16"/>
              </w:rPr>
            </w:pPr>
            <w:r>
              <w:rPr>
                <w:sz w:val="16"/>
                <w:szCs w:val="16"/>
              </w:rPr>
              <w:t>146,581,624</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w:t>
            </w:r>
          </w:p>
        </w:tc>
        <w:tc>
          <w:tcPr>
            <w:tcW w:w="2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48"/>
              <w:jc w:val="right"/>
              <w:rPr>
                <w:sz w:val="16"/>
                <w:szCs w:val="16"/>
              </w:rPr>
            </w:pPr>
            <w:r>
              <w:rPr>
                <w:sz w:val="16"/>
                <w:szCs w:val="16"/>
              </w:rPr>
              <w:t>6</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w:t>
            </w:r>
          </w:p>
        </w:tc>
        <w:tc>
          <w:tcPr>
            <w:tcW w:w="2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48"/>
              <w:jc w:val="right"/>
              <w:rPr>
                <w:sz w:val="16"/>
                <w:szCs w:val="16"/>
              </w:rPr>
            </w:pPr>
            <w:r>
              <w:rPr>
                <w:sz w:val="16"/>
                <w:szCs w:val="16"/>
              </w:rPr>
              <w:t>1,473,472</w:t>
            </w:r>
          </w:p>
        </w:tc>
        <w:tc>
          <w:tcPr>
            <w:tcW w:w="6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4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w:t>
            </w:r>
          </w:p>
        </w:tc>
        <w:tc>
          <w:tcPr>
            <w:tcW w:w="41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48"/>
              <w:jc w:val="right"/>
              <w:rPr>
                <w:sz w:val="16"/>
                <w:szCs w:val="16"/>
              </w:rPr>
            </w:pPr>
            <w:r>
              <w:rPr>
                <w:sz w:val="16"/>
                <w:szCs w:val="16"/>
              </w:rPr>
              <w:t>155</w:t>
            </w:r>
          </w:p>
        </w:tc>
        <w:tc>
          <w:tcPr>
            <w:tcW w:w="6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w:t>
            </w:r>
          </w:p>
        </w:tc>
        <w:tc>
          <w:tcPr>
            <w:tcW w:w="31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16"/>
                <w:szCs w:val="16"/>
              </w:rPr>
            </w:pPr>
            <w:r>
              <w:rPr>
                <w:sz w:val="16"/>
                <w:szCs w:val="16"/>
              </w:rPr>
              <w:t>(761,796)</w:t>
            </w:r>
          </w:p>
        </w:tc>
        <w:tc>
          <w:tcPr>
            <w:tcW w:w="6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w:t>
            </w:r>
          </w:p>
        </w:tc>
        <w:tc>
          <w:tcPr>
            <w:tcW w:w="2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48"/>
              <w:jc w:val="right"/>
              <w:rPr>
                <w:sz w:val="16"/>
                <w:szCs w:val="16"/>
              </w:rPr>
            </w:pPr>
            <w:r>
              <w:rPr>
                <w:sz w:val="16"/>
                <w:szCs w:val="16"/>
              </w:rPr>
              <w:t>711,841</w:t>
            </w:r>
          </w:p>
        </w:tc>
      </w:tr>
      <w:tr w:rsidR="00000000">
        <w:trPr>
          <w:divId w:val="928273288"/>
        </w:trPr>
        <w:tc>
          <w:tcPr>
            <w:tcW w:w="1288" w:type="pct"/>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17"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18"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7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18"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08"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69"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68"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44"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411"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19"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82"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r>
      <w:tr w:rsidR="00FF2C06">
        <w:trPr>
          <w:divId w:val="928273288"/>
        </w:trPr>
        <w:tc>
          <w:tcPr>
            <w:tcW w:w="1288" w:type="pct"/>
            <w:shd w:val="clear" w:color="auto" w:fill="CCEEFF"/>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b/>
                <w:bCs/>
                <w:sz w:val="16"/>
                <w:szCs w:val="16"/>
              </w:rPr>
              <w:t>Balance - December 31, 2018</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 </w:t>
            </w:r>
          </w:p>
        </w:tc>
        <w:tc>
          <w:tcPr>
            <w:tcW w:w="217"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48"/>
              <w:jc w:val="right"/>
              <w:rPr>
                <w:sz w:val="16"/>
                <w:szCs w:val="16"/>
              </w:rPr>
            </w:pPr>
            <w:r>
              <w:rPr>
                <w:sz w:val="16"/>
                <w:szCs w:val="16"/>
              </w:rPr>
              <w:t>194</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w:t>
            </w:r>
          </w:p>
        </w:tc>
        <w:tc>
          <w:tcPr>
            <w:tcW w:w="21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48"/>
              <w:jc w:val="right"/>
              <w:rPr>
                <w:sz w:val="16"/>
                <w:szCs w:val="16"/>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 </w:t>
            </w:r>
          </w:p>
        </w:tc>
        <w:tc>
          <w:tcPr>
            <w:tcW w:w="27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48"/>
              <w:jc w:val="right"/>
              <w:rPr>
                <w:sz w:val="16"/>
                <w:szCs w:val="16"/>
              </w:rPr>
            </w:pPr>
            <w:r>
              <w:rPr>
                <w:sz w:val="16"/>
                <w:szCs w:val="16"/>
              </w:rPr>
              <w:t>5,854,845</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w:t>
            </w:r>
          </w:p>
        </w:tc>
        <w:tc>
          <w:tcPr>
            <w:tcW w:w="21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48"/>
              <w:jc w:val="right"/>
              <w:rPr>
                <w:sz w:val="16"/>
                <w:szCs w:val="16"/>
              </w:rPr>
            </w:pPr>
            <w:r>
              <w:rPr>
                <w:sz w:val="16"/>
                <w:szCs w:val="16"/>
              </w:rPr>
              <w:t>6</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 </w:t>
            </w:r>
          </w:p>
        </w:tc>
        <w:tc>
          <w:tcPr>
            <w:tcW w:w="30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48"/>
              <w:jc w:val="right"/>
              <w:rPr>
                <w:sz w:val="16"/>
                <w:szCs w:val="16"/>
              </w:rPr>
            </w:pPr>
            <w:r>
              <w:rPr>
                <w:sz w:val="16"/>
                <w:szCs w:val="16"/>
              </w:rPr>
              <w:t>123,415,576</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w:t>
            </w:r>
          </w:p>
        </w:tc>
        <w:tc>
          <w:tcPr>
            <w:tcW w:w="26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48"/>
              <w:jc w:val="right"/>
              <w:rPr>
                <w:sz w:val="16"/>
                <w:szCs w:val="16"/>
              </w:rPr>
            </w:pPr>
            <w:r>
              <w:rPr>
                <w:sz w:val="16"/>
                <w:szCs w:val="16"/>
              </w:rPr>
              <w:t>5</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w:t>
            </w:r>
          </w:p>
        </w:tc>
        <w:tc>
          <w:tcPr>
            <w:tcW w:w="26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48"/>
              <w:jc w:val="right"/>
              <w:rPr>
                <w:sz w:val="16"/>
                <w:szCs w:val="16"/>
              </w:rPr>
            </w:pPr>
            <w:r>
              <w:rPr>
                <w:sz w:val="16"/>
                <w:szCs w:val="16"/>
              </w:rPr>
              <w:t>838,984</w:t>
            </w:r>
          </w:p>
        </w:tc>
        <w:tc>
          <w:tcPr>
            <w:tcW w:w="6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w:t>
            </w:r>
          </w:p>
        </w:tc>
        <w:tc>
          <w:tcPr>
            <w:tcW w:w="41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16"/>
                <w:szCs w:val="16"/>
              </w:rPr>
            </w:pPr>
            <w:r>
              <w:rPr>
                <w:sz w:val="16"/>
                <w:szCs w:val="16"/>
              </w:rPr>
              <w:t>(42)</w:t>
            </w:r>
          </w:p>
        </w:tc>
        <w:tc>
          <w:tcPr>
            <w:tcW w:w="6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16"/>
                <w:szCs w:val="16"/>
              </w:rPr>
            </w:pPr>
            <w:r>
              <w:rPr>
                <w:sz w:val="16"/>
                <w:szCs w:val="16"/>
              </w:rPr>
              <w:t>(372,760)</w:t>
            </w:r>
          </w:p>
        </w:tc>
        <w:tc>
          <w:tcPr>
            <w:tcW w:w="6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w:t>
            </w:r>
          </w:p>
        </w:tc>
        <w:tc>
          <w:tcPr>
            <w:tcW w:w="28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48"/>
              <w:jc w:val="right"/>
              <w:rPr>
                <w:sz w:val="16"/>
                <w:szCs w:val="16"/>
              </w:rPr>
            </w:pPr>
            <w:r>
              <w:rPr>
                <w:sz w:val="16"/>
                <w:szCs w:val="16"/>
              </w:rPr>
              <w:t>466,193</w:t>
            </w:r>
          </w:p>
        </w:tc>
      </w:tr>
      <w:tr w:rsidR="00000000">
        <w:trPr>
          <w:divId w:val="928273288"/>
        </w:trPr>
        <w:tc>
          <w:tcPr>
            <w:tcW w:w="1288" w:type="pct"/>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Adoption of ASU 2018-07</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17" w:type="pct"/>
            <w:noWrap/>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18" w:type="pct"/>
            <w:noWrap/>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73" w:type="pct"/>
            <w:noWrap/>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18" w:type="pct"/>
            <w:noWrap/>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08" w:type="pct"/>
            <w:noWrap/>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69" w:type="pct"/>
            <w:noWrap/>
            <w:tcMar>
              <w:top w:w="0" w:type="dxa"/>
              <w:left w:w="0" w:type="dxa"/>
              <w:bottom w:w="0" w:type="dxa"/>
              <w:right w:w="0" w:type="dxa"/>
            </w:tcMar>
            <w:vAlign w:val="bottom"/>
            <w:hideMark/>
          </w:tcPr>
          <w:p w:rsidR="00000000" w:rsidRDefault="00FF2C06">
            <w:pPr>
              <w:pStyle w:val="a3"/>
              <w:spacing w:before="0" w:beforeAutospacing="0" w:after="0" w:afterAutospacing="0"/>
              <w:ind w:right="48"/>
              <w:jc w:val="right"/>
              <w:rPr>
                <w:sz w:val="16"/>
                <w:szCs w:val="16"/>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68" w:type="pct"/>
            <w:noWrap/>
            <w:tcMar>
              <w:top w:w="0" w:type="dxa"/>
              <w:left w:w="0" w:type="dxa"/>
              <w:bottom w:w="0" w:type="dxa"/>
              <w:right w:w="0" w:type="dxa"/>
            </w:tcMar>
            <w:vAlign w:val="bottom"/>
            <w:hideMark/>
          </w:tcPr>
          <w:p w:rsidR="00000000" w:rsidRDefault="00FF2C06">
            <w:pPr>
              <w:pStyle w:val="a3"/>
              <w:spacing w:before="0" w:beforeAutospacing="0" w:after="0" w:afterAutospacing="0"/>
              <w:ind w:right="48"/>
              <w:jc w:val="right"/>
              <w:rPr>
                <w:sz w:val="16"/>
                <w:szCs w:val="16"/>
              </w:rPr>
            </w:pPr>
            <w:r>
              <w:rPr>
                <w:sz w:val="16"/>
                <w:szCs w:val="16"/>
              </w:rPr>
              <w:t>296</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44"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411" w:type="pct"/>
            <w:noWrap/>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19" w:type="pct"/>
            <w:noWrap/>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16"/>
                <w:szCs w:val="16"/>
              </w:rPr>
            </w:pPr>
            <w:r>
              <w:rPr>
                <w:sz w:val="16"/>
                <w:szCs w:val="16"/>
              </w:rPr>
              <w:t>(296)</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82" w:type="pct"/>
            <w:noWrap/>
            <w:tcMar>
              <w:top w:w="0" w:type="dxa"/>
              <w:left w:w="0" w:type="dxa"/>
              <w:bottom w:w="0" w:type="dxa"/>
              <w:right w:w="0" w:type="dxa"/>
            </w:tcMar>
            <w:vAlign w:val="bottom"/>
            <w:hideMark/>
          </w:tcPr>
          <w:p w:rsidR="00000000" w:rsidRDefault="00FF2C06">
            <w:pPr>
              <w:pStyle w:val="a3"/>
              <w:spacing w:before="0" w:beforeAutospacing="0" w:after="0" w:afterAutospacing="0"/>
              <w:ind w:right="48"/>
              <w:jc w:val="right"/>
              <w:rPr>
                <w:sz w:val="16"/>
                <w:szCs w:val="16"/>
              </w:rPr>
            </w:pPr>
            <w:r>
              <w:rPr>
                <w:sz w:val="16"/>
                <w:szCs w:val="16"/>
              </w:rPr>
              <w:t>—</w:t>
            </w:r>
          </w:p>
        </w:tc>
      </w:tr>
      <w:tr w:rsidR="00FF2C06">
        <w:trPr>
          <w:divId w:val="928273288"/>
        </w:trPr>
        <w:tc>
          <w:tcPr>
            <w:tcW w:w="1288" w:type="pct"/>
            <w:shd w:val="clear" w:color="auto" w:fill="CCEEFF"/>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Stock-based compensation expense</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17"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1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7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1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0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6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 </w:t>
            </w:r>
          </w:p>
        </w:tc>
        <w:tc>
          <w:tcPr>
            <w:tcW w:w="26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48"/>
              <w:jc w:val="right"/>
              <w:rPr>
                <w:sz w:val="16"/>
                <w:szCs w:val="16"/>
              </w:rPr>
            </w:pPr>
            <w:r>
              <w:rPr>
                <w:sz w:val="16"/>
                <w:szCs w:val="16"/>
              </w:rPr>
              <w:t>18,870</w:t>
            </w:r>
          </w:p>
        </w:tc>
        <w:tc>
          <w:tcPr>
            <w:tcW w:w="6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41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 </w:t>
            </w:r>
          </w:p>
        </w:tc>
        <w:tc>
          <w:tcPr>
            <w:tcW w:w="28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48"/>
              <w:jc w:val="right"/>
              <w:rPr>
                <w:sz w:val="16"/>
                <w:szCs w:val="16"/>
              </w:rPr>
            </w:pPr>
            <w:r>
              <w:rPr>
                <w:sz w:val="16"/>
                <w:szCs w:val="16"/>
              </w:rPr>
              <w:t>18,870</w:t>
            </w:r>
          </w:p>
        </w:tc>
      </w:tr>
      <w:tr w:rsidR="00000000">
        <w:trPr>
          <w:divId w:val="928273288"/>
        </w:trPr>
        <w:tc>
          <w:tcPr>
            <w:tcW w:w="1288" w:type="pct"/>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Vesting of restricted shares issued for services</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17" w:type="pct"/>
            <w:noWrap/>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18"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7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18"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 </w:t>
            </w:r>
          </w:p>
        </w:tc>
        <w:tc>
          <w:tcPr>
            <w:tcW w:w="308" w:type="pct"/>
            <w:noWrap/>
            <w:tcMar>
              <w:top w:w="0" w:type="dxa"/>
              <w:left w:w="0" w:type="dxa"/>
              <w:bottom w:w="0" w:type="dxa"/>
              <w:right w:w="0" w:type="dxa"/>
            </w:tcMar>
            <w:vAlign w:val="bottom"/>
            <w:hideMark/>
          </w:tcPr>
          <w:p w:rsidR="00000000" w:rsidRDefault="00FF2C06">
            <w:pPr>
              <w:pStyle w:val="a3"/>
              <w:spacing w:before="0" w:beforeAutospacing="0" w:after="0" w:afterAutospacing="0"/>
              <w:ind w:right="48"/>
              <w:jc w:val="right"/>
              <w:rPr>
                <w:sz w:val="16"/>
                <w:szCs w:val="16"/>
              </w:rPr>
            </w:pPr>
            <w:r>
              <w:rPr>
                <w:sz w:val="16"/>
                <w:szCs w:val="16"/>
              </w:rPr>
              <w:t>21,738</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69" w:type="pct"/>
            <w:noWrap/>
            <w:tcMar>
              <w:top w:w="0" w:type="dxa"/>
              <w:left w:w="0" w:type="dxa"/>
              <w:bottom w:w="0" w:type="dxa"/>
              <w:right w:w="0" w:type="dxa"/>
            </w:tcMar>
            <w:vAlign w:val="bottom"/>
            <w:hideMark/>
          </w:tcPr>
          <w:p w:rsidR="00000000" w:rsidRDefault="00FF2C06">
            <w:pPr>
              <w:pStyle w:val="a3"/>
              <w:spacing w:before="0" w:beforeAutospacing="0" w:after="0" w:afterAutospacing="0"/>
              <w:ind w:right="48"/>
              <w:jc w:val="right"/>
              <w:rPr>
                <w:sz w:val="16"/>
                <w:szCs w:val="16"/>
              </w:rPr>
            </w:pPr>
            <w:r>
              <w:rPr>
                <w:sz w:val="16"/>
                <w:szCs w:val="16"/>
              </w:rPr>
              <w:t>1</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68" w:type="pct"/>
            <w:noWrap/>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16"/>
                <w:szCs w:val="16"/>
              </w:rPr>
            </w:pPr>
            <w:r>
              <w:rPr>
                <w:sz w:val="16"/>
                <w:szCs w:val="16"/>
              </w:rPr>
              <w:t>(1)</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44"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411"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19"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 </w:t>
            </w:r>
          </w:p>
        </w:tc>
        <w:tc>
          <w:tcPr>
            <w:tcW w:w="282" w:type="pct"/>
            <w:noWrap/>
            <w:tcMar>
              <w:top w:w="0" w:type="dxa"/>
              <w:left w:w="0" w:type="dxa"/>
              <w:bottom w:w="0" w:type="dxa"/>
              <w:right w:w="0" w:type="dxa"/>
            </w:tcMar>
            <w:vAlign w:val="bottom"/>
            <w:hideMark/>
          </w:tcPr>
          <w:p w:rsidR="00000000" w:rsidRDefault="00FF2C06">
            <w:pPr>
              <w:pStyle w:val="a3"/>
              <w:spacing w:before="0" w:beforeAutospacing="0" w:after="0" w:afterAutospacing="0"/>
              <w:ind w:right="48"/>
              <w:jc w:val="right"/>
              <w:rPr>
                <w:sz w:val="16"/>
                <w:szCs w:val="16"/>
              </w:rPr>
            </w:pPr>
            <w:r>
              <w:rPr>
                <w:sz w:val="16"/>
                <w:szCs w:val="16"/>
              </w:rPr>
              <w:t>—</w:t>
            </w:r>
          </w:p>
        </w:tc>
      </w:tr>
      <w:tr w:rsidR="00FF2C06">
        <w:trPr>
          <w:divId w:val="928273288"/>
        </w:trPr>
        <w:tc>
          <w:tcPr>
            <w:tcW w:w="1288" w:type="pct"/>
            <w:shd w:val="clear" w:color="auto" w:fill="CCEEFF"/>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Tax payments related to shares withheld for vested restricted stock units</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17"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1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7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1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 </w:t>
            </w:r>
          </w:p>
        </w:tc>
        <w:tc>
          <w:tcPr>
            <w:tcW w:w="30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6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6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16"/>
                <w:szCs w:val="16"/>
              </w:rPr>
            </w:pPr>
            <w:r>
              <w:rPr>
                <w:sz w:val="16"/>
                <w:szCs w:val="16"/>
              </w:rPr>
              <w:t>(193)</w:t>
            </w:r>
          </w:p>
        </w:tc>
        <w:tc>
          <w:tcPr>
            <w:tcW w:w="6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41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 </w:t>
            </w:r>
          </w:p>
        </w:tc>
        <w:tc>
          <w:tcPr>
            <w:tcW w:w="28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16"/>
                <w:szCs w:val="16"/>
              </w:rPr>
            </w:pPr>
            <w:r>
              <w:rPr>
                <w:sz w:val="16"/>
                <w:szCs w:val="16"/>
              </w:rPr>
              <w:t>(193)</w:t>
            </w:r>
          </w:p>
        </w:tc>
      </w:tr>
      <w:tr w:rsidR="00000000">
        <w:trPr>
          <w:divId w:val="928273288"/>
        </w:trPr>
        <w:tc>
          <w:tcPr>
            <w:tcW w:w="1288" w:type="pct"/>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Common stock issued upon exercise of stock options</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17" w:type="pct"/>
            <w:noWrap/>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18"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7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18"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08" w:type="pct"/>
            <w:noWrap/>
            <w:tcMar>
              <w:top w:w="0" w:type="dxa"/>
              <w:left w:w="0" w:type="dxa"/>
              <w:bottom w:w="0" w:type="dxa"/>
              <w:right w:w="0" w:type="dxa"/>
            </w:tcMar>
            <w:vAlign w:val="bottom"/>
            <w:hideMark/>
          </w:tcPr>
          <w:p w:rsidR="00000000" w:rsidRDefault="00FF2C06">
            <w:pPr>
              <w:pStyle w:val="a3"/>
              <w:spacing w:before="0" w:beforeAutospacing="0" w:after="0" w:afterAutospacing="0"/>
              <w:ind w:right="48"/>
              <w:jc w:val="right"/>
              <w:rPr>
                <w:sz w:val="16"/>
                <w:szCs w:val="16"/>
              </w:rPr>
            </w:pPr>
            <w:r>
              <w:rPr>
                <w:sz w:val="16"/>
                <w:szCs w:val="16"/>
              </w:rPr>
              <w:t>514,450</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 </w:t>
            </w:r>
          </w:p>
        </w:tc>
        <w:tc>
          <w:tcPr>
            <w:tcW w:w="269" w:type="pct"/>
            <w:noWrap/>
            <w:tcMar>
              <w:top w:w="0" w:type="dxa"/>
              <w:left w:w="0" w:type="dxa"/>
              <w:bottom w:w="0" w:type="dxa"/>
              <w:right w:w="0" w:type="dxa"/>
            </w:tcMar>
            <w:vAlign w:val="bottom"/>
            <w:hideMark/>
          </w:tcPr>
          <w:p w:rsidR="00000000" w:rsidRDefault="00FF2C06">
            <w:pPr>
              <w:pStyle w:val="a3"/>
              <w:spacing w:before="0" w:beforeAutospacing="0" w:after="0" w:afterAutospacing="0"/>
              <w:ind w:right="48"/>
              <w:jc w:val="right"/>
              <w:rPr>
                <w:sz w:val="16"/>
                <w:szCs w:val="16"/>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 </w:t>
            </w:r>
          </w:p>
        </w:tc>
        <w:tc>
          <w:tcPr>
            <w:tcW w:w="268" w:type="pct"/>
            <w:noWrap/>
            <w:tcMar>
              <w:top w:w="0" w:type="dxa"/>
              <w:left w:w="0" w:type="dxa"/>
              <w:bottom w:w="0" w:type="dxa"/>
              <w:right w:w="0" w:type="dxa"/>
            </w:tcMar>
            <w:vAlign w:val="bottom"/>
            <w:hideMark/>
          </w:tcPr>
          <w:p w:rsidR="00000000" w:rsidRDefault="00FF2C06">
            <w:pPr>
              <w:pStyle w:val="a3"/>
              <w:spacing w:before="0" w:beforeAutospacing="0" w:after="0" w:afterAutospacing="0"/>
              <w:ind w:right="48"/>
              <w:jc w:val="right"/>
              <w:rPr>
                <w:sz w:val="16"/>
                <w:szCs w:val="16"/>
              </w:rPr>
            </w:pPr>
            <w:r>
              <w:rPr>
                <w:sz w:val="16"/>
                <w:szCs w:val="16"/>
              </w:rPr>
              <w:t>4,236</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44"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411"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19"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 </w:t>
            </w:r>
          </w:p>
        </w:tc>
        <w:tc>
          <w:tcPr>
            <w:tcW w:w="282" w:type="pct"/>
            <w:noWrap/>
            <w:tcMar>
              <w:top w:w="0" w:type="dxa"/>
              <w:left w:w="0" w:type="dxa"/>
              <w:bottom w:w="0" w:type="dxa"/>
              <w:right w:w="0" w:type="dxa"/>
            </w:tcMar>
            <w:vAlign w:val="bottom"/>
            <w:hideMark/>
          </w:tcPr>
          <w:p w:rsidR="00000000" w:rsidRDefault="00FF2C06">
            <w:pPr>
              <w:pStyle w:val="a3"/>
              <w:spacing w:before="0" w:beforeAutospacing="0" w:after="0" w:afterAutospacing="0"/>
              <w:ind w:right="48"/>
              <w:jc w:val="right"/>
              <w:rPr>
                <w:sz w:val="16"/>
                <w:szCs w:val="16"/>
              </w:rPr>
            </w:pPr>
            <w:r>
              <w:rPr>
                <w:sz w:val="16"/>
                <w:szCs w:val="16"/>
              </w:rPr>
              <w:t>4,236</w:t>
            </w:r>
          </w:p>
        </w:tc>
      </w:tr>
      <w:tr w:rsidR="00FF2C06">
        <w:trPr>
          <w:divId w:val="928273288"/>
        </w:trPr>
        <w:tc>
          <w:tcPr>
            <w:tcW w:w="1288" w:type="pct"/>
            <w:shd w:val="clear" w:color="auto" w:fill="CCEEFF"/>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Common stock issued from preferred stock conversion</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17"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1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7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16"/>
                <w:szCs w:val="16"/>
              </w:rPr>
            </w:pPr>
            <w:r>
              <w:rPr>
                <w:sz w:val="16"/>
                <w:szCs w:val="16"/>
              </w:rPr>
              <w:t>(2,273,726)</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1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16"/>
                <w:szCs w:val="16"/>
              </w:rPr>
            </w:pPr>
            <w:r>
              <w:rPr>
                <w:sz w:val="16"/>
                <w:szCs w:val="16"/>
              </w:rPr>
              <w:t>(2)</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0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48"/>
              <w:jc w:val="right"/>
              <w:rPr>
                <w:sz w:val="16"/>
                <w:szCs w:val="16"/>
              </w:rPr>
            </w:pPr>
            <w:r>
              <w:rPr>
                <w:sz w:val="16"/>
                <w:szCs w:val="16"/>
              </w:rPr>
              <w:t>2,273,726</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6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48"/>
              <w:jc w:val="right"/>
              <w:rPr>
                <w:sz w:val="16"/>
                <w:szCs w:val="16"/>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6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48"/>
              <w:jc w:val="right"/>
              <w:rPr>
                <w:sz w:val="16"/>
                <w:szCs w:val="16"/>
              </w:rPr>
            </w:pPr>
            <w:r>
              <w:rPr>
                <w:sz w:val="16"/>
                <w:szCs w:val="16"/>
              </w:rPr>
              <w:t>2</w:t>
            </w:r>
          </w:p>
        </w:tc>
        <w:tc>
          <w:tcPr>
            <w:tcW w:w="6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41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8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48"/>
              <w:jc w:val="right"/>
              <w:rPr>
                <w:sz w:val="16"/>
                <w:szCs w:val="16"/>
              </w:rPr>
            </w:pPr>
            <w:r>
              <w:rPr>
                <w:sz w:val="16"/>
                <w:szCs w:val="16"/>
              </w:rPr>
              <w:t>—</w:t>
            </w:r>
          </w:p>
        </w:tc>
      </w:tr>
      <w:tr w:rsidR="00000000">
        <w:trPr>
          <w:divId w:val="928273288"/>
        </w:trPr>
        <w:tc>
          <w:tcPr>
            <w:tcW w:w="1288" w:type="pct"/>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lastRenderedPageBreak/>
              <w:t>Unrealized gain on short-term investments</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17" w:type="pct"/>
            <w:noWrap/>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18"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7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18"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08"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69"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68"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44"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411" w:type="pct"/>
            <w:noWrap/>
            <w:tcMar>
              <w:top w:w="0" w:type="dxa"/>
              <w:left w:w="0" w:type="dxa"/>
              <w:bottom w:w="0" w:type="dxa"/>
              <w:right w:w="0" w:type="dxa"/>
            </w:tcMar>
            <w:vAlign w:val="bottom"/>
            <w:hideMark/>
          </w:tcPr>
          <w:p w:rsidR="00000000" w:rsidRDefault="00FF2C06">
            <w:pPr>
              <w:pStyle w:val="a3"/>
              <w:spacing w:before="0" w:beforeAutospacing="0" w:after="0" w:afterAutospacing="0"/>
              <w:ind w:right="48"/>
              <w:jc w:val="right"/>
              <w:rPr>
                <w:sz w:val="16"/>
                <w:szCs w:val="16"/>
              </w:rPr>
            </w:pPr>
            <w:r>
              <w:rPr>
                <w:sz w:val="16"/>
                <w:szCs w:val="16"/>
              </w:rPr>
              <w:t>281</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 </w:t>
            </w:r>
          </w:p>
        </w:tc>
        <w:tc>
          <w:tcPr>
            <w:tcW w:w="319" w:type="pct"/>
            <w:noWrap/>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 </w:t>
            </w:r>
          </w:p>
        </w:tc>
        <w:tc>
          <w:tcPr>
            <w:tcW w:w="282" w:type="pct"/>
            <w:noWrap/>
            <w:tcMar>
              <w:top w:w="0" w:type="dxa"/>
              <w:left w:w="0" w:type="dxa"/>
              <w:bottom w:w="0" w:type="dxa"/>
              <w:right w:w="0" w:type="dxa"/>
            </w:tcMar>
            <w:vAlign w:val="bottom"/>
            <w:hideMark/>
          </w:tcPr>
          <w:p w:rsidR="00000000" w:rsidRDefault="00FF2C06">
            <w:pPr>
              <w:pStyle w:val="a3"/>
              <w:spacing w:before="0" w:beforeAutospacing="0" w:after="0" w:afterAutospacing="0"/>
              <w:ind w:right="48"/>
              <w:jc w:val="right"/>
              <w:rPr>
                <w:sz w:val="16"/>
                <w:szCs w:val="16"/>
              </w:rPr>
            </w:pPr>
            <w:r>
              <w:rPr>
                <w:sz w:val="16"/>
                <w:szCs w:val="16"/>
              </w:rPr>
              <w:t>281</w:t>
            </w:r>
          </w:p>
        </w:tc>
      </w:tr>
      <w:tr w:rsidR="00FF2C06">
        <w:trPr>
          <w:divId w:val="928273288"/>
        </w:trPr>
        <w:tc>
          <w:tcPr>
            <w:tcW w:w="1288" w:type="pct"/>
            <w:shd w:val="clear" w:color="auto" w:fill="CCEEFF"/>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Cancellation of common stock from settlement of dispute</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17"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1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7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1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0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16"/>
                <w:szCs w:val="16"/>
              </w:rPr>
            </w:pPr>
            <w:r>
              <w:rPr>
                <w:sz w:val="16"/>
                <w:szCs w:val="16"/>
              </w:rPr>
              <w:t>(32,500)</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6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16"/>
                <w:szCs w:val="16"/>
              </w:rPr>
            </w:pPr>
            <w:r>
              <w:rPr>
                <w:sz w:val="16"/>
                <w:szCs w:val="16"/>
              </w:rPr>
              <w:t>(1)</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6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16"/>
                <w:szCs w:val="16"/>
              </w:rPr>
            </w:pPr>
            <w:r>
              <w:rPr>
                <w:sz w:val="16"/>
                <w:szCs w:val="16"/>
              </w:rPr>
              <w:t>(335)</w:t>
            </w:r>
          </w:p>
        </w:tc>
        <w:tc>
          <w:tcPr>
            <w:tcW w:w="6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41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8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16"/>
                <w:szCs w:val="16"/>
              </w:rPr>
            </w:pPr>
            <w:r>
              <w:rPr>
                <w:sz w:val="16"/>
                <w:szCs w:val="16"/>
              </w:rPr>
              <w:t>(336)</w:t>
            </w:r>
          </w:p>
        </w:tc>
      </w:tr>
      <w:tr w:rsidR="00000000">
        <w:trPr>
          <w:divId w:val="928273288"/>
        </w:trPr>
        <w:tc>
          <w:tcPr>
            <w:tcW w:w="1288" w:type="pct"/>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Net loss</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17"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18"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73"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18"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08"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69"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68"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44"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411"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9"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19"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16"/>
                <w:szCs w:val="16"/>
              </w:rPr>
            </w:pPr>
            <w:r>
              <w:rPr>
                <w:sz w:val="16"/>
                <w:szCs w:val="16"/>
              </w:rPr>
              <w:t>(133,988)</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45"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282"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16"/>
                <w:szCs w:val="16"/>
              </w:rPr>
            </w:pPr>
            <w:r>
              <w:rPr>
                <w:sz w:val="16"/>
                <w:szCs w:val="16"/>
              </w:rPr>
              <w:t>(133,988)</w:t>
            </w:r>
          </w:p>
        </w:tc>
      </w:tr>
      <w:tr w:rsidR="00FF2C06">
        <w:trPr>
          <w:divId w:val="928273288"/>
        </w:trPr>
        <w:tc>
          <w:tcPr>
            <w:tcW w:w="1288" w:type="pct"/>
            <w:shd w:val="clear" w:color="auto" w:fill="CCEEFF"/>
            <w:tcMar>
              <w:top w:w="0" w:type="dxa"/>
              <w:left w:w="0" w:type="dxa"/>
              <w:bottom w:w="0" w:type="dxa"/>
              <w:right w:w="0" w:type="dxa"/>
            </w:tcMar>
            <w:vAlign w:val="bottom"/>
            <w:hideMark/>
          </w:tcPr>
          <w:p w:rsidR="00000000" w:rsidRDefault="00FF2C06">
            <w:pPr>
              <w:pStyle w:val="a3"/>
              <w:spacing w:before="0" w:beforeAutospacing="0" w:after="0" w:afterAutospacing="0"/>
              <w:ind w:left="120"/>
              <w:rPr>
                <w:sz w:val="16"/>
                <w:szCs w:val="16"/>
              </w:rPr>
            </w:pPr>
            <w:r>
              <w:rPr>
                <w:b/>
                <w:bCs/>
                <w:sz w:val="16"/>
                <w:szCs w:val="16"/>
              </w:rPr>
              <w:t>Balance - September 30, 2019</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 </w:t>
            </w:r>
          </w:p>
        </w:tc>
        <w:tc>
          <w:tcPr>
            <w:tcW w:w="21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48"/>
              <w:jc w:val="right"/>
              <w:rPr>
                <w:sz w:val="16"/>
                <w:szCs w:val="16"/>
              </w:rPr>
            </w:pPr>
            <w:r>
              <w:rPr>
                <w:sz w:val="16"/>
                <w:szCs w:val="16"/>
              </w:rPr>
              <w:t>194</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w:t>
            </w:r>
          </w:p>
        </w:tc>
        <w:tc>
          <w:tcPr>
            <w:tcW w:w="21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48"/>
              <w:jc w:val="right"/>
              <w:rPr>
                <w:sz w:val="16"/>
                <w:szCs w:val="16"/>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 </w:t>
            </w:r>
          </w:p>
        </w:tc>
        <w:tc>
          <w:tcPr>
            <w:tcW w:w="2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48"/>
              <w:jc w:val="right"/>
              <w:rPr>
                <w:sz w:val="16"/>
                <w:szCs w:val="16"/>
              </w:rPr>
            </w:pPr>
            <w:r>
              <w:rPr>
                <w:sz w:val="16"/>
                <w:szCs w:val="16"/>
              </w:rPr>
              <w:t>3,581,119</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w:t>
            </w:r>
          </w:p>
        </w:tc>
        <w:tc>
          <w:tcPr>
            <w:tcW w:w="21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48"/>
              <w:jc w:val="right"/>
              <w:rPr>
                <w:sz w:val="16"/>
                <w:szCs w:val="16"/>
              </w:rPr>
            </w:pPr>
            <w:r>
              <w:rPr>
                <w:sz w:val="16"/>
                <w:szCs w:val="16"/>
              </w:rPr>
              <w:t>4</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 </w:t>
            </w:r>
          </w:p>
        </w:tc>
        <w:tc>
          <w:tcPr>
            <w:tcW w:w="30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48"/>
              <w:jc w:val="right"/>
              <w:rPr>
                <w:sz w:val="16"/>
                <w:szCs w:val="16"/>
              </w:rPr>
            </w:pPr>
            <w:r>
              <w:rPr>
                <w:sz w:val="16"/>
                <w:szCs w:val="16"/>
              </w:rPr>
              <w:t>126,192,990</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w:t>
            </w:r>
          </w:p>
        </w:tc>
        <w:tc>
          <w:tcPr>
            <w:tcW w:w="2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48"/>
              <w:jc w:val="right"/>
              <w:rPr>
                <w:sz w:val="16"/>
                <w:szCs w:val="16"/>
              </w:rPr>
            </w:pPr>
            <w:r>
              <w:rPr>
                <w:sz w:val="16"/>
                <w:szCs w:val="16"/>
              </w:rPr>
              <w:t>5</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w:t>
            </w:r>
          </w:p>
        </w:tc>
        <w:tc>
          <w:tcPr>
            <w:tcW w:w="2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48"/>
              <w:jc w:val="right"/>
              <w:rPr>
                <w:sz w:val="16"/>
                <w:szCs w:val="16"/>
              </w:rPr>
            </w:pPr>
            <w:r>
              <w:rPr>
                <w:sz w:val="16"/>
                <w:szCs w:val="16"/>
              </w:rPr>
              <w:t>861,859</w:t>
            </w:r>
          </w:p>
        </w:tc>
        <w:tc>
          <w:tcPr>
            <w:tcW w:w="6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4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w:t>
            </w:r>
          </w:p>
        </w:tc>
        <w:tc>
          <w:tcPr>
            <w:tcW w:w="41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48"/>
              <w:jc w:val="right"/>
              <w:rPr>
                <w:sz w:val="16"/>
                <w:szCs w:val="16"/>
              </w:rPr>
            </w:pPr>
            <w:r>
              <w:rPr>
                <w:sz w:val="16"/>
                <w:szCs w:val="16"/>
              </w:rPr>
              <w:t>239</w:t>
            </w:r>
          </w:p>
        </w:tc>
        <w:tc>
          <w:tcPr>
            <w:tcW w:w="6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w:t>
            </w:r>
          </w:p>
        </w:tc>
        <w:tc>
          <w:tcPr>
            <w:tcW w:w="31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16"/>
                <w:szCs w:val="16"/>
              </w:rPr>
            </w:pPr>
            <w:r>
              <w:rPr>
                <w:sz w:val="16"/>
                <w:szCs w:val="16"/>
              </w:rPr>
              <w:t>(507,044)</w:t>
            </w:r>
          </w:p>
        </w:tc>
        <w:tc>
          <w:tcPr>
            <w:tcW w:w="6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w:t>
            </w:r>
          </w:p>
        </w:tc>
        <w:tc>
          <w:tcPr>
            <w:tcW w:w="2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48"/>
              <w:jc w:val="right"/>
              <w:rPr>
                <w:sz w:val="16"/>
                <w:szCs w:val="16"/>
              </w:rPr>
            </w:pPr>
            <w:r>
              <w:rPr>
                <w:sz w:val="16"/>
                <w:szCs w:val="16"/>
              </w:rPr>
              <w:t>355,063</w:t>
            </w:r>
          </w:p>
        </w:tc>
      </w:tr>
    </w:tbl>
    <w:p w:rsidR="00000000" w:rsidRDefault="00FF2C06">
      <w:pPr>
        <w:pStyle w:val="a3"/>
        <w:spacing w:before="0" w:beforeAutospacing="0" w:after="0" w:afterAutospacing="0"/>
        <w:divId w:val="928273288"/>
        <w:rPr>
          <w:sz w:val="20"/>
          <w:szCs w:val="20"/>
        </w:rPr>
      </w:pPr>
      <w:r>
        <w:rPr>
          <w:sz w:val="20"/>
          <w:szCs w:val="20"/>
        </w:rPr>
        <w:t>​</w:t>
      </w:r>
    </w:p>
    <w:p w:rsidR="00000000" w:rsidRDefault="00FF2C06">
      <w:pPr>
        <w:pStyle w:val="a3"/>
        <w:spacing w:before="0" w:beforeAutospacing="0" w:after="0" w:afterAutospacing="0"/>
        <w:ind w:firstLine="547"/>
        <w:jc w:val="center"/>
        <w:divId w:val="928273288"/>
        <w:rPr>
          <w:sz w:val="20"/>
          <w:szCs w:val="20"/>
        </w:rPr>
      </w:pPr>
      <w:r>
        <w:rPr>
          <w:sz w:val="20"/>
          <w:szCs w:val="20"/>
        </w:rPr>
        <w:t>The accompanying notes are an integral part of these condensed consolidated financial statements.</w:t>
      </w:r>
    </w:p>
    <w:p w:rsidR="00000000" w:rsidRDefault="00FF2C06">
      <w:pPr>
        <w:pStyle w:val="a3"/>
        <w:spacing w:before="0" w:beforeAutospacing="0" w:after="0" w:afterAutospacing="0"/>
        <w:divId w:val="928273288"/>
        <w:rPr>
          <w:sz w:val="20"/>
          <w:szCs w:val="20"/>
        </w:rPr>
      </w:pPr>
      <w:r>
        <w:rPr>
          <w:sz w:val="20"/>
          <w:szCs w:val="20"/>
        </w:rPr>
        <w:t>​</w:t>
      </w:r>
    </w:p>
    <w:p w:rsidR="00000000" w:rsidRDefault="00FF2C06">
      <w:pPr>
        <w:pStyle w:val="a3"/>
        <w:spacing w:before="480" w:beforeAutospacing="0" w:after="0" w:afterAutospacing="0"/>
        <w:jc w:val="center"/>
        <w:divId w:val="560948866"/>
        <w:rPr>
          <w:sz w:val="20"/>
          <w:szCs w:val="20"/>
        </w:rPr>
      </w:pPr>
      <w:r>
        <w:rPr>
          <w:sz w:val="20"/>
          <w:szCs w:val="20"/>
        </w:rPr>
        <w:t>5</w:t>
      </w:r>
    </w:p>
    <w:p w:rsidR="00000000" w:rsidRDefault="00FF2C06">
      <w:pPr>
        <w:pStyle w:val="a3"/>
        <w:spacing w:before="0" w:beforeAutospacing="0" w:after="600" w:afterAutospacing="0"/>
        <w:divId w:val="736971813"/>
        <w:rPr>
          <w:sz w:val="20"/>
          <w:szCs w:val="20"/>
        </w:rPr>
      </w:pPr>
      <w:hyperlink w:anchor="TOC" w:history="1">
        <w:r>
          <w:rPr>
            <w:rStyle w:val="a4"/>
            <w:sz w:val="20"/>
            <w:szCs w:val="20"/>
          </w:rPr>
          <w:t>Table of Contents</w:t>
        </w:r>
      </w:hyperlink>
    </w:p>
    <w:p w:rsidR="00000000" w:rsidRDefault="00FF2C06">
      <w:pPr>
        <w:pStyle w:val="a3"/>
        <w:spacing w:before="0" w:beforeAutospacing="0" w:after="0" w:afterAutospacing="0"/>
        <w:jc w:val="center"/>
        <w:divId w:val="276523775"/>
        <w:rPr>
          <w:b/>
          <w:bCs/>
          <w:sz w:val="20"/>
          <w:szCs w:val="20"/>
        </w:rPr>
      </w:pPr>
      <w:r>
        <w:rPr>
          <w:b/>
          <w:bCs/>
          <w:sz w:val="20"/>
          <w:szCs w:val="20"/>
        </w:rPr>
        <w:t>IOVANCE BIOTHERAPEUTICS, INC.</w:t>
      </w:r>
    </w:p>
    <w:p w:rsidR="00000000" w:rsidRDefault="00FF2C06">
      <w:pPr>
        <w:pStyle w:val="a3"/>
        <w:spacing w:before="0" w:beforeAutospacing="0" w:after="0" w:afterAutospacing="0"/>
        <w:jc w:val="center"/>
        <w:divId w:val="276523775"/>
        <w:rPr>
          <w:sz w:val="20"/>
          <w:szCs w:val="20"/>
        </w:rPr>
      </w:pPr>
      <w:r>
        <w:rPr>
          <w:b/>
          <w:bCs/>
          <w:sz w:val="20"/>
          <w:szCs w:val="20"/>
        </w:rPr>
        <w:t>Condensed Consolidated Statements of Stockholders’ Equity</w:t>
      </w:r>
    </w:p>
    <w:p w:rsidR="00000000" w:rsidRDefault="00FF2C06">
      <w:pPr>
        <w:pStyle w:val="a3"/>
        <w:spacing w:before="0" w:beforeAutospacing="0" w:after="0" w:afterAutospacing="0"/>
        <w:jc w:val="center"/>
        <w:divId w:val="276523775"/>
        <w:rPr>
          <w:sz w:val="20"/>
          <w:szCs w:val="20"/>
        </w:rPr>
      </w:pPr>
      <w:r>
        <w:rPr>
          <w:b/>
          <w:bCs/>
          <w:sz w:val="20"/>
          <w:szCs w:val="20"/>
        </w:rPr>
        <w:t>For the Three Months Ended September 30, 2020 and 2019</w:t>
      </w:r>
    </w:p>
    <w:p w:rsidR="00000000" w:rsidRDefault="00FF2C06">
      <w:pPr>
        <w:pStyle w:val="a3"/>
        <w:spacing w:before="0" w:beforeAutospacing="0" w:after="0" w:afterAutospacing="0"/>
        <w:jc w:val="center"/>
        <w:divId w:val="276523775"/>
        <w:rPr>
          <w:sz w:val="20"/>
          <w:szCs w:val="20"/>
        </w:rPr>
      </w:pPr>
      <w:r>
        <w:rPr>
          <w:b/>
          <w:bCs/>
          <w:sz w:val="20"/>
          <w:szCs w:val="20"/>
        </w:rPr>
        <w:t>(unaudited; in thousands, except share information)</w:t>
      </w:r>
    </w:p>
    <w:p w:rsidR="00000000" w:rsidRDefault="00FF2C06">
      <w:pPr>
        <w:pStyle w:val="a3"/>
        <w:spacing w:before="0" w:beforeAutospacing="0" w:after="0" w:afterAutospacing="0"/>
        <w:jc w:val="center"/>
        <w:divId w:val="276523775"/>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458"/>
        <w:gridCol w:w="160"/>
        <w:gridCol w:w="464"/>
        <w:gridCol w:w="161"/>
        <w:gridCol w:w="83"/>
        <w:gridCol w:w="478"/>
        <w:gridCol w:w="160"/>
        <w:gridCol w:w="747"/>
        <w:gridCol w:w="160"/>
        <w:gridCol w:w="83"/>
        <w:gridCol w:w="478"/>
        <w:gridCol w:w="160"/>
        <w:gridCol w:w="848"/>
        <w:gridCol w:w="160"/>
        <w:gridCol w:w="81"/>
        <w:gridCol w:w="492"/>
        <w:gridCol w:w="160"/>
        <w:gridCol w:w="80"/>
        <w:gridCol w:w="688"/>
        <w:gridCol w:w="160"/>
        <w:gridCol w:w="127"/>
        <w:gridCol w:w="1184"/>
        <w:gridCol w:w="160"/>
        <w:gridCol w:w="99"/>
        <w:gridCol w:w="808"/>
        <w:gridCol w:w="160"/>
        <w:gridCol w:w="130"/>
        <w:gridCol w:w="813"/>
      </w:tblGrid>
      <w:tr w:rsidR="00000000">
        <w:trPr>
          <w:divId w:val="276523775"/>
          <w:trHeight w:val="20"/>
        </w:trPr>
        <w:tc>
          <w:tcPr>
            <w:tcW w:w="1288" w:type="pct"/>
            <w:tcMar>
              <w:top w:w="0" w:type="dxa"/>
              <w:left w:w="0" w:type="dxa"/>
              <w:bottom w:w="0" w:type="dxa"/>
              <w:right w:w="0" w:type="dxa"/>
            </w:tcMar>
            <w:vAlign w:val="bottom"/>
            <w:hideMark/>
          </w:tcPr>
          <w:p w:rsidR="00000000" w:rsidRDefault="00FF2C06">
            <w:pPr>
              <w:pStyle w:val="a3"/>
              <w:spacing w:before="0" w:beforeAutospacing="0" w:after="1" w:afterAutospacing="0"/>
              <w:divId w:val="1210410540"/>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204637604"/>
              <w:rPr>
                <w:sz w:val="20"/>
                <w:szCs w:val="20"/>
              </w:rPr>
            </w:pPr>
            <w:r>
              <w:rPr>
                <w:sz w:val="2"/>
                <w:szCs w:val="2"/>
              </w:rPr>
              <w:t>​</w:t>
            </w:r>
          </w:p>
        </w:tc>
        <w:tc>
          <w:tcPr>
            <w:tcW w:w="217"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990204806"/>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2062316571"/>
              <w:rPr>
                <w:sz w:val="20"/>
                <w:szCs w:val="20"/>
              </w:rPr>
            </w:pPr>
            <w:r>
              <w:rPr>
                <w:sz w:val="2"/>
                <w:szCs w:val="2"/>
              </w:rPr>
              <w:t>​</w:t>
            </w:r>
          </w:p>
        </w:tc>
        <w:tc>
          <w:tcPr>
            <w:tcW w:w="38"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249436053"/>
              <w:rPr>
                <w:sz w:val="20"/>
                <w:szCs w:val="20"/>
              </w:rPr>
            </w:pPr>
            <w:r>
              <w:rPr>
                <w:sz w:val="2"/>
                <w:szCs w:val="2"/>
              </w:rPr>
              <w:t>​</w:t>
            </w:r>
          </w:p>
        </w:tc>
        <w:tc>
          <w:tcPr>
            <w:tcW w:w="218"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808791159"/>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807894849"/>
              <w:rPr>
                <w:sz w:val="20"/>
                <w:szCs w:val="20"/>
              </w:rPr>
            </w:pPr>
            <w:r>
              <w:rPr>
                <w:sz w:val="2"/>
                <w:szCs w:val="2"/>
              </w:rPr>
              <w:t>​</w:t>
            </w:r>
          </w:p>
        </w:tc>
        <w:tc>
          <w:tcPr>
            <w:tcW w:w="273"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551187038"/>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350956074"/>
              <w:rPr>
                <w:sz w:val="20"/>
                <w:szCs w:val="20"/>
              </w:rPr>
            </w:pPr>
            <w:r>
              <w:rPr>
                <w:sz w:val="2"/>
                <w:szCs w:val="2"/>
              </w:rPr>
              <w:t>​</w:t>
            </w:r>
          </w:p>
        </w:tc>
        <w:tc>
          <w:tcPr>
            <w:tcW w:w="38"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748186383"/>
              <w:rPr>
                <w:sz w:val="20"/>
                <w:szCs w:val="20"/>
              </w:rPr>
            </w:pPr>
            <w:r>
              <w:rPr>
                <w:sz w:val="2"/>
                <w:szCs w:val="2"/>
              </w:rPr>
              <w:t>​</w:t>
            </w:r>
          </w:p>
        </w:tc>
        <w:tc>
          <w:tcPr>
            <w:tcW w:w="218"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638416830"/>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274169758"/>
              <w:rPr>
                <w:sz w:val="20"/>
                <w:szCs w:val="20"/>
              </w:rPr>
            </w:pPr>
            <w:r>
              <w:rPr>
                <w:sz w:val="2"/>
                <w:szCs w:val="2"/>
              </w:rPr>
              <w:t>​</w:t>
            </w:r>
          </w:p>
        </w:tc>
        <w:tc>
          <w:tcPr>
            <w:tcW w:w="308"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288439115"/>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473059564"/>
              <w:rPr>
                <w:sz w:val="20"/>
                <w:szCs w:val="20"/>
              </w:rPr>
            </w:pPr>
            <w:r>
              <w:rPr>
                <w:sz w:val="2"/>
                <w:szCs w:val="2"/>
              </w:rPr>
              <w:t>​</w:t>
            </w:r>
          </w:p>
        </w:tc>
        <w:tc>
          <w:tcPr>
            <w:tcW w:w="38"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038702533"/>
              <w:rPr>
                <w:sz w:val="20"/>
                <w:szCs w:val="20"/>
              </w:rPr>
            </w:pPr>
            <w:r>
              <w:rPr>
                <w:sz w:val="2"/>
                <w:szCs w:val="2"/>
              </w:rPr>
              <w:t>​</w:t>
            </w:r>
          </w:p>
        </w:tc>
        <w:tc>
          <w:tcPr>
            <w:tcW w:w="269"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388264218"/>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278098842"/>
              <w:rPr>
                <w:sz w:val="20"/>
                <w:szCs w:val="20"/>
              </w:rPr>
            </w:pPr>
            <w:r>
              <w:rPr>
                <w:sz w:val="2"/>
                <w:szCs w:val="2"/>
              </w:rPr>
              <w:t>​</w:t>
            </w:r>
          </w:p>
        </w:tc>
        <w:tc>
          <w:tcPr>
            <w:tcW w:w="38"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83428100"/>
              <w:rPr>
                <w:sz w:val="20"/>
                <w:szCs w:val="20"/>
              </w:rPr>
            </w:pPr>
            <w:r>
              <w:rPr>
                <w:sz w:val="2"/>
                <w:szCs w:val="2"/>
              </w:rPr>
              <w:t>​</w:t>
            </w:r>
          </w:p>
        </w:tc>
        <w:tc>
          <w:tcPr>
            <w:tcW w:w="268"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771123705"/>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417288364"/>
              <w:rPr>
                <w:sz w:val="20"/>
                <w:szCs w:val="20"/>
              </w:rPr>
            </w:pPr>
            <w:r>
              <w:rPr>
                <w:sz w:val="2"/>
                <w:szCs w:val="2"/>
              </w:rPr>
              <w:t>​</w:t>
            </w:r>
          </w:p>
        </w:tc>
        <w:tc>
          <w:tcPr>
            <w:tcW w:w="44"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590625596"/>
              <w:rPr>
                <w:sz w:val="20"/>
                <w:szCs w:val="20"/>
              </w:rPr>
            </w:pPr>
            <w:r>
              <w:rPr>
                <w:sz w:val="2"/>
                <w:szCs w:val="2"/>
              </w:rPr>
              <w:t>​</w:t>
            </w:r>
          </w:p>
        </w:tc>
        <w:tc>
          <w:tcPr>
            <w:tcW w:w="411"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75174662"/>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724988048"/>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556308914"/>
              <w:rPr>
                <w:sz w:val="20"/>
                <w:szCs w:val="20"/>
              </w:rPr>
            </w:pPr>
            <w:r>
              <w:rPr>
                <w:sz w:val="2"/>
                <w:szCs w:val="2"/>
              </w:rPr>
              <w:t>​</w:t>
            </w:r>
          </w:p>
        </w:tc>
        <w:tc>
          <w:tcPr>
            <w:tcW w:w="319"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483160061"/>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14832099"/>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884364716"/>
              <w:rPr>
                <w:sz w:val="20"/>
                <w:szCs w:val="20"/>
              </w:rPr>
            </w:pPr>
            <w:r>
              <w:rPr>
                <w:sz w:val="2"/>
                <w:szCs w:val="2"/>
              </w:rPr>
              <w:t>​</w:t>
            </w:r>
          </w:p>
        </w:tc>
        <w:tc>
          <w:tcPr>
            <w:tcW w:w="282"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959606077"/>
              <w:rPr>
                <w:sz w:val="20"/>
                <w:szCs w:val="20"/>
              </w:rPr>
            </w:pPr>
            <w:r>
              <w:rPr>
                <w:sz w:val="2"/>
                <w:szCs w:val="2"/>
              </w:rPr>
              <w:t>​</w:t>
            </w:r>
          </w:p>
        </w:tc>
      </w:tr>
      <w:tr w:rsidR="00000000">
        <w:trPr>
          <w:divId w:val="276523775"/>
        </w:trPr>
        <w:tc>
          <w:tcPr>
            <w:tcW w:w="1288"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b/>
                <w:bCs/>
                <w:sz w:val="16"/>
                <w:szCs w:val="16"/>
              </w:rPr>
              <w:t>​</w:t>
            </w:r>
          </w:p>
        </w:tc>
        <w:tc>
          <w:tcPr>
            <w:tcW w:w="537" w:type="pct"/>
            <w:gridSpan w:val="4"/>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Series A </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b/>
                <w:bCs/>
                <w:sz w:val="16"/>
                <w:szCs w:val="16"/>
              </w:rPr>
              <w:t>​</w:t>
            </w:r>
          </w:p>
        </w:tc>
        <w:tc>
          <w:tcPr>
            <w:tcW w:w="594" w:type="pct"/>
            <w:gridSpan w:val="4"/>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Series B</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b/>
                <w:bCs/>
                <w:sz w:val="16"/>
                <w:szCs w:val="16"/>
              </w:rPr>
              <w:t>​</w:t>
            </w:r>
          </w:p>
        </w:tc>
        <w:tc>
          <w:tcPr>
            <w:tcW w:w="308"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b/>
                <w:bCs/>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b/>
                <w:bCs/>
                <w:sz w:val="16"/>
                <w:szCs w:val="16"/>
              </w:rPr>
              <w:t>​</w:t>
            </w:r>
          </w:p>
        </w:tc>
        <w:tc>
          <w:tcPr>
            <w:tcW w:w="38"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b/>
                <w:bCs/>
                <w:sz w:val="16"/>
                <w:szCs w:val="16"/>
              </w:rPr>
              <w:t>​</w:t>
            </w:r>
          </w:p>
        </w:tc>
        <w:tc>
          <w:tcPr>
            <w:tcW w:w="269"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b/>
                <w:bCs/>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b/>
                <w:bCs/>
                <w:sz w:val="16"/>
                <w:szCs w:val="16"/>
              </w:rPr>
              <w:t>​</w:t>
            </w:r>
          </w:p>
        </w:tc>
        <w:tc>
          <w:tcPr>
            <w:tcW w:w="38"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sz w:val="16"/>
                <w:szCs w:val="16"/>
              </w:rPr>
              <w:t>​</w:t>
            </w:r>
          </w:p>
        </w:tc>
        <w:tc>
          <w:tcPr>
            <w:tcW w:w="268"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b/>
                <w:bCs/>
                <w:sz w:val="16"/>
                <w:szCs w:val="16"/>
              </w:rPr>
              <w:t>​</w:t>
            </w:r>
          </w:p>
        </w:tc>
        <w:tc>
          <w:tcPr>
            <w:tcW w:w="44"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sz w:val="16"/>
                <w:szCs w:val="16"/>
              </w:rPr>
              <w:t>​</w:t>
            </w:r>
          </w:p>
        </w:tc>
        <w:tc>
          <w:tcPr>
            <w:tcW w:w="411"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b/>
                <w:bCs/>
                <w:sz w:val="16"/>
                <w:szCs w:val="16"/>
              </w:rPr>
              <w:t>​</w:t>
            </w:r>
          </w:p>
        </w:tc>
        <w:tc>
          <w:tcPr>
            <w:tcW w:w="39"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sz w:val="16"/>
                <w:szCs w:val="16"/>
              </w:rPr>
              <w:t>​</w:t>
            </w:r>
          </w:p>
        </w:tc>
        <w:tc>
          <w:tcPr>
            <w:tcW w:w="319"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b/>
                <w:bCs/>
                <w:sz w:val="16"/>
                <w:szCs w:val="16"/>
              </w:rPr>
              <w:t>​</w:t>
            </w:r>
          </w:p>
        </w:tc>
        <w:tc>
          <w:tcPr>
            <w:tcW w:w="45"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sz w:val="16"/>
                <w:szCs w:val="16"/>
              </w:rPr>
              <w:t>​</w:t>
            </w:r>
          </w:p>
        </w:tc>
        <w:tc>
          <w:tcPr>
            <w:tcW w:w="282"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sz w:val="16"/>
                <w:szCs w:val="16"/>
              </w:rPr>
              <w:t>​</w:t>
            </w:r>
          </w:p>
        </w:tc>
      </w:tr>
      <w:tr w:rsidR="00000000">
        <w:trPr>
          <w:divId w:val="276523775"/>
        </w:trPr>
        <w:tc>
          <w:tcPr>
            <w:tcW w:w="1288"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b/>
                <w:bCs/>
                <w:sz w:val="16"/>
                <w:szCs w:val="16"/>
              </w:rPr>
              <w:t>​</w:t>
            </w:r>
          </w:p>
        </w:tc>
        <w:tc>
          <w:tcPr>
            <w:tcW w:w="537" w:type="pct"/>
            <w:gridSpan w:val="4"/>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Convertible</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b/>
                <w:bCs/>
                <w:sz w:val="16"/>
                <w:szCs w:val="16"/>
              </w:rPr>
              <w:t>​</w:t>
            </w:r>
          </w:p>
        </w:tc>
        <w:tc>
          <w:tcPr>
            <w:tcW w:w="594" w:type="pct"/>
            <w:gridSpan w:val="4"/>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Convertible</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b/>
                <w:bCs/>
                <w:sz w:val="16"/>
                <w:szCs w:val="16"/>
              </w:rPr>
              <w:t>​</w:t>
            </w:r>
          </w:p>
        </w:tc>
        <w:tc>
          <w:tcPr>
            <w:tcW w:w="308"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b/>
                <w:bCs/>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b/>
                <w:bCs/>
                <w:sz w:val="16"/>
                <w:szCs w:val="16"/>
              </w:rPr>
              <w:t>​</w:t>
            </w:r>
          </w:p>
        </w:tc>
        <w:tc>
          <w:tcPr>
            <w:tcW w:w="38"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b/>
                <w:bCs/>
                <w:sz w:val="16"/>
                <w:szCs w:val="16"/>
              </w:rPr>
              <w:t>​</w:t>
            </w:r>
          </w:p>
        </w:tc>
        <w:tc>
          <w:tcPr>
            <w:tcW w:w="269"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b/>
                <w:bCs/>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b/>
                <w:bCs/>
                <w:sz w:val="16"/>
                <w:szCs w:val="16"/>
              </w:rPr>
              <w:t>​</w:t>
            </w:r>
          </w:p>
        </w:tc>
        <w:tc>
          <w:tcPr>
            <w:tcW w:w="306" w:type="pct"/>
            <w:gridSpan w:val="2"/>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Additional</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b/>
                <w:bCs/>
                <w:sz w:val="16"/>
                <w:szCs w:val="16"/>
              </w:rPr>
              <w:t>​</w:t>
            </w:r>
          </w:p>
        </w:tc>
        <w:tc>
          <w:tcPr>
            <w:tcW w:w="455" w:type="pct"/>
            <w:gridSpan w:val="2"/>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Accumulated other</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b/>
                <w:bCs/>
                <w:sz w:val="16"/>
                <w:szCs w:val="16"/>
              </w:rPr>
              <w:t>​</w:t>
            </w:r>
          </w:p>
        </w:tc>
        <w:tc>
          <w:tcPr>
            <w:tcW w:w="39"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sz w:val="16"/>
                <w:szCs w:val="16"/>
              </w:rPr>
              <w:t>​</w:t>
            </w:r>
          </w:p>
        </w:tc>
        <w:tc>
          <w:tcPr>
            <w:tcW w:w="319"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b/>
                <w:bCs/>
                <w:sz w:val="16"/>
                <w:szCs w:val="16"/>
              </w:rPr>
              <w:t>​</w:t>
            </w:r>
          </w:p>
        </w:tc>
        <w:tc>
          <w:tcPr>
            <w:tcW w:w="327" w:type="pct"/>
            <w:gridSpan w:val="2"/>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Total</w:t>
            </w:r>
          </w:p>
        </w:tc>
      </w:tr>
      <w:tr w:rsidR="00000000">
        <w:trPr>
          <w:divId w:val="276523775"/>
        </w:trPr>
        <w:tc>
          <w:tcPr>
            <w:tcW w:w="1288"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b/>
                <w:bCs/>
                <w:sz w:val="16"/>
                <w:szCs w:val="16"/>
              </w:rPr>
              <w:t>​</w:t>
            </w:r>
          </w:p>
        </w:tc>
        <w:tc>
          <w:tcPr>
            <w:tcW w:w="537" w:type="pct"/>
            <w:gridSpan w:val="4"/>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Preferred Sock</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b/>
                <w:bCs/>
                <w:sz w:val="16"/>
                <w:szCs w:val="16"/>
              </w:rPr>
              <w:t>​</w:t>
            </w:r>
          </w:p>
        </w:tc>
        <w:tc>
          <w:tcPr>
            <w:tcW w:w="594" w:type="pct"/>
            <w:gridSpan w:val="4"/>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Preferred Stock</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b/>
                <w:bCs/>
                <w:sz w:val="16"/>
                <w:szCs w:val="16"/>
              </w:rPr>
              <w:t>​</w:t>
            </w:r>
          </w:p>
        </w:tc>
        <w:tc>
          <w:tcPr>
            <w:tcW w:w="680" w:type="pct"/>
            <w:gridSpan w:val="4"/>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Common Stock</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b/>
                <w:bCs/>
                <w:sz w:val="16"/>
                <w:szCs w:val="16"/>
              </w:rPr>
              <w:t>​</w:t>
            </w:r>
          </w:p>
        </w:tc>
        <w:tc>
          <w:tcPr>
            <w:tcW w:w="306" w:type="pct"/>
            <w:gridSpan w:val="2"/>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Paid-In</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b/>
                <w:bCs/>
                <w:sz w:val="16"/>
                <w:szCs w:val="16"/>
              </w:rPr>
              <w:t>​</w:t>
            </w:r>
          </w:p>
        </w:tc>
        <w:tc>
          <w:tcPr>
            <w:tcW w:w="455" w:type="pct"/>
            <w:gridSpan w:val="2"/>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Comprehensive</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b/>
                <w:bCs/>
                <w:sz w:val="16"/>
                <w:szCs w:val="16"/>
              </w:rPr>
              <w:t>​</w:t>
            </w:r>
          </w:p>
        </w:tc>
        <w:tc>
          <w:tcPr>
            <w:tcW w:w="359" w:type="pct"/>
            <w:gridSpan w:val="2"/>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Accumulated</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b/>
                <w:bCs/>
                <w:sz w:val="16"/>
                <w:szCs w:val="16"/>
              </w:rPr>
              <w:t>​</w:t>
            </w:r>
          </w:p>
        </w:tc>
        <w:tc>
          <w:tcPr>
            <w:tcW w:w="327" w:type="pct"/>
            <w:gridSpan w:val="2"/>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Stockholders’</w:t>
            </w:r>
          </w:p>
        </w:tc>
      </w:tr>
      <w:tr w:rsidR="00000000">
        <w:trPr>
          <w:divId w:val="276523775"/>
        </w:trPr>
        <w:tc>
          <w:tcPr>
            <w:tcW w:w="1288" w:type="pct"/>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    </w:t>
            </w:r>
          </w:p>
        </w:tc>
        <w:tc>
          <w:tcPr>
            <w:tcW w:w="217"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Shares</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    </w:t>
            </w:r>
          </w:p>
        </w:tc>
        <w:tc>
          <w:tcPr>
            <w:tcW w:w="256"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Amount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    </w:t>
            </w:r>
          </w:p>
        </w:tc>
        <w:tc>
          <w:tcPr>
            <w:tcW w:w="273"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Shares</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    </w:t>
            </w:r>
          </w:p>
        </w:tc>
        <w:tc>
          <w:tcPr>
            <w:tcW w:w="256"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Amount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    </w:t>
            </w:r>
          </w:p>
        </w:tc>
        <w:tc>
          <w:tcPr>
            <w:tcW w:w="308"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Shares</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    </w:t>
            </w:r>
          </w:p>
        </w:tc>
        <w:tc>
          <w:tcPr>
            <w:tcW w:w="307"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Amount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    </w:t>
            </w:r>
          </w:p>
        </w:tc>
        <w:tc>
          <w:tcPr>
            <w:tcW w:w="306"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Capital</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    </w:t>
            </w:r>
          </w:p>
        </w:tc>
        <w:tc>
          <w:tcPr>
            <w:tcW w:w="455"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Income</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    </w:t>
            </w:r>
          </w:p>
        </w:tc>
        <w:tc>
          <w:tcPr>
            <w:tcW w:w="359"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Deficit</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    </w:t>
            </w:r>
          </w:p>
        </w:tc>
        <w:tc>
          <w:tcPr>
            <w:tcW w:w="327"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Equity</w:t>
            </w:r>
          </w:p>
        </w:tc>
      </w:tr>
      <w:tr w:rsidR="00FF2C06">
        <w:trPr>
          <w:divId w:val="276523775"/>
        </w:trPr>
        <w:tc>
          <w:tcPr>
            <w:tcW w:w="1288"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b/>
                <w:bCs/>
                <w:sz w:val="16"/>
                <w:szCs w:val="16"/>
              </w:rPr>
              <w:t>Balance - June 30, 2020</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 </w:t>
            </w:r>
          </w:p>
        </w:tc>
        <w:tc>
          <w:tcPr>
            <w:tcW w:w="217"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48"/>
              <w:jc w:val="right"/>
              <w:rPr>
                <w:sz w:val="16"/>
                <w:szCs w:val="16"/>
              </w:rPr>
            </w:pPr>
            <w:r>
              <w:rPr>
                <w:sz w:val="16"/>
                <w:szCs w:val="16"/>
              </w:rPr>
              <w:t>194</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w:t>
            </w:r>
          </w:p>
        </w:tc>
        <w:tc>
          <w:tcPr>
            <w:tcW w:w="21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48"/>
              <w:jc w:val="right"/>
              <w:rPr>
                <w:sz w:val="16"/>
                <w:szCs w:val="16"/>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 </w:t>
            </w:r>
          </w:p>
        </w:tc>
        <w:tc>
          <w:tcPr>
            <w:tcW w:w="27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48"/>
              <w:jc w:val="right"/>
              <w:rPr>
                <w:sz w:val="16"/>
                <w:szCs w:val="16"/>
              </w:rPr>
            </w:pPr>
            <w:r>
              <w:rPr>
                <w:sz w:val="16"/>
                <w:szCs w:val="16"/>
              </w:rPr>
              <w:t>3,581,119</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w:t>
            </w:r>
          </w:p>
        </w:tc>
        <w:tc>
          <w:tcPr>
            <w:tcW w:w="21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48"/>
              <w:jc w:val="right"/>
              <w:rPr>
                <w:sz w:val="16"/>
                <w:szCs w:val="16"/>
              </w:rPr>
            </w:pPr>
            <w:r>
              <w:rPr>
                <w:sz w:val="16"/>
                <w:szCs w:val="16"/>
              </w:rPr>
              <w:t>4</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 </w:t>
            </w:r>
          </w:p>
        </w:tc>
        <w:tc>
          <w:tcPr>
            <w:tcW w:w="30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48"/>
              <w:jc w:val="right"/>
              <w:rPr>
                <w:sz w:val="16"/>
                <w:szCs w:val="16"/>
              </w:rPr>
            </w:pPr>
            <w:r>
              <w:rPr>
                <w:sz w:val="16"/>
                <w:szCs w:val="16"/>
              </w:rPr>
              <w:t>146,434,810</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w:t>
            </w:r>
          </w:p>
        </w:tc>
        <w:tc>
          <w:tcPr>
            <w:tcW w:w="26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48"/>
              <w:jc w:val="right"/>
              <w:rPr>
                <w:sz w:val="16"/>
                <w:szCs w:val="16"/>
              </w:rPr>
            </w:pPr>
            <w:r>
              <w:rPr>
                <w:sz w:val="16"/>
                <w:szCs w:val="16"/>
              </w:rPr>
              <w:t>6</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w:t>
            </w:r>
          </w:p>
        </w:tc>
        <w:tc>
          <w:tcPr>
            <w:tcW w:w="26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48"/>
              <w:jc w:val="right"/>
              <w:rPr>
                <w:sz w:val="16"/>
                <w:szCs w:val="16"/>
              </w:rPr>
            </w:pPr>
            <w:r>
              <w:rPr>
                <w:sz w:val="16"/>
                <w:szCs w:val="16"/>
              </w:rPr>
              <w:t>1,461,207</w:t>
            </w:r>
          </w:p>
        </w:tc>
        <w:tc>
          <w:tcPr>
            <w:tcW w:w="6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w:t>
            </w:r>
          </w:p>
        </w:tc>
        <w:tc>
          <w:tcPr>
            <w:tcW w:w="41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48"/>
              <w:jc w:val="right"/>
              <w:rPr>
                <w:sz w:val="16"/>
                <w:szCs w:val="16"/>
              </w:rPr>
            </w:pPr>
            <w:r>
              <w:rPr>
                <w:sz w:val="16"/>
                <w:szCs w:val="16"/>
              </w:rPr>
              <w:t>317</w:t>
            </w:r>
          </w:p>
        </w:tc>
        <w:tc>
          <w:tcPr>
            <w:tcW w:w="6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16"/>
                <w:szCs w:val="16"/>
              </w:rPr>
            </w:pPr>
            <w:r>
              <w:rPr>
                <w:sz w:val="16"/>
                <w:szCs w:val="16"/>
              </w:rPr>
              <w:t>(</w:t>
            </w:r>
            <w:r>
              <w:rPr>
                <w:sz w:val="16"/>
                <w:szCs w:val="16"/>
              </w:rPr>
              <w:t>703,225)</w:t>
            </w:r>
          </w:p>
        </w:tc>
        <w:tc>
          <w:tcPr>
            <w:tcW w:w="6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w:t>
            </w:r>
          </w:p>
        </w:tc>
        <w:tc>
          <w:tcPr>
            <w:tcW w:w="28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48"/>
              <w:jc w:val="right"/>
              <w:rPr>
                <w:sz w:val="16"/>
                <w:szCs w:val="16"/>
              </w:rPr>
            </w:pPr>
            <w:r>
              <w:rPr>
                <w:sz w:val="16"/>
                <w:szCs w:val="16"/>
              </w:rPr>
              <w:t>758,309</w:t>
            </w:r>
          </w:p>
        </w:tc>
      </w:tr>
      <w:tr w:rsidR="00000000">
        <w:trPr>
          <w:divId w:val="276523775"/>
        </w:trPr>
        <w:tc>
          <w:tcPr>
            <w:tcW w:w="1288" w:type="pct"/>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Stock-based compensation expense</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17"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1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7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1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0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6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 </w:t>
            </w:r>
          </w:p>
        </w:tc>
        <w:tc>
          <w:tcPr>
            <w:tcW w:w="268"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48"/>
              <w:jc w:val="right"/>
              <w:rPr>
                <w:sz w:val="16"/>
                <w:szCs w:val="16"/>
              </w:rPr>
            </w:pPr>
            <w:r>
              <w:rPr>
                <w:sz w:val="16"/>
                <w:szCs w:val="16"/>
              </w:rPr>
              <w:t>10,706</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4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41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1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 </w:t>
            </w:r>
          </w:p>
        </w:tc>
        <w:tc>
          <w:tcPr>
            <w:tcW w:w="282"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48"/>
              <w:jc w:val="right"/>
              <w:rPr>
                <w:sz w:val="16"/>
                <w:szCs w:val="16"/>
              </w:rPr>
            </w:pPr>
            <w:r>
              <w:rPr>
                <w:sz w:val="16"/>
                <w:szCs w:val="16"/>
              </w:rPr>
              <w:t>10,706</w:t>
            </w:r>
          </w:p>
        </w:tc>
      </w:tr>
      <w:tr w:rsidR="00FF2C06">
        <w:trPr>
          <w:divId w:val="276523775"/>
        </w:trPr>
        <w:tc>
          <w:tcPr>
            <w:tcW w:w="1288"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Common stock issued upon exercise of stock options</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17"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1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7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1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 </w:t>
            </w:r>
          </w:p>
        </w:tc>
        <w:tc>
          <w:tcPr>
            <w:tcW w:w="30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48"/>
              <w:jc w:val="right"/>
              <w:rPr>
                <w:sz w:val="16"/>
                <w:szCs w:val="16"/>
              </w:rPr>
            </w:pPr>
            <w:r>
              <w:rPr>
                <w:sz w:val="16"/>
                <w:szCs w:val="16"/>
              </w:rPr>
              <w:t>146,814</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 </w:t>
            </w:r>
          </w:p>
        </w:tc>
        <w:tc>
          <w:tcPr>
            <w:tcW w:w="26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48"/>
              <w:jc w:val="right"/>
              <w:rPr>
                <w:sz w:val="16"/>
                <w:szCs w:val="16"/>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 </w:t>
            </w:r>
          </w:p>
        </w:tc>
        <w:tc>
          <w:tcPr>
            <w:tcW w:w="26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48"/>
              <w:jc w:val="right"/>
              <w:rPr>
                <w:sz w:val="16"/>
                <w:szCs w:val="16"/>
              </w:rPr>
            </w:pPr>
            <w:r>
              <w:rPr>
                <w:sz w:val="16"/>
                <w:szCs w:val="16"/>
              </w:rPr>
              <w:t>1,516</w:t>
            </w:r>
          </w:p>
        </w:tc>
        <w:tc>
          <w:tcPr>
            <w:tcW w:w="6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41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 </w:t>
            </w:r>
          </w:p>
        </w:tc>
        <w:tc>
          <w:tcPr>
            <w:tcW w:w="28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48"/>
              <w:jc w:val="right"/>
              <w:rPr>
                <w:sz w:val="16"/>
                <w:szCs w:val="16"/>
              </w:rPr>
            </w:pPr>
            <w:r>
              <w:rPr>
                <w:sz w:val="16"/>
                <w:szCs w:val="16"/>
              </w:rPr>
              <w:t>1,516</w:t>
            </w:r>
          </w:p>
        </w:tc>
      </w:tr>
      <w:tr w:rsidR="00000000">
        <w:trPr>
          <w:divId w:val="276523775"/>
        </w:trPr>
        <w:tc>
          <w:tcPr>
            <w:tcW w:w="1288" w:type="pct"/>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Common stock sold in public offering, net of offering costs</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17"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1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7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1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08" w:type="pct"/>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6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68"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48"/>
              <w:jc w:val="right"/>
              <w:rPr>
                <w:sz w:val="16"/>
                <w:szCs w:val="16"/>
              </w:rPr>
            </w:pPr>
            <w:r>
              <w:rPr>
                <w:sz w:val="16"/>
                <w:szCs w:val="16"/>
              </w:rPr>
              <w:t>43</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4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41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1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82"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48"/>
              <w:jc w:val="right"/>
              <w:rPr>
                <w:sz w:val="16"/>
                <w:szCs w:val="16"/>
              </w:rPr>
            </w:pPr>
            <w:r>
              <w:rPr>
                <w:sz w:val="16"/>
                <w:szCs w:val="16"/>
              </w:rPr>
              <w:t>43</w:t>
            </w:r>
          </w:p>
        </w:tc>
      </w:tr>
      <w:tr w:rsidR="00FF2C06">
        <w:trPr>
          <w:divId w:val="276523775"/>
        </w:trPr>
        <w:tc>
          <w:tcPr>
            <w:tcW w:w="1288"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Unrealized loss on short-term investments</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17"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1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7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1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0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6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6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 </w:t>
            </w:r>
          </w:p>
        </w:tc>
        <w:tc>
          <w:tcPr>
            <w:tcW w:w="41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16"/>
                <w:szCs w:val="16"/>
              </w:rPr>
            </w:pPr>
            <w:r>
              <w:rPr>
                <w:sz w:val="16"/>
                <w:szCs w:val="16"/>
              </w:rPr>
              <w:t>(162)</w:t>
            </w:r>
          </w:p>
        </w:tc>
        <w:tc>
          <w:tcPr>
            <w:tcW w:w="6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 </w:t>
            </w:r>
          </w:p>
        </w:tc>
        <w:tc>
          <w:tcPr>
            <w:tcW w:w="28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16"/>
                <w:szCs w:val="16"/>
              </w:rPr>
            </w:pPr>
            <w:r>
              <w:rPr>
                <w:sz w:val="16"/>
                <w:szCs w:val="16"/>
              </w:rPr>
              <w:t>(162)</w:t>
            </w:r>
          </w:p>
        </w:tc>
      </w:tr>
      <w:tr w:rsidR="00000000">
        <w:trPr>
          <w:divId w:val="276523775"/>
        </w:trPr>
        <w:tc>
          <w:tcPr>
            <w:tcW w:w="1288" w:type="pct"/>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Net loss</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17"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8"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18"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73"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8"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18"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08"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8"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69"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8"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68"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44"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411"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9"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 </w:t>
            </w:r>
          </w:p>
        </w:tc>
        <w:tc>
          <w:tcPr>
            <w:tcW w:w="319"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16"/>
                <w:szCs w:val="16"/>
              </w:rPr>
            </w:pPr>
            <w:r>
              <w:rPr>
                <w:sz w:val="16"/>
                <w:szCs w:val="16"/>
              </w:rPr>
              <w:t>(58,571)</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45"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 </w:t>
            </w:r>
          </w:p>
        </w:tc>
        <w:tc>
          <w:tcPr>
            <w:tcW w:w="282"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16"/>
                <w:szCs w:val="16"/>
              </w:rPr>
            </w:pPr>
            <w:r>
              <w:rPr>
                <w:sz w:val="16"/>
                <w:szCs w:val="16"/>
              </w:rPr>
              <w:t>(58,571)</w:t>
            </w:r>
          </w:p>
        </w:tc>
      </w:tr>
      <w:tr w:rsidR="00FF2C06">
        <w:trPr>
          <w:divId w:val="276523775"/>
        </w:trPr>
        <w:tc>
          <w:tcPr>
            <w:tcW w:w="1288"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ind w:left="120"/>
              <w:rPr>
                <w:sz w:val="16"/>
                <w:szCs w:val="16"/>
              </w:rPr>
            </w:pPr>
            <w:r>
              <w:rPr>
                <w:b/>
                <w:bCs/>
                <w:sz w:val="16"/>
                <w:szCs w:val="16"/>
              </w:rPr>
              <w:t>Balance - September 30, 2020</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 </w:t>
            </w:r>
          </w:p>
        </w:tc>
        <w:tc>
          <w:tcPr>
            <w:tcW w:w="21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48"/>
              <w:jc w:val="right"/>
              <w:rPr>
                <w:sz w:val="16"/>
                <w:szCs w:val="16"/>
              </w:rPr>
            </w:pPr>
            <w:r>
              <w:rPr>
                <w:sz w:val="16"/>
                <w:szCs w:val="16"/>
              </w:rPr>
              <w:t>194</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w:t>
            </w:r>
          </w:p>
        </w:tc>
        <w:tc>
          <w:tcPr>
            <w:tcW w:w="21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48"/>
              <w:jc w:val="right"/>
              <w:rPr>
                <w:sz w:val="16"/>
                <w:szCs w:val="16"/>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 </w:t>
            </w:r>
          </w:p>
        </w:tc>
        <w:tc>
          <w:tcPr>
            <w:tcW w:w="2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48"/>
              <w:jc w:val="right"/>
              <w:rPr>
                <w:sz w:val="16"/>
                <w:szCs w:val="16"/>
              </w:rPr>
            </w:pPr>
            <w:r>
              <w:rPr>
                <w:sz w:val="16"/>
                <w:szCs w:val="16"/>
              </w:rPr>
              <w:t>3,581,119</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w:t>
            </w:r>
          </w:p>
        </w:tc>
        <w:tc>
          <w:tcPr>
            <w:tcW w:w="21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48"/>
              <w:jc w:val="right"/>
              <w:rPr>
                <w:sz w:val="16"/>
                <w:szCs w:val="16"/>
              </w:rPr>
            </w:pPr>
            <w:r>
              <w:rPr>
                <w:sz w:val="16"/>
                <w:szCs w:val="16"/>
              </w:rPr>
              <w:t>4</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 </w:t>
            </w:r>
          </w:p>
        </w:tc>
        <w:tc>
          <w:tcPr>
            <w:tcW w:w="30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48"/>
              <w:jc w:val="right"/>
              <w:rPr>
                <w:sz w:val="16"/>
                <w:szCs w:val="16"/>
              </w:rPr>
            </w:pPr>
            <w:r>
              <w:rPr>
                <w:sz w:val="16"/>
                <w:szCs w:val="16"/>
              </w:rPr>
              <w:t>146,581,624</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w:t>
            </w:r>
          </w:p>
        </w:tc>
        <w:tc>
          <w:tcPr>
            <w:tcW w:w="2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48"/>
              <w:jc w:val="right"/>
              <w:rPr>
                <w:sz w:val="16"/>
                <w:szCs w:val="16"/>
              </w:rPr>
            </w:pPr>
            <w:r>
              <w:rPr>
                <w:sz w:val="16"/>
                <w:szCs w:val="16"/>
              </w:rPr>
              <w:t>6</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w:t>
            </w:r>
          </w:p>
        </w:tc>
        <w:tc>
          <w:tcPr>
            <w:tcW w:w="2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48"/>
              <w:jc w:val="right"/>
              <w:rPr>
                <w:sz w:val="16"/>
                <w:szCs w:val="16"/>
              </w:rPr>
            </w:pPr>
            <w:r>
              <w:rPr>
                <w:sz w:val="16"/>
                <w:szCs w:val="16"/>
              </w:rPr>
              <w:t>1,473,472</w:t>
            </w:r>
          </w:p>
        </w:tc>
        <w:tc>
          <w:tcPr>
            <w:tcW w:w="6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4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w:t>
            </w:r>
          </w:p>
        </w:tc>
        <w:tc>
          <w:tcPr>
            <w:tcW w:w="41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48"/>
              <w:jc w:val="right"/>
              <w:rPr>
                <w:sz w:val="16"/>
                <w:szCs w:val="16"/>
              </w:rPr>
            </w:pPr>
            <w:r>
              <w:rPr>
                <w:sz w:val="16"/>
                <w:szCs w:val="16"/>
              </w:rPr>
              <w:t>155</w:t>
            </w:r>
          </w:p>
        </w:tc>
        <w:tc>
          <w:tcPr>
            <w:tcW w:w="6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w:t>
            </w:r>
          </w:p>
        </w:tc>
        <w:tc>
          <w:tcPr>
            <w:tcW w:w="31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16"/>
                <w:szCs w:val="16"/>
              </w:rPr>
            </w:pPr>
            <w:r>
              <w:rPr>
                <w:sz w:val="16"/>
                <w:szCs w:val="16"/>
              </w:rPr>
              <w:t>(761,796)</w:t>
            </w:r>
          </w:p>
        </w:tc>
        <w:tc>
          <w:tcPr>
            <w:tcW w:w="6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w:t>
            </w:r>
          </w:p>
        </w:tc>
        <w:tc>
          <w:tcPr>
            <w:tcW w:w="2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48"/>
              <w:jc w:val="right"/>
              <w:rPr>
                <w:sz w:val="16"/>
                <w:szCs w:val="16"/>
              </w:rPr>
            </w:pPr>
            <w:r>
              <w:rPr>
                <w:sz w:val="16"/>
                <w:szCs w:val="16"/>
              </w:rPr>
              <w:t>711,841</w:t>
            </w:r>
          </w:p>
        </w:tc>
      </w:tr>
      <w:tr w:rsidR="00000000">
        <w:trPr>
          <w:divId w:val="276523775"/>
        </w:trPr>
        <w:tc>
          <w:tcPr>
            <w:tcW w:w="1288"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17"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1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7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1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0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6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6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4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41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1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82"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r>
      <w:tr w:rsidR="00FF2C06">
        <w:trPr>
          <w:divId w:val="276523775"/>
        </w:trPr>
        <w:tc>
          <w:tcPr>
            <w:tcW w:w="1288"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b/>
                <w:bCs/>
                <w:sz w:val="16"/>
                <w:szCs w:val="16"/>
              </w:rPr>
              <w:t>Balance - June 30, </w:t>
            </w:r>
            <w:r>
              <w:rPr>
                <w:b/>
                <w:bCs/>
                <w:sz w:val="16"/>
                <w:szCs w:val="16"/>
              </w:rPr>
              <w:t>2019</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 </w:t>
            </w:r>
          </w:p>
        </w:tc>
        <w:tc>
          <w:tcPr>
            <w:tcW w:w="217"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48"/>
              <w:jc w:val="right"/>
              <w:rPr>
                <w:sz w:val="16"/>
                <w:szCs w:val="16"/>
              </w:rPr>
            </w:pPr>
            <w:r>
              <w:rPr>
                <w:sz w:val="16"/>
                <w:szCs w:val="16"/>
              </w:rPr>
              <w:t>194</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w:t>
            </w:r>
          </w:p>
        </w:tc>
        <w:tc>
          <w:tcPr>
            <w:tcW w:w="21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48"/>
              <w:jc w:val="right"/>
              <w:rPr>
                <w:sz w:val="16"/>
                <w:szCs w:val="16"/>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 </w:t>
            </w:r>
          </w:p>
        </w:tc>
        <w:tc>
          <w:tcPr>
            <w:tcW w:w="27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48"/>
              <w:jc w:val="right"/>
              <w:rPr>
                <w:sz w:val="16"/>
                <w:szCs w:val="16"/>
              </w:rPr>
            </w:pPr>
            <w:r>
              <w:rPr>
                <w:sz w:val="16"/>
                <w:szCs w:val="16"/>
              </w:rPr>
              <w:t>5,854,845</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w:t>
            </w:r>
          </w:p>
        </w:tc>
        <w:tc>
          <w:tcPr>
            <w:tcW w:w="21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48"/>
              <w:jc w:val="right"/>
              <w:rPr>
                <w:sz w:val="16"/>
                <w:szCs w:val="16"/>
              </w:rPr>
            </w:pPr>
            <w:r>
              <w:rPr>
                <w:sz w:val="16"/>
                <w:szCs w:val="16"/>
              </w:rPr>
              <w:t>6</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 </w:t>
            </w:r>
          </w:p>
        </w:tc>
        <w:tc>
          <w:tcPr>
            <w:tcW w:w="30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48"/>
              <w:jc w:val="right"/>
              <w:rPr>
                <w:sz w:val="16"/>
                <w:szCs w:val="16"/>
              </w:rPr>
            </w:pPr>
            <w:r>
              <w:rPr>
                <w:sz w:val="16"/>
                <w:szCs w:val="16"/>
              </w:rPr>
              <w:t>123,820,508</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w:t>
            </w:r>
          </w:p>
        </w:tc>
        <w:tc>
          <w:tcPr>
            <w:tcW w:w="26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48"/>
              <w:jc w:val="right"/>
              <w:rPr>
                <w:sz w:val="16"/>
                <w:szCs w:val="16"/>
              </w:rPr>
            </w:pPr>
            <w:r>
              <w:rPr>
                <w:sz w:val="16"/>
                <w:szCs w:val="16"/>
              </w:rPr>
              <w:t>5</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w:t>
            </w:r>
          </w:p>
        </w:tc>
        <w:tc>
          <w:tcPr>
            <w:tcW w:w="26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48"/>
              <w:jc w:val="right"/>
              <w:rPr>
                <w:sz w:val="16"/>
                <w:szCs w:val="16"/>
              </w:rPr>
            </w:pPr>
            <w:r>
              <w:rPr>
                <w:sz w:val="16"/>
                <w:szCs w:val="16"/>
              </w:rPr>
              <w:t>854,596</w:t>
            </w:r>
          </w:p>
        </w:tc>
        <w:tc>
          <w:tcPr>
            <w:tcW w:w="6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w:t>
            </w:r>
          </w:p>
        </w:tc>
        <w:tc>
          <w:tcPr>
            <w:tcW w:w="41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48"/>
              <w:jc w:val="right"/>
              <w:rPr>
                <w:sz w:val="16"/>
                <w:szCs w:val="16"/>
              </w:rPr>
            </w:pPr>
            <w:r>
              <w:rPr>
                <w:sz w:val="16"/>
                <w:szCs w:val="16"/>
              </w:rPr>
              <w:t>372</w:t>
            </w:r>
          </w:p>
        </w:tc>
        <w:tc>
          <w:tcPr>
            <w:tcW w:w="6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16"/>
                <w:szCs w:val="16"/>
              </w:rPr>
            </w:pPr>
            <w:r>
              <w:rPr>
                <w:sz w:val="16"/>
                <w:szCs w:val="16"/>
              </w:rPr>
              <w:t>(457,557)</w:t>
            </w:r>
          </w:p>
        </w:tc>
        <w:tc>
          <w:tcPr>
            <w:tcW w:w="6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w:t>
            </w:r>
          </w:p>
        </w:tc>
        <w:tc>
          <w:tcPr>
            <w:tcW w:w="28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48"/>
              <w:jc w:val="right"/>
              <w:rPr>
                <w:sz w:val="16"/>
                <w:szCs w:val="16"/>
              </w:rPr>
            </w:pPr>
            <w:r>
              <w:rPr>
                <w:sz w:val="16"/>
                <w:szCs w:val="16"/>
              </w:rPr>
              <w:t>397,422</w:t>
            </w:r>
          </w:p>
        </w:tc>
      </w:tr>
      <w:tr w:rsidR="00000000">
        <w:trPr>
          <w:divId w:val="276523775"/>
        </w:trPr>
        <w:tc>
          <w:tcPr>
            <w:tcW w:w="1288" w:type="pct"/>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Stock-based compensation expense</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17" w:type="pct"/>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1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7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1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0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6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 </w:t>
            </w:r>
          </w:p>
        </w:tc>
        <w:tc>
          <w:tcPr>
            <w:tcW w:w="268"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48"/>
              <w:jc w:val="right"/>
              <w:rPr>
                <w:sz w:val="16"/>
                <w:szCs w:val="16"/>
              </w:rPr>
            </w:pPr>
            <w:r>
              <w:rPr>
                <w:sz w:val="16"/>
                <w:szCs w:val="16"/>
              </w:rPr>
              <w:t>6,598</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4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41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1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 </w:t>
            </w:r>
          </w:p>
        </w:tc>
        <w:tc>
          <w:tcPr>
            <w:tcW w:w="282"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48"/>
              <w:jc w:val="right"/>
              <w:rPr>
                <w:sz w:val="16"/>
                <w:szCs w:val="16"/>
              </w:rPr>
            </w:pPr>
            <w:r>
              <w:rPr>
                <w:sz w:val="16"/>
                <w:szCs w:val="16"/>
              </w:rPr>
              <w:t>6,598</w:t>
            </w:r>
          </w:p>
        </w:tc>
      </w:tr>
      <w:tr w:rsidR="00FF2C06">
        <w:trPr>
          <w:divId w:val="276523775"/>
        </w:trPr>
        <w:tc>
          <w:tcPr>
            <w:tcW w:w="1288"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Vesting of restricted shares issued for services</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17"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1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7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1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 </w:t>
            </w:r>
          </w:p>
        </w:tc>
        <w:tc>
          <w:tcPr>
            <w:tcW w:w="30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48"/>
              <w:jc w:val="right"/>
              <w:rPr>
                <w:sz w:val="16"/>
                <w:szCs w:val="16"/>
              </w:rPr>
            </w:pPr>
            <w:r>
              <w:rPr>
                <w:sz w:val="16"/>
                <w:szCs w:val="16"/>
              </w:rPr>
              <w:t>7,206</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6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48"/>
              <w:jc w:val="right"/>
              <w:rPr>
                <w:sz w:val="16"/>
                <w:szCs w:val="16"/>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6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48"/>
              <w:jc w:val="right"/>
              <w:rPr>
                <w:sz w:val="16"/>
                <w:szCs w:val="16"/>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41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 </w:t>
            </w:r>
          </w:p>
        </w:tc>
        <w:tc>
          <w:tcPr>
            <w:tcW w:w="28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48"/>
              <w:jc w:val="right"/>
              <w:rPr>
                <w:sz w:val="16"/>
                <w:szCs w:val="16"/>
              </w:rPr>
            </w:pPr>
            <w:r>
              <w:rPr>
                <w:sz w:val="16"/>
                <w:szCs w:val="16"/>
              </w:rPr>
              <w:t>—</w:t>
            </w:r>
          </w:p>
        </w:tc>
      </w:tr>
      <w:tr w:rsidR="00000000">
        <w:trPr>
          <w:divId w:val="276523775"/>
        </w:trPr>
        <w:tc>
          <w:tcPr>
            <w:tcW w:w="1288" w:type="pct"/>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Tax payments related to shares withheld for vested restricted stock units</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17" w:type="pct"/>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1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7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1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 </w:t>
            </w:r>
          </w:p>
        </w:tc>
        <w:tc>
          <w:tcPr>
            <w:tcW w:w="308" w:type="pct"/>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6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68" w:type="pct"/>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16"/>
                <w:szCs w:val="16"/>
              </w:rPr>
            </w:pPr>
            <w:r>
              <w:rPr>
                <w:sz w:val="16"/>
                <w:szCs w:val="16"/>
              </w:rPr>
              <w:t>(99)</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4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41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1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 </w:t>
            </w:r>
          </w:p>
        </w:tc>
        <w:tc>
          <w:tcPr>
            <w:tcW w:w="282" w:type="pct"/>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16"/>
                <w:szCs w:val="16"/>
              </w:rPr>
            </w:pPr>
            <w:r>
              <w:rPr>
                <w:sz w:val="16"/>
                <w:szCs w:val="16"/>
              </w:rPr>
              <w:t>(99)</w:t>
            </w:r>
          </w:p>
        </w:tc>
      </w:tr>
      <w:tr w:rsidR="00FF2C06">
        <w:trPr>
          <w:divId w:val="276523775"/>
        </w:trPr>
        <w:tc>
          <w:tcPr>
            <w:tcW w:w="1288"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Common stock issued upon exercise of stock options</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17"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1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7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1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0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48"/>
              <w:jc w:val="right"/>
              <w:rPr>
                <w:sz w:val="16"/>
                <w:szCs w:val="16"/>
              </w:rPr>
            </w:pPr>
            <w:r>
              <w:rPr>
                <w:sz w:val="16"/>
                <w:szCs w:val="16"/>
              </w:rPr>
              <w:t>91,550</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 </w:t>
            </w:r>
          </w:p>
        </w:tc>
        <w:tc>
          <w:tcPr>
            <w:tcW w:w="26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48"/>
              <w:jc w:val="right"/>
              <w:rPr>
                <w:sz w:val="16"/>
                <w:szCs w:val="16"/>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 </w:t>
            </w:r>
          </w:p>
        </w:tc>
        <w:tc>
          <w:tcPr>
            <w:tcW w:w="26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48"/>
              <w:jc w:val="right"/>
              <w:rPr>
                <w:sz w:val="16"/>
                <w:szCs w:val="16"/>
              </w:rPr>
            </w:pPr>
            <w:r>
              <w:rPr>
                <w:sz w:val="16"/>
                <w:szCs w:val="16"/>
              </w:rPr>
              <w:t>762</w:t>
            </w:r>
          </w:p>
        </w:tc>
        <w:tc>
          <w:tcPr>
            <w:tcW w:w="6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41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 </w:t>
            </w:r>
          </w:p>
        </w:tc>
        <w:tc>
          <w:tcPr>
            <w:tcW w:w="28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48"/>
              <w:jc w:val="right"/>
              <w:rPr>
                <w:sz w:val="16"/>
                <w:szCs w:val="16"/>
              </w:rPr>
            </w:pPr>
            <w:r>
              <w:rPr>
                <w:sz w:val="16"/>
                <w:szCs w:val="16"/>
              </w:rPr>
              <w:t>762</w:t>
            </w:r>
          </w:p>
        </w:tc>
      </w:tr>
      <w:tr w:rsidR="00000000">
        <w:trPr>
          <w:divId w:val="276523775"/>
        </w:trPr>
        <w:tc>
          <w:tcPr>
            <w:tcW w:w="1288" w:type="pct"/>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Common stock issued from preferred stock conversion</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17" w:type="pct"/>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1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73" w:type="pct"/>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16"/>
                <w:szCs w:val="16"/>
              </w:rPr>
            </w:pPr>
            <w:r>
              <w:rPr>
                <w:sz w:val="16"/>
                <w:szCs w:val="16"/>
              </w:rPr>
              <w:t>(2,273,726)</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18" w:type="pct"/>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16"/>
                <w:szCs w:val="16"/>
              </w:rPr>
            </w:pPr>
            <w:r>
              <w:rPr>
                <w:sz w:val="16"/>
                <w:szCs w:val="16"/>
              </w:rPr>
              <w:t>(2)</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08"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48"/>
              <w:jc w:val="right"/>
              <w:rPr>
                <w:sz w:val="16"/>
                <w:szCs w:val="16"/>
              </w:rPr>
            </w:pPr>
            <w:r>
              <w:rPr>
                <w:sz w:val="16"/>
                <w:szCs w:val="16"/>
              </w:rPr>
              <w:t>2,273,726</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6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68"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48"/>
              <w:jc w:val="right"/>
              <w:rPr>
                <w:sz w:val="16"/>
                <w:szCs w:val="16"/>
              </w:rPr>
            </w:pPr>
            <w:r>
              <w:rPr>
                <w:sz w:val="16"/>
                <w:szCs w:val="16"/>
              </w:rPr>
              <w:t>2</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4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41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1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82"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48"/>
              <w:jc w:val="right"/>
              <w:rPr>
                <w:sz w:val="16"/>
                <w:szCs w:val="16"/>
              </w:rPr>
            </w:pPr>
            <w:r>
              <w:rPr>
                <w:sz w:val="16"/>
                <w:szCs w:val="16"/>
              </w:rPr>
              <w:t>—</w:t>
            </w:r>
          </w:p>
        </w:tc>
      </w:tr>
      <w:tr w:rsidR="00FF2C06">
        <w:trPr>
          <w:divId w:val="276523775"/>
        </w:trPr>
        <w:tc>
          <w:tcPr>
            <w:tcW w:w="1288"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Unrealized loss on short-term investments</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17"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1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7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1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0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6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6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41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16"/>
                <w:szCs w:val="16"/>
              </w:rPr>
            </w:pPr>
            <w:r>
              <w:rPr>
                <w:sz w:val="16"/>
                <w:szCs w:val="16"/>
              </w:rPr>
              <w:t>(133)</w:t>
            </w:r>
          </w:p>
        </w:tc>
        <w:tc>
          <w:tcPr>
            <w:tcW w:w="6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 </w:t>
            </w:r>
          </w:p>
        </w:tc>
        <w:tc>
          <w:tcPr>
            <w:tcW w:w="31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 </w:t>
            </w:r>
          </w:p>
        </w:tc>
        <w:tc>
          <w:tcPr>
            <w:tcW w:w="28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16"/>
                <w:szCs w:val="16"/>
              </w:rPr>
            </w:pPr>
            <w:r>
              <w:rPr>
                <w:sz w:val="16"/>
                <w:szCs w:val="16"/>
              </w:rPr>
              <w:t>(133)</w:t>
            </w:r>
          </w:p>
        </w:tc>
      </w:tr>
      <w:tr w:rsidR="00000000">
        <w:trPr>
          <w:divId w:val="276523775"/>
        </w:trPr>
        <w:tc>
          <w:tcPr>
            <w:tcW w:w="1288" w:type="pct"/>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Net loss</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17"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8"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18"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73"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8"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18"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08"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8"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69"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8"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68"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44"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411"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9"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19"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16"/>
                <w:szCs w:val="16"/>
              </w:rPr>
            </w:pPr>
            <w:r>
              <w:rPr>
                <w:sz w:val="16"/>
                <w:szCs w:val="16"/>
              </w:rPr>
              <w:t>(49,487)</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45"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282"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16"/>
                <w:szCs w:val="16"/>
              </w:rPr>
            </w:pPr>
            <w:r>
              <w:rPr>
                <w:sz w:val="16"/>
                <w:szCs w:val="16"/>
              </w:rPr>
              <w:t>(49,487)</w:t>
            </w:r>
          </w:p>
        </w:tc>
      </w:tr>
      <w:tr w:rsidR="00FF2C06">
        <w:trPr>
          <w:divId w:val="276523775"/>
        </w:trPr>
        <w:tc>
          <w:tcPr>
            <w:tcW w:w="1288"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ind w:left="120"/>
              <w:rPr>
                <w:sz w:val="16"/>
                <w:szCs w:val="16"/>
              </w:rPr>
            </w:pPr>
            <w:r>
              <w:rPr>
                <w:b/>
                <w:bCs/>
                <w:sz w:val="16"/>
                <w:szCs w:val="16"/>
              </w:rPr>
              <w:t>Balance - September 30, 2019</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 </w:t>
            </w:r>
          </w:p>
        </w:tc>
        <w:tc>
          <w:tcPr>
            <w:tcW w:w="21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48"/>
              <w:jc w:val="right"/>
              <w:rPr>
                <w:sz w:val="16"/>
                <w:szCs w:val="16"/>
              </w:rPr>
            </w:pPr>
            <w:r>
              <w:rPr>
                <w:sz w:val="16"/>
                <w:szCs w:val="16"/>
              </w:rPr>
              <w:t>194</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w:t>
            </w:r>
          </w:p>
        </w:tc>
        <w:tc>
          <w:tcPr>
            <w:tcW w:w="21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48"/>
              <w:jc w:val="right"/>
              <w:rPr>
                <w:sz w:val="16"/>
                <w:szCs w:val="16"/>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 </w:t>
            </w:r>
          </w:p>
        </w:tc>
        <w:tc>
          <w:tcPr>
            <w:tcW w:w="2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48"/>
              <w:jc w:val="right"/>
              <w:rPr>
                <w:sz w:val="16"/>
                <w:szCs w:val="16"/>
              </w:rPr>
            </w:pPr>
            <w:r>
              <w:rPr>
                <w:sz w:val="16"/>
                <w:szCs w:val="16"/>
              </w:rPr>
              <w:t>3,581,119</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w:t>
            </w:r>
          </w:p>
        </w:tc>
        <w:tc>
          <w:tcPr>
            <w:tcW w:w="21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48"/>
              <w:jc w:val="right"/>
              <w:rPr>
                <w:sz w:val="16"/>
                <w:szCs w:val="16"/>
              </w:rPr>
            </w:pPr>
            <w:r>
              <w:rPr>
                <w:sz w:val="16"/>
                <w:szCs w:val="16"/>
              </w:rPr>
              <w:t>4</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 </w:t>
            </w:r>
          </w:p>
        </w:tc>
        <w:tc>
          <w:tcPr>
            <w:tcW w:w="30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48"/>
              <w:jc w:val="right"/>
              <w:rPr>
                <w:sz w:val="16"/>
                <w:szCs w:val="16"/>
              </w:rPr>
            </w:pPr>
            <w:r>
              <w:rPr>
                <w:sz w:val="16"/>
                <w:szCs w:val="16"/>
              </w:rPr>
              <w:t>126,192,990</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w:t>
            </w:r>
          </w:p>
        </w:tc>
        <w:tc>
          <w:tcPr>
            <w:tcW w:w="2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48"/>
              <w:jc w:val="right"/>
              <w:rPr>
                <w:sz w:val="16"/>
                <w:szCs w:val="16"/>
              </w:rPr>
            </w:pPr>
            <w:r>
              <w:rPr>
                <w:sz w:val="16"/>
                <w:szCs w:val="16"/>
              </w:rPr>
              <w:t>5</w:t>
            </w:r>
          </w:p>
        </w:tc>
        <w:tc>
          <w:tcPr>
            <w:tcW w:w="6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w:t>
            </w:r>
          </w:p>
        </w:tc>
        <w:tc>
          <w:tcPr>
            <w:tcW w:w="2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48"/>
              <w:jc w:val="right"/>
              <w:rPr>
                <w:sz w:val="16"/>
                <w:szCs w:val="16"/>
              </w:rPr>
            </w:pPr>
            <w:r>
              <w:rPr>
                <w:sz w:val="16"/>
                <w:szCs w:val="16"/>
              </w:rPr>
              <w:t>861,859</w:t>
            </w:r>
          </w:p>
        </w:tc>
        <w:tc>
          <w:tcPr>
            <w:tcW w:w="6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4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w:t>
            </w:r>
          </w:p>
        </w:tc>
        <w:tc>
          <w:tcPr>
            <w:tcW w:w="41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48"/>
              <w:jc w:val="right"/>
              <w:rPr>
                <w:sz w:val="16"/>
                <w:szCs w:val="16"/>
              </w:rPr>
            </w:pPr>
            <w:r>
              <w:rPr>
                <w:sz w:val="16"/>
                <w:szCs w:val="16"/>
              </w:rPr>
              <w:t>239</w:t>
            </w:r>
          </w:p>
        </w:tc>
        <w:tc>
          <w:tcPr>
            <w:tcW w:w="6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w:t>
            </w:r>
          </w:p>
        </w:tc>
        <w:tc>
          <w:tcPr>
            <w:tcW w:w="31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16"/>
                <w:szCs w:val="16"/>
              </w:rPr>
            </w:pPr>
            <w:r>
              <w:rPr>
                <w:sz w:val="16"/>
                <w:szCs w:val="16"/>
              </w:rPr>
              <w:t>(507,044)</w:t>
            </w:r>
          </w:p>
        </w:tc>
        <w:tc>
          <w:tcPr>
            <w:tcW w:w="6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w:t>
            </w:r>
          </w:p>
        </w:tc>
        <w:tc>
          <w:tcPr>
            <w:tcW w:w="2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48"/>
              <w:jc w:val="right"/>
              <w:rPr>
                <w:sz w:val="16"/>
                <w:szCs w:val="16"/>
              </w:rPr>
            </w:pPr>
            <w:r>
              <w:rPr>
                <w:sz w:val="16"/>
                <w:szCs w:val="16"/>
              </w:rPr>
              <w:t>355,063</w:t>
            </w:r>
          </w:p>
        </w:tc>
      </w:tr>
    </w:tbl>
    <w:p w:rsidR="00000000" w:rsidRDefault="00FF2C06">
      <w:pPr>
        <w:pStyle w:val="a3"/>
        <w:spacing w:before="0" w:beforeAutospacing="0" w:after="0" w:afterAutospacing="0"/>
        <w:divId w:val="276523775"/>
        <w:rPr>
          <w:sz w:val="20"/>
          <w:szCs w:val="20"/>
        </w:rPr>
      </w:pPr>
      <w:r>
        <w:rPr>
          <w:sz w:val="20"/>
          <w:szCs w:val="20"/>
        </w:rPr>
        <w:t>​</w:t>
      </w:r>
    </w:p>
    <w:p w:rsidR="00000000" w:rsidRDefault="00FF2C06">
      <w:pPr>
        <w:pStyle w:val="a3"/>
        <w:spacing w:before="0" w:beforeAutospacing="0" w:after="200" w:afterAutospacing="0"/>
        <w:ind w:firstLine="547"/>
        <w:jc w:val="center"/>
        <w:divId w:val="276523775"/>
        <w:rPr>
          <w:sz w:val="20"/>
          <w:szCs w:val="20"/>
        </w:rPr>
      </w:pPr>
      <w:r>
        <w:rPr>
          <w:sz w:val="20"/>
          <w:szCs w:val="20"/>
        </w:rPr>
        <w:t>The accompanying notes are an integral part of these condensed consolidated financial statements.</w:t>
      </w:r>
    </w:p>
    <w:p w:rsidR="00000000" w:rsidRDefault="00FF2C06">
      <w:pPr>
        <w:pStyle w:val="a3"/>
        <w:spacing w:before="0" w:beforeAutospacing="0" w:after="0" w:afterAutospacing="0"/>
        <w:divId w:val="276523775"/>
        <w:rPr>
          <w:sz w:val="20"/>
          <w:szCs w:val="20"/>
        </w:rPr>
      </w:pPr>
      <w:r>
        <w:rPr>
          <w:sz w:val="20"/>
          <w:szCs w:val="20"/>
        </w:rPr>
        <w:t>​</w:t>
      </w:r>
    </w:p>
    <w:p w:rsidR="00000000" w:rsidRDefault="00FF2C06">
      <w:pPr>
        <w:pStyle w:val="a3"/>
        <w:spacing w:before="0" w:beforeAutospacing="0" w:after="0" w:afterAutospacing="0" w:line="0" w:lineRule="atLeast"/>
        <w:divId w:val="276523775"/>
        <w:rPr>
          <w:vanish/>
        </w:rPr>
      </w:pPr>
      <w:r>
        <w:rPr>
          <w:vanish/>
          <w:sz w:val="2"/>
          <w:szCs w:val="2"/>
        </w:rPr>
        <w:t>​</w:t>
      </w:r>
    </w:p>
    <w:p w:rsidR="00000000" w:rsidRDefault="00FF2C06">
      <w:pPr>
        <w:pStyle w:val="a3"/>
        <w:spacing w:before="480" w:beforeAutospacing="0" w:after="0" w:afterAutospacing="0"/>
        <w:jc w:val="center"/>
        <w:divId w:val="1565212249"/>
        <w:rPr>
          <w:sz w:val="20"/>
          <w:szCs w:val="20"/>
        </w:rPr>
      </w:pPr>
      <w:r>
        <w:rPr>
          <w:sz w:val="20"/>
          <w:szCs w:val="20"/>
        </w:rPr>
        <w:t>6</w:t>
      </w:r>
    </w:p>
    <w:p w:rsidR="00000000" w:rsidRDefault="00FF2C06">
      <w:pPr>
        <w:pStyle w:val="a3"/>
        <w:spacing w:before="0" w:beforeAutospacing="0" w:after="600" w:afterAutospacing="0"/>
        <w:divId w:val="445468999"/>
        <w:rPr>
          <w:sz w:val="20"/>
          <w:szCs w:val="20"/>
        </w:rPr>
      </w:pPr>
      <w:hyperlink w:anchor="TOC" w:history="1">
        <w:r>
          <w:rPr>
            <w:rStyle w:val="a4"/>
            <w:sz w:val="20"/>
            <w:szCs w:val="20"/>
          </w:rPr>
          <w:t>Table of Contents</w:t>
        </w:r>
      </w:hyperlink>
    </w:p>
    <w:p w:rsidR="00000000" w:rsidRDefault="00FF2C06">
      <w:pPr>
        <w:pStyle w:val="a3"/>
        <w:spacing w:before="0" w:beforeAutospacing="0" w:after="0" w:afterAutospacing="0"/>
        <w:jc w:val="center"/>
        <w:divId w:val="1571385587"/>
        <w:rPr>
          <w:b/>
          <w:bCs/>
          <w:sz w:val="20"/>
          <w:szCs w:val="20"/>
        </w:rPr>
      </w:pPr>
      <w:r>
        <w:rPr>
          <w:b/>
          <w:bCs/>
          <w:sz w:val="20"/>
          <w:szCs w:val="20"/>
        </w:rPr>
        <w:t>IOVANCE BIOTHERAPEUTICS, INC.</w:t>
      </w:r>
    </w:p>
    <w:p w:rsidR="00000000" w:rsidRDefault="00FF2C06">
      <w:pPr>
        <w:pStyle w:val="a3"/>
        <w:spacing w:before="0" w:beforeAutospacing="0" w:after="0" w:afterAutospacing="0"/>
        <w:jc w:val="center"/>
        <w:divId w:val="1571385587"/>
        <w:rPr>
          <w:sz w:val="20"/>
          <w:szCs w:val="20"/>
        </w:rPr>
      </w:pPr>
      <w:r>
        <w:rPr>
          <w:b/>
          <w:bCs/>
          <w:sz w:val="20"/>
          <w:szCs w:val="20"/>
        </w:rPr>
        <w:t>Condensed Consolidated Statements of Cash Flows</w:t>
      </w:r>
    </w:p>
    <w:p w:rsidR="00000000" w:rsidRDefault="00FF2C06">
      <w:pPr>
        <w:pStyle w:val="a3"/>
        <w:spacing w:before="0" w:beforeAutospacing="0" w:after="0" w:afterAutospacing="0"/>
        <w:jc w:val="center"/>
        <w:divId w:val="1571385587"/>
        <w:rPr>
          <w:sz w:val="20"/>
          <w:szCs w:val="20"/>
        </w:rPr>
      </w:pPr>
      <w:r>
        <w:rPr>
          <w:b/>
          <w:bCs/>
          <w:sz w:val="20"/>
          <w:szCs w:val="20"/>
        </w:rPr>
        <w:t>(unaudited; in thousands)</w:t>
      </w:r>
    </w:p>
    <w:p w:rsidR="00000000" w:rsidRDefault="00FF2C06">
      <w:pPr>
        <w:pStyle w:val="a3"/>
        <w:spacing w:before="0" w:beforeAutospacing="0" w:after="0" w:afterAutospacing="0"/>
        <w:jc w:val="center"/>
        <w:divId w:val="1571385587"/>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676"/>
        <w:gridCol w:w="235"/>
        <w:gridCol w:w="146"/>
        <w:gridCol w:w="925"/>
        <w:gridCol w:w="234"/>
        <w:gridCol w:w="146"/>
        <w:gridCol w:w="927"/>
        <w:gridCol w:w="17"/>
      </w:tblGrid>
      <w:tr w:rsidR="00000000">
        <w:trPr>
          <w:divId w:val="1571385587"/>
          <w:trHeight w:val="20"/>
        </w:trPr>
        <w:tc>
          <w:tcPr>
            <w:tcW w:w="3415" w:type="pct"/>
            <w:tcMar>
              <w:top w:w="0" w:type="dxa"/>
              <w:left w:w="0" w:type="dxa"/>
              <w:bottom w:w="0" w:type="dxa"/>
              <w:right w:w="0" w:type="dxa"/>
            </w:tcMar>
            <w:vAlign w:val="bottom"/>
            <w:hideMark/>
          </w:tcPr>
          <w:p w:rsidR="00000000" w:rsidRDefault="00FF2C06">
            <w:pPr>
              <w:pStyle w:val="a3"/>
              <w:spacing w:before="0" w:beforeAutospacing="0" w:after="1" w:afterAutospacing="0"/>
              <w:divId w:val="503279971"/>
              <w:rPr>
                <w:sz w:val="20"/>
                <w:szCs w:val="20"/>
              </w:rPr>
            </w:pPr>
            <w:r>
              <w:rPr>
                <w:sz w:val="2"/>
                <w:szCs w:val="2"/>
              </w:rPr>
              <w:t>​</w:t>
            </w:r>
          </w:p>
        </w:tc>
        <w:tc>
          <w:tcPr>
            <w:tcW w:w="141"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056245445"/>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727803758"/>
              <w:rPr>
                <w:sz w:val="20"/>
                <w:szCs w:val="20"/>
              </w:rPr>
            </w:pPr>
            <w:r>
              <w:rPr>
                <w:sz w:val="2"/>
                <w:szCs w:val="2"/>
              </w:rPr>
              <w:t>​</w:t>
            </w:r>
          </w:p>
        </w:tc>
        <w:tc>
          <w:tcPr>
            <w:tcW w:w="556"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298686903"/>
              <w:rPr>
                <w:sz w:val="20"/>
                <w:szCs w:val="20"/>
              </w:rPr>
            </w:pPr>
            <w:r>
              <w:rPr>
                <w:sz w:val="2"/>
                <w:szCs w:val="2"/>
              </w:rPr>
              <w:t>​</w:t>
            </w:r>
          </w:p>
        </w:tc>
        <w:tc>
          <w:tcPr>
            <w:tcW w:w="141"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186140229"/>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196388810"/>
              <w:rPr>
                <w:sz w:val="20"/>
                <w:szCs w:val="20"/>
              </w:rPr>
            </w:pPr>
            <w:r>
              <w:rPr>
                <w:sz w:val="2"/>
                <w:szCs w:val="2"/>
              </w:rPr>
              <w:t>​</w:t>
            </w:r>
          </w:p>
        </w:tc>
        <w:tc>
          <w:tcPr>
            <w:tcW w:w="556"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2068071247"/>
              <w:rPr>
                <w:sz w:val="20"/>
                <w:szCs w:val="20"/>
              </w:rPr>
            </w:pPr>
            <w:r>
              <w:rPr>
                <w:sz w:val="2"/>
                <w:szCs w:val="2"/>
              </w:rPr>
              <w:t>​</w:t>
            </w:r>
          </w:p>
        </w:tc>
        <w:tc>
          <w:tcPr>
            <w:tcW w:w="10"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999848708"/>
              <w:rPr>
                <w:sz w:val="20"/>
                <w:szCs w:val="20"/>
              </w:rPr>
            </w:pPr>
            <w:r>
              <w:rPr>
                <w:sz w:val="2"/>
                <w:szCs w:val="2"/>
              </w:rPr>
              <w:t>​</w:t>
            </w:r>
          </w:p>
        </w:tc>
      </w:tr>
      <w:tr w:rsidR="00000000">
        <w:trPr>
          <w:divId w:val="1571385587"/>
        </w:trPr>
        <w:tc>
          <w:tcPr>
            <w:tcW w:w="3415"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14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16"/>
                <w:szCs w:val="16"/>
              </w:rPr>
              <w:t>​</w:t>
            </w:r>
          </w:p>
        </w:tc>
        <w:tc>
          <w:tcPr>
            <w:tcW w:w="1432" w:type="pct"/>
            <w:gridSpan w:val="5"/>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 xml:space="preserve">Nine Months Ended </w:t>
            </w:r>
          </w:p>
        </w:tc>
        <w:tc>
          <w:tcPr>
            <w:tcW w:w="10"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16"/>
                <w:szCs w:val="16"/>
              </w:rPr>
              <w:t>​</w:t>
            </w:r>
          </w:p>
        </w:tc>
      </w:tr>
      <w:tr w:rsidR="00000000">
        <w:trPr>
          <w:divId w:val="1571385587"/>
        </w:trPr>
        <w:tc>
          <w:tcPr>
            <w:tcW w:w="3415"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14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16"/>
                <w:szCs w:val="16"/>
              </w:rPr>
              <w:t>​</w:t>
            </w:r>
          </w:p>
        </w:tc>
        <w:tc>
          <w:tcPr>
            <w:tcW w:w="1432" w:type="pct"/>
            <w:gridSpan w:val="5"/>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September 30, </w:t>
            </w:r>
          </w:p>
        </w:tc>
        <w:tc>
          <w:tcPr>
            <w:tcW w:w="10"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16"/>
                <w:szCs w:val="16"/>
              </w:rPr>
              <w:t>​</w:t>
            </w:r>
          </w:p>
        </w:tc>
      </w:tr>
      <w:tr w:rsidR="00000000">
        <w:trPr>
          <w:divId w:val="1571385587"/>
        </w:trPr>
        <w:tc>
          <w:tcPr>
            <w:tcW w:w="3415" w:type="pct"/>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w:t>
            </w:r>
          </w:p>
        </w:tc>
        <w:tc>
          <w:tcPr>
            <w:tcW w:w="14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b/>
                <w:bCs/>
                <w:sz w:val="16"/>
                <w:szCs w:val="16"/>
              </w:rPr>
              <w:t>    </w:t>
            </w:r>
          </w:p>
        </w:tc>
        <w:tc>
          <w:tcPr>
            <w:tcW w:w="645"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2020</w:t>
            </w:r>
          </w:p>
        </w:tc>
        <w:tc>
          <w:tcPr>
            <w:tcW w:w="14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b/>
                <w:bCs/>
                <w:sz w:val="16"/>
                <w:szCs w:val="16"/>
              </w:rPr>
              <w:t>    </w:t>
            </w:r>
          </w:p>
        </w:tc>
        <w:tc>
          <w:tcPr>
            <w:tcW w:w="645"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2019</w:t>
            </w:r>
          </w:p>
        </w:tc>
        <w:tc>
          <w:tcPr>
            <w:tcW w:w="10"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16"/>
                <w:szCs w:val="16"/>
              </w:rPr>
              <w:t>​</w:t>
            </w:r>
          </w:p>
        </w:tc>
      </w:tr>
      <w:tr w:rsidR="00000000">
        <w:trPr>
          <w:divId w:val="1571385587"/>
        </w:trPr>
        <w:tc>
          <w:tcPr>
            <w:tcW w:w="3415"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jc w:val="both"/>
              <w:rPr>
                <w:sz w:val="20"/>
                <w:szCs w:val="20"/>
              </w:rPr>
            </w:pPr>
            <w:r>
              <w:rPr>
                <w:b/>
                <w:bCs/>
                <w:sz w:val="20"/>
                <w:szCs w:val="20"/>
              </w:rPr>
              <w:t>Cash Flows from Operating Activities</w:t>
            </w:r>
          </w:p>
        </w:tc>
        <w:tc>
          <w:tcPr>
            <w:tcW w:w="14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14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10"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1571385587"/>
        </w:trPr>
        <w:tc>
          <w:tcPr>
            <w:tcW w:w="3415" w:type="pct"/>
            <w:tcMar>
              <w:top w:w="0" w:type="dxa"/>
              <w:left w:w="0" w:type="dxa"/>
              <w:bottom w:w="0" w:type="dxa"/>
              <w:right w:w="0" w:type="dxa"/>
            </w:tcMar>
            <w:vAlign w:val="bottom"/>
            <w:hideMark/>
          </w:tcPr>
          <w:p w:rsidR="00000000" w:rsidRDefault="00FF2C06">
            <w:pPr>
              <w:pStyle w:val="a3"/>
              <w:spacing w:before="0" w:beforeAutospacing="0" w:after="1" w:afterAutospacing="0"/>
              <w:jc w:val="both"/>
              <w:rPr>
                <w:sz w:val="20"/>
                <w:szCs w:val="20"/>
              </w:rPr>
            </w:pPr>
            <w:r>
              <w:rPr>
                <w:sz w:val="20"/>
                <w:szCs w:val="20"/>
              </w:rPr>
              <w:t>Net loss</w:t>
            </w:r>
          </w:p>
        </w:tc>
        <w:tc>
          <w:tcPr>
            <w:tcW w:w="14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6" w:type="pct"/>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(191,184)</w:t>
            </w:r>
          </w:p>
        </w:tc>
        <w:tc>
          <w:tcPr>
            <w:tcW w:w="14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6" w:type="pct"/>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(133,988)</w:t>
            </w:r>
          </w:p>
        </w:tc>
        <w:tc>
          <w:tcPr>
            <w:tcW w:w="10"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1571385587"/>
        </w:trPr>
        <w:tc>
          <w:tcPr>
            <w:tcW w:w="3415"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Adjustments to reconcile net loss to net cash used in operating activities:</w:t>
            </w:r>
          </w:p>
        </w:tc>
        <w:tc>
          <w:tcPr>
            <w:tcW w:w="14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55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w:t>
            </w:r>
          </w:p>
        </w:tc>
        <w:tc>
          <w:tcPr>
            <w:tcW w:w="14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55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w:t>
            </w:r>
          </w:p>
        </w:tc>
        <w:tc>
          <w:tcPr>
            <w:tcW w:w="10"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1571385587"/>
        </w:trPr>
        <w:tc>
          <w:tcPr>
            <w:tcW w:w="3415" w:type="pct"/>
            <w:tcMar>
              <w:top w:w="0" w:type="dxa"/>
              <w:left w:w="0" w:type="dxa"/>
              <w:bottom w:w="0" w:type="dxa"/>
              <w:right w:w="0" w:type="dxa"/>
            </w:tcMar>
            <w:vAlign w:val="bottom"/>
            <w:hideMark/>
          </w:tcPr>
          <w:p w:rsidR="00000000" w:rsidRDefault="00FF2C06">
            <w:pPr>
              <w:pStyle w:val="a3"/>
              <w:spacing w:before="0" w:beforeAutospacing="0" w:after="1" w:afterAutospacing="0"/>
              <w:ind w:left="120"/>
              <w:rPr>
                <w:sz w:val="20"/>
                <w:szCs w:val="20"/>
              </w:rPr>
            </w:pPr>
            <w:r>
              <w:rPr>
                <w:sz w:val="20"/>
                <w:szCs w:val="20"/>
              </w:rPr>
              <w:t>Stock-based compensation expense</w:t>
            </w:r>
          </w:p>
        </w:tc>
        <w:tc>
          <w:tcPr>
            <w:tcW w:w="14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6"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30,655</w:t>
            </w:r>
          </w:p>
        </w:tc>
        <w:tc>
          <w:tcPr>
            <w:tcW w:w="14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6"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18,870</w:t>
            </w:r>
          </w:p>
        </w:tc>
        <w:tc>
          <w:tcPr>
            <w:tcW w:w="10"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1571385587"/>
        </w:trPr>
        <w:tc>
          <w:tcPr>
            <w:tcW w:w="3415"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ind w:left="120"/>
              <w:rPr>
                <w:sz w:val="20"/>
                <w:szCs w:val="20"/>
              </w:rPr>
            </w:pPr>
            <w:r>
              <w:rPr>
                <w:sz w:val="20"/>
                <w:szCs w:val="20"/>
              </w:rPr>
              <w:t>Noncash lease expense</w:t>
            </w:r>
          </w:p>
        </w:tc>
        <w:tc>
          <w:tcPr>
            <w:tcW w:w="14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4,999</w:t>
            </w:r>
          </w:p>
        </w:tc>
        <w:tc>
          <w:tcPr>
            <w:tcW w:w="14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4,965</w:t>
            </w:r>
          </w:p>
        </w:tc>
        <w:tc>
          <w:tcPr>
            <w:tcW w:w="10"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1571385587"/>
        </w:trPr>
        <w:tc>
          <w:tcPr>
            <w:tcW w:w="3415" w:type="pct"/>
            <w:tcMar>
              <w:top w:w="0" w:type="dxa"/>
              <w:left w:w="0" w:type="dxa"/>
              <w:bottom w:w="0" w:type="dxa"/>
              <w:right w:w="0" w:type="dxa"/>
            </w:tcMar>
            <w:vAlign w:val="bottom"/>
            <w:hideMark/>
          </w:tcPr>
          <w:p w:rsidR="00000000" w:rsidRDefault="00FF2C06">
            <w:pPr>
              <w:pStyle w:val="a3"/>
              <w:spacing w:before="0" w:beforeAutospacing="0" w:after="1" w:afterAutospacing="0"/>
              <w:ind w:left="120"/>
              <w:rPr>
                <w:sz w:val="20"/>
                <w:szCs w:val="20"/>
              </w:rPr>
            </w:pPr>
            <w:r>
              <w:rPr>
                <w:sz w:val="20"/>
                <w:szCs w:val="20"/>
              </w:rPr>
              <w:t>Depreciation and amortization</w:t>
            </w:r>
          </w:p>
        </w:tc>
        <w:tc>
          <w:tcPr>
            <w:tcW w:w="14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6"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819</w:t>
            </w:r>
          </w:p>
        </w:tc>
        <w:tc>
          <w:tcPr>
            <w:tcW w:w="14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556"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875</w:t>
            </w:r>
          </w:p>
        </w:tc>
        <w:tc>
          <w:tcPr>
            <w:tcW w:w="10"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1571385587"/>
        </w:trPr>
        <w:tc>
          <w:tcPr>
            <w:tcW w:w="3415"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ind w:left="120"/>
              <w:rPr>
                <w:sz w:val="20"/>
                <w:szCs w:val="20"/>
              </w:rPr>
            </w:pPr>
            <w:r>
              <w:rPr>
                <w:sz w:val="20"/>
                <w:szCs w:val="20"/>
              </w:rPr>
              <w:t>Gain on settlement of dispute</w:t>
            </w:r>
          </w:p>
        </w:tc>
        <w:tc>
          <w:tcPr>
            <w:tcW w:w="14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w:t>
            </w:r>
          </w:p>
        </w:tc>
        <w:tc>
          <w:tcPr>
            <w:tcW w:w="14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55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(336)</w:t>
            </w:r>
          </w:p>
        </w:tc>
        <w:tc>
          <w:tcPr>
            <w:tcW w:w="10"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1571385587"/>
        </w:trPr>
        <w:tc>
          <w:tcPr>
            <w:tcW w:w="3415" w:type="pct"/>
            <w:tcMar>
              <w:top w:w="0" w:type="dxa"/>
              <w:left w:w="0" w:type="dxa"/>
              <w:bottom w:w="0" w:type="dxa"/>
              <w:right w:w="0" w:type="dxa"/>
            </w:tcMar>
            <w:vAlign w:val="bottom"/>
            <w:hideMark/>
          </w:tcPr>
          <w:p w:rsidR="00000000" w:rsidRDefault="00FF2C06">
            <w:pPr>
              <w:pStyle w:val="a3"/>
              <w:spacing w:before="0" w:beforeAutospacing="0" w:after="1" w:afterAutospacing="0"/>
              <w:ind w:left="120"/>
              <w:rPr>
                <w:sz w:val="20"/>
                <w:szCs w:val="20"/>
              </w:rPr>
            </w:pPr>
            <w:r>
              <w:rPr>
                <w:sz w:val="20"/>
                <w:szCs w:val="20"/>
              </w:rPr>
              <w:t>Accretion (Amortization) of discounts and premiums on investments</w:t>
            </w:r>
          </w:p>
        </w:tc>
        <w:tc>
          <w:tcPr>
            <w:tcW w:w="14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6"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359</w:t>
            </w:r>
          </w:p>
        </w:tc>
        <w:tc>
          <w:tcPr>
            <w:tcW w:w="14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6" w:type="pct"/>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(3,035)</w:t>
            </w:r>
          </w:p>
        </w:tc>
        <w:tc>
          <w:tcPr>
            <w:tcW w:w="10"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1571385587"/>
        </w:trPr>
        <w:tc>
          <w:tcPr>
            <w:tcW w:w="3415"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Changes in assets and liabilities:</w:t>
            </w:r>
          </w:p>
        </w:tc>
        <w:tc>
          <w:tcPr>
            <w:tcW w:w="14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14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10"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1571385587"/>
        </w:trPr>
        <w:tc>
          <w:tcPr>
            <w:tcW w:w="3415" w:type="pct"/>
            <w:tcMar>
              <w:top w:w="0" w:type="dxa"/>
              <w:left w:w="0" w:type="dxa"/>
              <w:bottom w:w="0" w:type="dxa"/>
              <w:right w:w="0" w:type="dxa"/>
            </w:tcMar>
            <w:vAlign w:val="bottom"/>
            <w:hideMark/>
          </w:tcPr>
          <w:p w:rsidR="00000000" w:rsidRDefault="00FF2C06">
            <w:pPr>
              <w:pStyle w:val="a3"/>
              <w:spacing w:before="0" w:beforeAutospacing="0" w:after="1" w:afterAutospacing="0"/>
              <w:ind w:left="120"/>
              <w:rPr>
                <w:sz w:val="20"/>
                <w:szCs w:val="20"/>
              </w:rPr>
            </w:pPr>
            <w:r>
              <w:rPr>
                <w:sz w:val="20"/>
                <w:szCs w:val="20"/>
              </w:rPr>
              <w:t>Prepaid expenses, other assets, and long-term assets</w:t>
            </w:r>
          </w:p>
        </w:tc>
        <w:tc>
          <w:tcPr>
            <w:tcW w:w="14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6"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66</w:t>
            </w:r>
          </w:p>
        </w:tc>
        <w:tc>
          <w:tcPr>
            <w:tcW w:w="14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556"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785</w:t>
            </w:r>
          </w:p>
        </w:tc>
        <w:tc>
          <w:tcPr>
            <w:tcW w:w="10"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1571385587"/>
        </w:trPr>
        <w:tc>
          <w:tcPr>
            <w:tcW w:w="3415"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ind w:left="120"/>
              <w:rPr>
                <w:sz w:val="20"/>
                <w:szCs w:val="20"/>
              </w:rPr>
            </w:pPr>
            <w:r>
              <w:rPr>
                <w:sz w:val="20"/>
                <w:szCs w:val="20"/>
              </w:rPr>
              <w:t>Operating lease liabilities (Right-of-use assets)</w:t>
            </w:r>
          </w:p>
        </w:tc>
        <w:tc>
          <w:tcPr>
            <w:tcW w:w="14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(5,579)</w:t>
            </w:r>
          </w:p>
        </w:tc>
        <w:tc>
          <w:tcPr>
            <w:tcW w:w="14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55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(4,314)</w:t>
            </w:r>
          </w:p>
        </w:tc>
        <w:tc>
          <w:tcPr>
            <w:tcW w:w="10"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1571385587"/>
        </w:trPr>
        <w:tc>
          <w:tcPr>
            <w:tcW w:w="3415" w:type="pct"/>
            <w:tcMar>
              <w:top w:w="0" w:type="dxa"/>
              <w:left w:w="0" w:type="dxa"/>
              <w:bottom w:w="0" w:type="dxa"/>
              <w:right w:w="0" w:type="dxa"/>
            </w:tcMar>
            <w:vAlign w:val="bottom"/>
            <w:hideMark/>
          </w:tcPr>
          <w:p w:rsidR="00000000" w:rsidRDefault="00FF2C06">
            <w:pPr>
              <w:pStyle w:val="a3"/>
              <w:spacing w:before="0" w:beforeAutospacing="0" w:after="1" w:afterAutospacing="0"/>
              <w:ind w:left="120"/>
              <w:rPr>
                <w:sz w:val="20"/>
                <w:szCs w:val="20"/>
              </w:rPr>
            </w:pPr>
            <w:r>
              <w:rPr>
                <w:sz w:val="20"/>
                <w:szCs w:val="20"/>
              </w:rPr>
              <w:t>Accounts payable</w:t>
            </w:r>
          </w:p>
        </w:tc>
        <w:tc>
          <w:tcPr>
            <w:tcW w:w="14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6"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9,168</w:t>
            </w:r>
          </w:p>
        </w:tc>
        <w:tc>
          <w:tcPr>
            <w:tcW w:w="14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556"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6,625</w:t>
            </w:r>
          </w:p>
        </w:tc>
        <w:tc>
          <w:tcPr>
            <w:tcW w:w="10"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1571385587"/>
        </w:trPr>
        <w:tc>
          <w:tcPr>
            <w:tcW w:w="3415"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ind w:left="120"/>
              <w:rPr>
                <w:sz w:val="20"/>
                <w:szCs w:val="20"/>
              </w:rPr>
            </w:pPr>
            <w:r>
              <w:rPr>
                <w:sz w:val="20"/>
                <w:szCs w:val="20"/>
              </w:rPr>
              <w:t>Accrued expenses and other liabilities</w:t>
            </w:r>
          </w:p>
        </w:tc>
        <w:tc>
          <w:tcPr>
            <w:tcW w:w="14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5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8,255</w:t>
            </w:r>
          </w:p>
        </w:tc>
        <w:tc>
          <w:tcPr>
            <w:tcW w:w="14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5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4,486</w:t>
            </w:r>
          </w:p>
        </w:tc>
        <w:tc>
          <w:tcPr>
            <w:tcW w:w="10"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1571385587"/>
        </w:trPr>
        <w:tc>
          <w:tcPr>
            <w:tcW w:w="3415"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Net cash used in operating activities</w:t>
            </w:r>
          </w:p>
        </w:tc>
        <w:tc>
          <w:tcPr>
            <w:tcW w:w="14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556"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(142,442)</w:t>
            </w:r>
          </w:p>
        </w:tc>
        <w:tc>
          <w:tcPr>
            <w:tcW w:w="14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556"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(105,067)</w:t>
            </w:r>
          </w:p>
        </w:tc>
        <w:tc>
          <w:tcPr>
            <w:tcW w:w="10"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1571385587"/>
        </w:trPr>
        <w:tc>
          <w:tcPr>
            <w:tcW w:w="3415"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14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14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10"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1571385587"/>
        </w:trPr>
        <w:tc>
          <w:tcPr>
            <w:tcW w:w="3415"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20"/>
                <w:szCs w:val="20"/>
              </w:rPr>
              <w:t>Cash Flows from Investing Activities</w:t>
            </w:r>
          </w:p>
        </w:tc>
        <w:tc>
          <w:tcPr>
            <w:tcW w:w="14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6"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14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6"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10"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1571385587"/>
        </w:trPr>
        <w:tc>
          <w:tcPr>
            <w:tcW w:w="3415"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ind w:left="120"/>
              <w:rPr>
                <w:sz w:val="20"/>
                <w:szCs w:val="20"/>
              </w:rPr>
            </w:pPr>
            <w:r>
              <w:rPr>
                <w:sz w:val="20"/>
                <w:szCs w:val="20"/>
              </w:rPr>
              <w:t>Maturities of short-term investments</w:t>
            </w:r>
          </w:p>
        </w:tc>
        <w:tc>
          <w:tcPr>
            <w:tcW w:w="14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55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358,493</w:t>
            </w:r>
          </w:p>
        </w:tc>
        <w:tc>
          <w:tcPr>
            <w:tcW w:w="14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55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420,580</w:t>
            </w:r>
          </w:p>
        </w:tc>
        <w:tc>
          <w:tcPr>
            <w:tcW w:w="10"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1571385587"/>
        </w:trPr>
        <w:tc>
          <w:tcPr>
            <w:tcW w:w="3415" w:type="pct"/>
            <w:tcMar>
              <w:top w:w="0" w:type="dxa"/>
              <w:left w:w="0" w:type="dxa"/>
              <w:bottom w:w="0" w:type="dxa"/>
              <w:right w:w="0" w:type="dxa"/>
            </w:tcMar>
            <w:vAlign w:val="bottom"/>
            <w:hideMark/>
          </w:tcPr>
          <w:p w:rsidR="00000000" w:rsidRDefault="00FF2C06">
            <w:pPr>
              <w:pStyle w:val="a3"/>
              <w:spacing w:before="0" w:beforeAutospacing="0" w:after="1" w:afterAutospacing="0"/>
              <w:ind w:left="120"/>
              <w:rPr>
                <w:sz w:val="20"/>
                <w:szCs w:val="20"/>
              </w:rPr>
            </w:pPr>
            <w:r>
              <w:rPr>
                <w:sz w:val="20"/>
                <w:szCs w:val="20"/>
              </w:rPr>
              <w:t>Purchase of short-term investments</w:t>
            </w:r>
          </w:p>
        </w:tc>
        <w:tc>
          <w:tcPr>
            <w:tcW w:w="14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556" w:type="pct"/>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(711,643)</w:t>
            </w:r>
          </w:p>
        </w:tc>
        <w:tc>
          <w:tcPr>
            <w:tcW w:w="14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556" w:type="pct"/>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(353,878)</w:t>
            </w:r>
          </w:p>
        </w:tc>
        <w:tc>
          <w:tcPr>
            <w:tcW w:w="10"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1571385587"/>
        </w:trPr>
        <w:tc>
          <w:tcPr>
            <w:tcW w:w="3415"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ind w:left="120"/>
              <w:rPr>
                <w:sz w:val="20"/>
                <w:szCs w:val="20"/>
              </w:rPr>
            </w:pPr>
            <w:r>
              <w:rPr>
                <w:sz w:val="20"/>
                <w:szCs w:val="20"/>
              </w:rPr>
              <w:t>Purchase of property and equipment</w:t>
            </w:r>
          </w:p>
        </w:tc>
        <w:tc>
          <w:tcPr>
            <w:tcW w:w="14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5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(23,456)</w:t>
            </w:r>
          </w:p>
        </w:tc>
        <w:tc>
          <w:tcPr>
            <w:tcW w:w="14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5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(3,491)</w:t>
            </w:r>
          </w:p>
        </w:tc>
        <w:tc>
          <w:tcPr>
            <w:tcW w:w="10"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1571385587"/>
        </w:trPr>
        <w:tc>
          <w:tcPr>
            <w:tcW w:w="3415"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xml:space="preserve">Net cash </w:t>
            </w:r>
            <w:r>
              <w:rPr>
                <w:sz w:val="20"/>
                <w:szCs w:val="20"/>
              </w:rPr>
              <w:t>(used in) provided by investing activitie</w:t>
            </w:r>
            <w:r>
              <w:rPr>
                <w:sz w:val="20"/>
                <w:szCs w:val="20"/>
              </w:rPr>
              <w:t>s</w:t>
            </w:r>
          </w:p>
        </w:tc>
        <w:tc>
          <w:tcPr>
            <w:tcW w:w="14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556"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(376,606)</w:t>
            </w:r>
          </w:p>
        </w:tc>
        <w:tc>
          <w:tcPr>
            <w:tcW w:w="14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556"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63,211</w:t>
            </w:r>
          </w:p>
        </w:tc>
        <w:tc>
          <w:tcPr>
            <w:tcW w:w="10"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1571385587"/>
        </w:trPr>
        <w:tc>
          <w:tcPr>
            <w:tcW w:w="3415"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14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14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10"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1571385587"/>
        </w:trPr>
        <w:tc>
          <w:tcPr>
            <w:tcW w:w="3415"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20"/>
                <w:szCs w:val="20"/>
              </w:rPr>
              <w:t>Cash Flows from Financing Activities</w:t>
            </w:r>
          </w:p>
        </w:tc>
        <w:tc>
          <w:tcPr>
            <w:tcW w:w="14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6"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14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6"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10"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1571385587"/>
        </w:trPr>
        <w:tc>
          <w:tcPr>
            <w:tcW w:w="3415"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ind w:left="120"/>
              <w:rPr>
                <w:sz w:val="20"/>
                <w:szCs w:val="20"/>
              </w:rPr>
            </w:pPr>
            <w:r>
              <w:rPr>
                <w:sz w:val="20"/>
                <w:szCs w:val="20"/>
              </w:rPr>
              <w:t>Tax payments related to shares withheld for vested restricted stock awards</w:t>
            </w:r>
          </w:p>
        </w:tc>
        <w:tc>
          <w:tcPr>
            <w:tcW w:w="14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55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(283)</w:t>
            </w:r>
          </w:p>
        </w:tc>
        <w:tc>
          <w:tcPr>
            <w:tcW w:w="14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55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(193)</w:t>
            </w:r>
          </w:p>
        </w:tc>
        <w:tc>
          <w:tcPr>
            <w:tcW w:w="10"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1571385587"/>
        </w:trPr>
        <w:tc>
          <w:tcPr>
            <w:tcW w:w="3415" w:type="pct"/>
            <w:tcMar>
              <w:top w:w="0" w:type="dxa"/>
              <w:left w:w="0" w:type="dxa"/>
              <w:bottom w:w="0" w:type="dxa"/>
              <w:right w:w="0" w:type="dxa"/>
            </w:tcMar>
            <w:vAlign w:val="bottom"/>
            <w:hideMark/>
          </w:tcPr>
          <w:p w:rsidR="00000000" w:rsidRDefault="00FF2C06">
            <w:pPr>
              <w:pStyle w:val="a3"/>
              <w:spacing w:before="0" w:beforeAutospacing="0" w:after="1" w:afterAutospacing="0"/>
              <w:ind w:left="120"/>
              <w:rPr>
                <w:sz w:val="20"/>
                <w:szCs w:val="20"/>
              </w:rPr>
            </w:pPr>
            <w:r>
              <w:rPr>
                <w:sz w:val="20"/>
                <w:szCs w:val="20"/>
              </w:rPr>
              <w:t>Proceeds from the issuance of common stock upon exercise of options</w:t>
            </w:r>
          </w:p>
        </w:tc>
        <w:tc>
          <w:tcPr>
            <w:tcW w:w="14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6"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6,704</w:t>
            </w:r>
          </w:p>
        </w:tc>
        <w:tc>
          <w:tcPr>
            <w:tcW w:w="14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6"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4,236</w:t>
            </w:r>
          </w:p>
        </w:tc>
        <w:tc>
          <w:tcPr>
            <w:tcW w:w="10"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1571385587"/>
        </w:trPr>
        <w:tc>
          <w:tcPr>
            <w:tcW w:w="3415"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ind w:left="120"/>
              <w:rPr>
                <w:sz w:val="20"/>
                <w:szCs w:val="20"/>
              </w:rPr>
            </w:pPr>
            <w:r>
              <w:rPr>
                <w:sz w:val="20"/>
                <w:szCs w:val="20"/>
              </w:rPr>
              <w:t>Proceeds from the issuance of common stock, net</w:t>
            </w:r>
          </w:p>
        </w:tc>
        <w:tc>
          <w:tcPr>
            <w:tcW w:w="14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567,043</w:t>
            </w:r>
          </w:p>
        </w:tc>
        <w:tc>
          <w:tcPr>
            <w:tcW w:w="14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w:t>
            </w:r>
          </w:p>
        </w:tc>
        <w:tc>
          <w:tcPr>
            <w:tcW w:w="10"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1571385587"/>
        </w:trPr>
        <w:tc>
          <w:tcPr>
            <w:tcW w:w="3415"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Net cash provided by financing activities</w:t>
            </w:r>
          </w:p>
        </w:tc>
        <w:tc>
          <w:tcPr>
            <w:tcW w:w="14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556"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573,464</w:t>
            </w:r>
          </w:p>
        </w:tc>
        <w:tc>
          <w:tcPr>
            <w:tcW w:w="14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556"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4,043</w:t>
            </w:r>
          </w:p>
        </w:tc>
        <w:tc>
          <w:tcPr>
            <w:tcW w:w="10"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1571385587"/>
        </w:trPr>
        <w:tc>
          <w:tcPr>
            <w:tcW w:w="3415"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20"/>
                <w:szCs w:val="20"/>
              </w:rPr>
              <w:t>Net increase (decrease) in cash, cash equivalents, and restricted cash</w:t>
            </w:r>
          </w:p>
        </w:tc>
        <w:tc>
          <w:tcPr>
            <w:tcW w:w="14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55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54,416</w:t>
            </w:r>
          </w:p>
        </w:tc>
        <w:tc>
          <w:tcPr>
            <w:tcW w:w="14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55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(37,813)</w:t>
            </w:r>
          </w:p>
        </w:tc>
        <w:tc>
          <w:tcPr>
            <w:tcW w:w="10"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1571385587"/>
        </w:trPr>
        <w:tc>
          <w:tcPr>
            <w:tcW w:w="3415"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20"/>
                <w:szCs w:val="20"/>
              </w:rPr>
              <w:t>Cash, Cash Equivalents, and Restricted Cash Beginning of Period</w:t>
            </w:r>
          </w:p>
        </w:tc>
        <w:tc>
          <w:tcPr>
            <w:tcW w:w="14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556"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19,419</w:t>
            </w:r>
          </w:p>
        </w:tc>
        <w:tc>
          <w:tcPr>
            <w:tcW w:w="14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556"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82,152</w:t>
            </w:r>
          </w:p>
        </w:tc>
        <w:tc>
          <w:tcPr>
            <w:tcW w:w="10"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1571385587"/>
        </w:trPr>
        <w:tc>
          <w:tcPr>
            <w:tcW w:w="3415"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20"/>
                <w:szCs w:val="20"/>
              </w:rPr>
              <w:t>Cash, Cash Equivalents, and Restricted Cash End of Period</w:t>
            </w:r>
          </w:p>
        </w:tc>
        <w:tc>
          <w:tcPr>
            <w:tcW w:w="14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73,835</w:t>
            </w:r>
          </w:p>
        </w:tc>
        <w:tc>
          <w:tcPr>
            <w:tcW w:w="14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44,339</w:t>
            </w:r>
          </w:p>
        </w:tc>
        <w:tc>
          <w:tcPr>
            <w:tcW w:w="10"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1571385587"/>
        </w:trPr>
        <w:tc>
          <w:tcPr>
            <w:tcW w:w="3415"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14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6"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14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6"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10"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1571385587"/>
        </w:trPr>
        <w:tc>
          <w:tcPr>
            <w:tcW w:w="3415"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20"/>
                <w:szCs w:val="20"/>
              </w:rPr>
              <w:t>Supplemental disclosure of non-cash investing and financing activities:</w:t>
            </w:r>
          </w:p>
        </w:tc>
        <w:tc>
          <w:tcPr>
            <w:tcW w:w="14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14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10"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1571385587"/>
        </w:trPr>
        <w:tc>
          <w:tcPr>
            <w:tcW w:w="3415" w:type="pct"/>
            <w:tcMar>
              <w:top w:w="0" w:type="dxa"/>
              <w:left w:w="0" w:type="dxa"/>
              <w:bottom w:w="0" w:type="dxa"/>
              <w:right w:w="0" w:type="dxa"/>
            </w:tcMar>
            <w:vAlign w:val="bottom"/>
            <w:hideMark/>
          </w:tcPr>
          <w:p w:rsidR="00000000" w:rsidRDefault="00FF2C06">
            <w:pPr>
              <w:pStyle w:val="a3"/>
              <w:spacing w:before="0" w:beforeAutospacing="0" w:after="1" w:afterAutospacing="0"/>
              <w:ind w:left="120"/>
              <w:rPr>
                <w:sz w:val="20"/>
                <w:szCs w:val="20"/>
              </w:rPr>
            </w:pPr>
            <w:r>
              <w:rPr>
                <w:sz w:val="20"/>
                <w:szCs w:val="20"/>
              </w:rPr>
              <w:t>Unrealized (loss) / gain on short-term investments</w:t>
            </w:r>
          </w:p>
        </w:tc>
        <w:tc>
          <w:tcPr>
            <w:tcW w:w="14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6" w:type="pct"/>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(65)</w:t>
            </w:r>
          </w:p>
        </w:tc>
        <w:tc>
          <w:tcPr>
            <w:tcW w:w="14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6"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281</w:t>
            </w:r>
          </w:p>
        </w:tc>
        <w:tc>
          <w:tcPr>
            <w:tcW w:w="10"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1571385587"/>
        </w:trPr>
        <w:tc>
          <w:tcPr>
            <w:tcW w:w="3415"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ind w:left="120"/>
              <w:rPr>
                <w:sz w:val="20"/>
                <w:szCs w:val="20"/>
              </w:rPr>
            </w:pPr>
            <w:r>
              <w:rPr>
                <w:sz w:val="20"/>
                <w:szCs w:val="20"/>
              </w:rPr>
              <w:t>Acquisitions of property and equipment included in accounts payable and accrued expense</w:t>
            </w:r>
          </w:p>
        </w:tc>
        <w:tc>
          <w:tcPr>
            <w:tcW w:w="14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55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(8,061)</w:t>
            </w:r>
          </w:p>
        </w:tc>
        <w:tc>
          <w:tcPr>
            <w:tcW w:w="14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55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(557)</w:t>
            </w:r>
          </w:p>
        </w:tc>
        <w:tc>
          <w:tcPr>
            <w:tcW w:w="10"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1571385587"/>
        </w:trPr>
        <w:tc>
          <w:tcPr>
            <w:tcW w:w="3415" w:type="pct"/>
            <w:tcMar>
              <w:top w:w="0" w:type="dxa"/>
              <w:left w:w="0" w:type="dxa"/>
              <w:bottom w:w="0" w:type="dxa"/>
              <w:right w:w="0" w:type="dxa"/>
            </w:tcMar>
            <w:vAlign w:val="bottom"/>
            <w:hideMark/>
          </w:tcPr>
          <w:p w:rsidR="00000000" w:rsidRDefault="00FF2C06">
            <w:pPr>
              <w:pStyle w:val="a3"/>
              <w:spacing w:before="0" w:beforeAutospacing="0" w:after="1" w:afterAutospacing="0"/>
              <w:ind w:left="120"/>
              <w:rPr>
                <w:sz w:val="20"/>
                <w:szCs w:val="20"/>
              </w:rPr>
            </w:pPr>
            <w:r>
              <w:rPr>
                <w:sz w:val="20"/>
                <w:szCs w:val="20"/>
              </w:rPr>
              <w:t>Conversion of convertible preferred stock to common stock</w:t>
            </w:r>
          </w:p>
        </w:tc>
        <w:tc>
          <w:tcPr>
            <w:tcW w:w="14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6"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w:t>
            </w:r>
          </w:p>
        </w:tc>
        <w:tc>
          <w:tcPr>
            <w:tcW w:w="14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6"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2</w:t>
            </w:r>
          </w:p>
        </w:tc>
        <w:tc>
          <w:tcPr>
            <w:tcW w:w="10"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bl>
    <w:p w:rsidR="00000000" w:rsidRDefault="00FF2C06">
      <w:pPr>
        <w:pStyle w:val="a3"/>
        <w:spacing w:before="0" w:beforeAutospacing="0" w:after="0" w:afterAutospacing="0"/>
        <w:divId w:val="1571385587"/>
        <w:rPr>
          <w:sz w:val="20"/>
          <w:szCs w:val="20"/>
        </w:rPr>
      </w:pPr>
      <w:r>
        <w:rPr>
          <w:sz w:val="20"/>
          <w:szCs w:val="20"/>
        </w:rPr>
        <w:t>​</w:t>
      </w:r>
    </w:p>
    <w:p w:rsidR="00000000" w:rsidRDefault="00FF2C06">
      <w:pPr>
        <w:pStyle w:val="a3"/>
        <w:spacing w:before="0" w:beforeAutospacing="0" w:after="200" w:afterAutospacing="0"/>
        <w:ind w:firstLine="547"/>
        <w:jc w:val="center"/>
        <w:divId w:val="1571385587"/>
        <w:rPr>
          <w:sz w:val="20"/>
          <w:szCs w:val="20"/>
        </w:rPr>
      </w:pPr>
      <w:r>
        <w:rPr>
          <w:sz w:val="20"/>
          <w:szCs w:val="20"/>
        </w:rPr>
        <w:t>The accompanying notes are an integral part of these condensed consolidated financial statements.</w:t>
      </w:r>
    </w:p>
    <w:p w:rsidR="00000000" w:rsidRDefault="00FF2C06">
      <w:pPr>
        <w:pStyle w:val="a3"/>
        <w:spacing w:before="0" w:beforeAutospacing="0" w:after="0" w:afterAutospacing="0"/>
        <w:divId w:val="1571385587"/>
        <w:rPr>
          <w:sz w:val="20"/>
          <w:szCs w:val="20"/>
        </w:rPr>
      </w:pPr>
      <w:r>
        <w:rPr>
          <w:sz w:val="20"/>
          <w:szCs w:val="20"/>
        </w:rPr>
        <w:t>​</w:t>
      </w:r>
    </w:p>
    <w:p w:rsidR="00000000" w:rsidRDefault="00FF2C06">
      <w:pPr>
        <w:pStyle w:val="a3"/>
        <w:spacing w:before="480" w:beforeAutospacing="0" w:after="0" w:afterAutospacing="0"/>
        <w:jc w:val="center"/>
        <w:divId w:val="1245989940"/>
        <w:rPr>
          <w:sz w:val="20"/>
          <w:szCs w:val="20"/>
        </w:rPr>
      </w:pPr>
      <w:r>
        <w:rPr>
          <w:sz w:val="20"/>
          <w:szCs w:val="20"/>
        </w:rPr>
        <w:t>7</w:t>
      </w:r>
    </w:p>
    <w:p w:rsidR="00000000" w:rsidRDefault="00FF2C06">
      <w:pPr>
        <w:pStyle w:val="a3"/>
        <w:spacing w:before="0" w:beforeAutospacing="0" w:after="600" w:afterAutospacing="0"/>
        <w:divId w:val="230771739"/>
        <w:rPr>
          <w:sz w:val="20"/>
          <w:szCs w:val="20"/>
        </w:rPr>
      </w:pPr>
      <w:hyperlink w:anchor="TOC" w:history="1">
        <w:r>
          <w:rPr>
            <w:rStyle w:val="a4"/>
            <w:sz w:val="20"/>
            <w:szCs w:val="20"/>
          </w:rPr>
          <w:t>Table of Contents</w:t>
        </w:r>
      </w:hyperlink>
    </w:p>
    <w:p w:rsidR="00000000" w:rsidRDefault="00FF2C06">
      <w:pPr>
        <w:pStyle w:val="a3"/>
        <w:spacing w:before="0" w:beforeAutospacing="0" w:after="0" w:afterAutospacing="0"/>
        <w:jc w:val="center"/>
        <w:divId w:val="1155997184"/>
        <w:rPr>
          <w:b/>
          <w:bCs/>
          <w:sz w:val="20"/>
          <w:szCs w:val="20"/>
        </w:rPr>
      </w:pPr>
      <w:r>
        <w:rPr>
          <w:b/>
          <w:bCs/>
          <w:sz w:val="20"/>
          <w:szCs w:val="20"/>
        </w:rPr>
        <w:t>IOVANCE BIOTHERAPEUTICS, INC.</w:t>
      </w:r>
    </w:p>
    <w:p w:rsidR="00000000" w:rsidRDefault="00FF2C06">
      <w:pPr>
        <w:pStyle w:val="a3"/>
        <w:spacing w:before="0" w:beforeAutospacing="0" w:after="0" w:afterAutospacing="0"/>
        <w:jc w:val="center"/>
        <w:divId w:val="1155997184"/>
        <w:rPr>
          <w:b/>
          <w:bCs/>
          <w:sz w:val="20"/>
          <w:szCs w:val="20"/>
        </w:rPr>
      </w:pPr>
      <w:r>
        <w:rPr>
          <w:b/>
          <w:bCs/>
          <w:sz w:val="20"/>
          <w:szCs w:val="20"/>
        </w:rPr>
        <w:t>NOTES </w:t>
      </w:r>
      <w:r>
        <w:rPr>
          <w:b/>
          <w:bCs/>
          <w:sz w:val="20"/>
          <w:szCs w:val="20"/>
        </w:rPr>
        <w:t>TO THE CONDENSED CONSOLIDATED FINANCIAL STATEMENTS</w:t>
      </w:r>
    </w:p>
    <w:p w:rsidR="00000000" w:rsidRDefault="00FF2C06">
      <w:pPr>
        <w:pStyle w:val="a3"/>
        <w:spacing w:before="0" w:beforeAutospacing="0" w:after="200" w:afterAutospacing="0"/>
        <w:jc w:val="center"/>
        <w:divId w:val="1155997184"/>
        <w:rPr>
          <w:sz w:val="20"/>
          <w:szCs w:val="20"/>
        </w:rPr>
      </w:pPr>
      <w:r>
        <w:rPr>
          <w:b/>
          <w:bCs/>
          <w:sz w:val="20"/>
          <w:szCs w:val="20"/>
        </w:rPr>
        <w:t>(unaudited)</w:t>
      </w:r>
    </w:p>
    <w:p w:rsidR="00000000" w:rsidRDefault="00FF2C06">
      <w:pPr>
        <w:pStyle w:val="a3"/>
        <w:spacing w:before="0" w:beforeAutospacing="0" w:after="200" w:afterAutospacing="0"/>
        <w:divId w:val="1155997184"/>
        <w:rPr>
          <w:b/>
          <w:bCs/>
          <w:sz w:val="20"/>
          <w:szCs w:val="20"/>
        </w:rPr>
      </w:pPr>
      <w:r>
        <w:rPr>
          <w:b/>
          <w:bCs/>
          <w:sz w:val="20"/>
          <w:szCs w:val="20"/>
          <w:u w:val="single"/>
        </w:rPr>
        <w:t>NOTE 1. GENERAL ORGANIZATION AND BUSINESS</w:t>
      </w:r>
    </w:p>
    <w:p w:rsidR="00000000" w:rsidRDefault="00FF2C06">
      <w:pPr>
        <w:pStyle w:val="a3"/>
        <w:spacing w:before="0" w:beforeAutospacing="0" w:after="240" w:afterAutospacing="0"/>
        <w:ind w:firstLine="547"/>
        <w:divId w:val="1155997184"/>
        <w:rPr>
          <w:sz w:val="20"/>
          <w:szCs w:val="20"/>
        </w:rPr>
      </w:pPr>
      <w:r>
        <w:rPr>
          <w:sz w:val="20"/>
          <w:szCs w:val="20"/>
        </w:rPr>
        <w:t>Iovance Biotherapeutics, Inc. (the “Company”, “we”, “us” or “our”</w:t>
      </w:r>
      <w:r>
        <w:rPr>
          <w:sz w:val="20"/>
          <w:szCs w:val="20"/>
        </w:rPr>
        <w:t>) is a clinical-stage biopharmaceutical company focused on the development and commercialization of cell therapies as novel cancer immunotherapy products designed to harness the power of a patient’s own immune system to eradicate cancer cells. Tumor infilt</w:t>
      </w:r>
      <w:r>
        <w:rPr>
          <w:sz w:val="20"/>
          <w:szCs w:val="20"/>
        </w:rPr>
        <w:t>rating lymphocyte (“TIL”) therapy is an autologous cell therapy platform technology that was originally developed by the National Cancer Institute (“NCI”), which conducted initial clinical trials in diseases such as metastatic melanoma and cervical cancer.</w:t>
      </w:r>
      <w:r>
        <w:rPr>
          <w:sz w:val="20"/>
          <w:szCs w:val="20"/>
        </w:rPr>
        <w:t xml:space="preserve"> The Company has developed a new, shorter manufacturing process for TIL therapy known as Generation 2 (“Gen 2”), which yields a cryopreserved TIL product. This proprietary and scalable manufacturing method is being further investigated in multiple indicati</w:t>
      </w:r>
      <w:r>
        <w:rPr>
          <w:sz w:val="20"/>
          <w:szCs w:val="20"/>
        </w:rPr>
        <w:t>ons. The Company’s lead product candidates include lifileucel for metastatic melanoma and metastatic cervical cancer. Lifileucel for metastatic cervical cancer was formerly known as LN-145. In addition to metastatic melanoma and metastatic cervical cancer,</w:t>
      </w:r>
      <w:r>
        <w:rPr>
          <w:sz w:val="20"/>
          <w:szCs w:val="20"/>
        </w:rPr>
        <w:t xml:space="preserve"> the Company is investigating the effectiveness and safety of TIL therapy and peripheral blood lymphocyte therapy for the treatment of squamous cell carcinoma of the head and neck, non-small cell lung cancer, and chronic lymphocytic leukemia through its sp</w:t>
      </w:r>
      <w:r>
        <w:rPr>
          <w:sz w:val="20"/>
          <w:szCs w:val="20"/>
        </w:rPr>
        <w:t>onsored trials, as well as in other oncology indications through collaborations. On June 1, 2017, the Company reincorporated from a Nevada corporation to a Delaware corporation.</w:t>
      </w:r>
    </w:p>
    <w:p w:rsidR="00000000" w:rsidRDefault="00FF2C06">
      <w:pPr>
        <w:pStyle w:val="a3"/>
        <w:spacing w:before="0" w:beforeAutospacing="0" w:after="200" w:afterAutospacing="0"/>
        <w:divId w:val="1155997184"/>
        <w:rPr>
          <w:b/>
          <w:bCs/>
          <w:i/>
          <w:iCs/>
          <w:sz w:val="20"/>
          <w:szCs w:val="20"/>
        </w:rPr>
      </w:pPr>
      <w:r>
        <w:rPr>
          <w:b/>
          <w:bCs/>
          <w:i/>
          <w:iCs/>
          <w:sz w:val="20"/>
          <w:szCs w:val="20"/>
        </w:rPr>
        <w:t>Basis of Presentation of Unaudited Condensed Consolidated Financial Informatio</w:t>
      </w:r>
      <w:r>
        <w:rPr>
          <w:b/>
          <w:bCs/>
          <w:i/>
          <w:iCs/>
          <w:sz w:val="20"/>
          <w:szCs w:val="20"/>
        </w:rPr>
        <w:t>n</w:t>
      </w:r>
    </w:p>
    <w:p w:rsidR="00000000" w:rsidRDefault="00FF2C06">
      <w:pPr>
        <w:pStyle w:val="a3"/>
        <w:spacing w:before="0" w:beforeAutospacing="0" w:after="240" w:afterAutospacing="0"/>
        <w:ind w:firstLine="547"/>
        <w:divId w:val="1155997184"/>
        <w:rPr>
          <w:sz w:val="20"/>
          <w:szCs w:val="20"/>
        </w:rPr>
      </w:pPr>
      <w:r>
        <w:rPr>
          <w:sz w:val="20"/>
          <w:szCs w:val="20"/>
        </w:rPr>
        <w:t>The unaudited condensed consolidated financial statements of the Company for the three and nine months ended September 30, 2020 and 2019 have been prepared in accordance with accounting principles generally accepted in the United States of America (“GAAP</w:t>
      </w:r>
      <w:r>
        <w:rPr>
          <w:sz w:val="20"/>
          <w:szCs w:val="20"/>
        </w:rPr>
        <w:t>”) for interim financial information and pursuant to the requirements for reporting on Form 10-Q and Regulation S-X. Accordingly, they do not include all the information and footnotes required by GAAP for audited financial statements. However, such informa</w:t>
      </w:r>
      <w:r>
        <w:rPr>
          <w:sz w:val="20"/>
          <w:szCs w:val="20"/>
        </w:rPr>
        <w:t>tion reflects all adjustments (consisting solely of normal recurring adjustments), which are, in the opinion of management, necessary for the fair presentation of the Company's financial position and results of operations. Results shown for interim periods</w:t>
      </w:r>
      <w:r>
        <w:rPr>
          <w:sz w:val="20"/>
          <w:szCs w:val="20"/>
        </w:rPr>
        <w:t xml:space="preserve"> are not necessarily indicative of the results to be obtained for a full fiscal year. The balance sheet information as of December 31, 2019, was derived from the audited financial statements included in the Company's Annual Report on Form 10-K filed with t</w:t>
      </w:r>
      <w:r>
        <w:rPr>
          <w:sz w:val="20"/>
          <w:szCs w:val="20"/>
        </w:rPr>
        <w:t>he Securities and Exchange Commission (the “SEC”) on February 25, 2020. These interim financial statements should be read in conjunction with that report.</w:t>
      </w:r>
    </w:p>
    <w:p w:rsidR="00000000" w:rsidRDefault="00FF2C06">
      <w:pPr>
        <w:pStyle w:val="a3"/>
        <w:spacing w:before="0" w:beforeAutospacing="0" w:after="200" w:afterAutospacing="0"/>
        <w:divId w:val="1155997184"/>
        <w:rPr>
          <w:b/>
          <w:bCs/>
          <w:i/>
          <w:iCs/>
          <w:sz w:val="20"/>
          <w:szCs w:val="20"/>
        </w:rPr>
      </w:pPr>
      <w:r>
        <w:rPr>
          <w:b/>
          <w:bCs/>
          <w:i/>
          <w:iCs/>
          <w:sz w:val="20"/>
          <w:szCs w:val="20"/>
        </w:rPr>
        <w:t>Liquidity</w:t>
      </w:r>
    </w:p>
    <w:p w:rsidR="00000000" w:rsidRDefault="00FF2C06">
      <w:pPr>
        <w:pStyle w:val="a3"/>
        <w:spacing w:before="0" w:beforeAutospacing="0" w:after="240" w:afterAutospacing="0"/>
        <w:ind w:firstLine="547"/>
        <w:divId w:val="1155997184"/>
        <w:rPr>
          <w:sz w:val="20"/>
          <w:szCs w:val="20"/>
        </w:rPr>
      </w:pPr>
      <w:r>
        <w:rPr>
          <w:sz w:val="20"/>
          <w:szCs w:val="20"/>
        </w:rPr>
        <w:t>The Company is currently developing therapeutics for the treatment of cancer, including sol</w:t>
      </w:r>
      <w:r>
        <w:rPr>
          <w:sz w:val="20"/>
          <w:szCs w:val="20"/>
        </w:rPr>
        <w:t>id tumors and hematological malignancies. The Company currently does not have any commercial products and has not yet generated any revenues from its business. The Company currently does not anticipate that it will generate any significant revenues from th</w:t>
      </w:r>
      <w:r>
        <w:rPr>
          <w:sz w:val="20"/>
          <w:szCs w:val="20"/>
        </w:rPr>
        <w:t>e sale or licensing of any of its product candidates during the 12 months from the date these financial statements are issued. The Company has incurred a net loss of $191.2 million for the nine months ended September 30, 2020 and used $142.4 million of cas</w:t>
      </w:r>
      <w:r>
        <w:rPr>
          <w:sz w:val="20"/>
          <w:szCs w:val="20"/>
        </w:rPr>
        <w:t>h in its operating activities during the nine months ended September 30, 2020. In June 2020, the Company received net proceeds of $567.0 million from the June 2020 Public Offering (as discussed in Note 5). As of September 30, 2020, the Company had $719.7 m</w:t>
      </w:r>
      <w:r>
        <w:rPr>
          <w:sz w:val="20"/>
          <w:szCs w:val="20"/>
        </w:rPr>
        <w:t>illion in cash, cash equivalents, short-term investments, and restricted cash ($68.3 million of cash and cash equivalents, $645.8 million in short-term investments and $5.5 million in restricted cash).</w:t>
      </w:r>
    </w:p>
    <w:p w:rsidR="00000000" w:rsidRDefault="00FF2C06">
      <w:pPr>
        <w:pStyle w:val="a3"/>
        <w:spacing w:before="0" w:beforeAutospacing="0" w:after="240" w:afterAutospacing="0"/>
        <w:ind w:firstLine="547"/>
        <w:divId w:val="1155997184"/>
        <w:rPr>
          <w:b/>
          <w:bCs/>
          <w:i/>
          <w:iCs/>
          <w:sz w:val="20"/>
          <w:szCs w:val="20"/>
        </w:rPr>
      </w:pPr>
      <w:r>
        <w:rPr>
          <w:sz w:val="20"/>
          <w:szCs w:val="20"/>
        </w:rPr>
        <w:t>The Company expects to continue its research and devel</w:t>
      </w:r>
      <w:r>
        <w:rPr>
          <w:sz w:val="20"/>
          <w:szCs w:val="20"/>
        </w:rPr>
        <w:t>opment activities, increase pre-commercial activities and continue the construction of the tenant improvements for its new manufacturing facility, which will increase the amount of cash used during 2020 and beyond. Specifically, the Company expects continu</w:t>
      </w:r>
      <w:r>
        <w:rPr>
          <w:sz w:val="20"/>
          <w:szCs w:val="20"/>
        </w:rPr>
        <w:t>ed spending on its current and planned clinical trials, continued expansion of manufacturing activities, including construction of a manufacturing facility, higher payroll expenses as the Company increases its professional and scientific staff and continua</w:t>
      </w:r>
      <w:r>
        <w:rPr>
          <w:sz w:val="20"/>
          <w:szCs w:val="20"/>
        </w:rPr>
        <w:t>tion of pre-commercial activities. Based on the funds the Company has available as of the date these financial statements are issued, the Company believes that it has sufficient capital to fund its anticipated operating expenses and capital expenditures as</w:t>
      </w:r>
      <w:r>
        <w:rPr>
          <w:sz w:val="20"/>
          <w:szCs w:val="20"/>
        </w:rPr>
        <w:t xml:space="preserve"> planned for at least the next twelve months from the date these financial statements are issued.</w:t>
      </w:r>
    </w:p>
    <w:p w:rsidR="00000000" w:rsidRDefault="00FF2C06">
      <w:pPr>
        <w:pStyle w:val="a3"/>
        <w:spacing w:before="0" w:beforeAutospacing="0" w:after="200" w:afterAutospacing="0"/>
        <w:divId w:val="1155997184"/>
        <w:rPr>
          <w:sz w:val="20"/>
          <w:szCs w:val="20"/>
        </w:rPr>
      </w:pPr>
      <w:r>
        <w:rPr>
          <w:b/>
          <w:bCs/>
          <w:i/>
          <w:iCs/>
          <w:sz w:val="20"/>
          <w:szCs w:val="20"/>
        </w:rPr>
        <w:t>Impact of COVID-19</w:t>
      </w:r>
    </w:p>
    <w:p w:rsidR="00000000" w:rsidRDefault="00FF2C06">
      <w:pPr>
        <w:pStyle w:val="a3"/>
        <w:spacing w:before="0" w:beforeAutospacing="0" w:after="0" w:afterAutospacing="0"/>
        <w:ind w:firstLine="547"/>
        <w:divId w:val="1155997184"/>
        <w:rPr>
          <w:sz w:val="20"/>
          <w:szCs w:val="20"/>
        </w:rPr>
      </w:pPr>
      <w:r>
        <w:rPr>
          <w:sz w:val="20"/>
          <w:szCs w:val="20"/>
        </w:rPr>
        <w:t>In December 2019, a novel (new) coronavirus known as SARS-CoV-2 was first detected in Wuhan, Hubei Province, People’s Republic of China, ca</w:t>
      </w:r>
      <w:r>
        <w:rPr>
          <w:sz w:val="20"/>
          <w:szCs w:val="20"/>
        </w:rPr>
        <w:t xml:space="preserve">using outbreaks of the coronavirus disease, known as COVID-19, that has now spread globally. On January 30, </w:t>
      </w:r>
    </w:p>
    <w:p w:rsidR="00000000" w:rsidRDefault="00FF2C06">
      <w:pPr>
        <w:pStyle w:val="a3"/>
        <w:spacing w:before="480" w:beforeAutospacing="0" w:after="0" w:afterAutospacing="0"/>
        <w:jc w:val="center"/>
        <w:divId w:val="2140150213"/>
        <w:rPr>
          <w:sz w:val="20"/>
          <w:szCs w:val="20"/>
        </w:rPr>
      </w:pPr>
      <w:r>
        <w:rPr>
          <w:sz w:val="20"/>
          <w:szCs w:val="20"/>
        </w:rPr>
        <w:t>8</w:t>
      </w:r>
    </w:p>
    <w:p w:rsidR="00000000" w:rsidRDefault="00FF2C06">
      <w:pPr>
        <w:pStyle w:val="a3"/>
        <w:spacing w:before="0" w:beforeAutospacing="0" w:after="600" w:afterAutospacing="0"/>
        <w:divId w:val="1042561751"/>
        <w:rPr>
          <w:sz w:val="20"/>
          <w:szCs w:val="20"/>
        </w:rPr>
      </w:pPr>
      <w:hyperlink w:anchor="TOC" w:history="1">
        <w:r>
          <w:rPr>
            <w:rStyle w:val="a4"/>
            <w:sz w:val="20"/>
            <w:szCs w:val="20"/>
          </w:rPr>
          <w:t>Table of Contents</w:t>
        </w:r>
      </w:hyperlink>
    </w:p>
    <w:p w:rsidR="00000000" w:rsidRDefault="00FF2C06">
      <w:pPr>
        <w:pStyle w:val="a3"/>
        <w:spacing w:before="0" w:beforeAutospacing="0" w:after="240" w:afterAutospacing="0"/>
        <w:divId w:val="1876116337"/>
        <w:rPr>
          <w:sz w:val="20"/>
          <w:szCs w:val="20"/>
        </w:rPr>
      </w:pPr>
      <w:r>
        <w:rPr>
          <w:sz w:val="20"/>
          <w:szCs w:val="20"/>
        </w:rPr>
        <w:t>2020, the World Health Organization (WHO) declared COVID-19 a pandemic (the "COVID-19 Pandemic"). The</w:t>
      </w:r>
      <w:r>
        <w:rPr>
          <w:sz w:val="20"/>
          <w:szCs w:val="20"/>
        </w:rPr>
        <w:t xml:space="preserve"> Secretary of Health and Human Services declared a public health emergency on January 31, 2020, under section 319 of the Public Health Service Act (42 U.S.C. 247d), in response to the COVID-19 Pandemic. The full impact of the COVID-19 Pandemic is unknown a</w:t>
      </w:r>
      <w:r>
        <w:rPr>
          <w:sz w:val="20"/>
          <w:szCs w:val="20"/>
        </w:rPr>
        <w:t xml:space="preserve">nd rapidly evolving. While the potential economic impact brought by and over the duration of the COVID-19 Pandemic may be difficult to assess or predict, the COVID-19 Pandemic has resulted in significant disruption of global financial markets, which could </w:t>
      </w:r>
      <w:r>
        <w:rPr>
          <w:sz w:val="20"/>
          <w:szCs w:val="20"/>
        </w:rPr>
        <w:t>in the future negatively affect the Company's liquidity. In addition, a recession or market volatility resulting from the COVID-19 Pandemic could affect the Company’s business. Given the nature and type of the Company’s short-term investments in U.S. gover</w:t>
      </w:r>
      <w:r>
        <w:rPr>
          <w:sz w:val="20"/>
          <w:szCs w:val="20"/>
        </w:rPr>
        <w:t>nment securities, the Company does not believe the COVID-19 Pandemic has had or will have a material impact on the Company's current investment liquidity.</w:t>
      </w:r>
    </w:p>
    <w:p w:rsidR="00000000" w:rsidRDefault="00FF2C06">
      <w:pPr>
        <w:pStyle w:val="a3"/>
        <w:spacing w:before="0" w:beforeAutospacing="0" w:after="200" w:afterAutospacing="0"/>
        <w:divId w:val="1876116337"/>
        <w:rPr>
          <w:b/>
          <w:bCs/>
          <w:i/>
          <w:iCs/>
          <w:sz w:val="20"/>
          <w:szCs w:val="20"/>
        </w:rPr>
      </w:pPr>
      <w:r>
        <w:rPr>
          <w:b/>
          <w:bCs/>
          <w:i/>
          <w:iCs/>
          <w:sz w:val="20"/>
          <w:szCs w:val="20"/>
        </w:rPr>
        <w:t>Concentrations of Risk</w:t>
      </w:r>
    </w:p>
    <w:p w:rsidR="00000000" w:rsidRDefault="00FF2C06">
      <w:pPr>
        <w:pStyle w:val="a3"/>
        <w:spacing w:before="0" w:beforeAutospacing="0" w:after="0" w:afterAutospacing="0"/>
        <w:ind w:firstLine="547"/>
        <w:divId w:val="1876116337"/>
        <w:rPr>
          <w:sz w:val="20"/>
          <w:szCs w:val="20"/>
        </w:rPr>
      </w:pPr>
      <w:r>
        <w:rPr>
          <w:sz w:val="20"/>
          <w:szCs w:val="20"/>
        </w:rPr>
        <w:t>The Company is subject to credit risk from its portfolio of cash equivalents a</w:t>
      </w:r>
      <w:r>
        <w:rPr>
          <w:sz w:val="20"/>
          <w:szCs w:val="20"/>
        </w:rPr>
        <w:t>nd short-term investments. Under its investment policy, the Company limits amounts invested in such securities by credit rating, maturity, industry group, investment type and issuer, except for securities issued by the U.S. government. The Company does not</w:t>
      </w:r>
      <w:r>
        <w:rPr>
          <w:sz w:val="20"/>
          <w:szCs w:val="20"/>
        </w:rPr>
        <w:t xml:space="preserve"> believe it is exposed to any significant concentrations of credit risk from these financial instruments. The goals of its investment policy, in order of priority, are as follows: safety and preservation of principal and diversification of risk and liquidi</w:t>
      </w:r>
      <w:r>
        <w:rPr>
          <w:sz w:val="20"/>
          <w:szCs w:val="20"/>
        </w:rPr>
        <w:t>ty of investments sufficient to meet cash flow requirements.</w:t>
      </w:r>
    </w:p>
    <w:p w:rsidR="00000000" w:rsidRDefault="00FF2C06">
      <w:pPr>
        <w:pStyle w:val="a3"/>
        <w:spacing w:before="0" w:beforeAutospacing="0" w:after="0" w:afterAutospacing="0"/>
        <w:divId w:val="1876116337"/>
        <w:rPr>
          <w:sz w:val="20"/>
          <w:szCs w:val="20"/>
        </w:rPr>
      </w:pPr>
      <w:r>
        <w:rPr>
          <w:sz w:val="20"/>
          <w:szCs w:val="20"/>
        </w:rPr>
        <w:t>​</w:t>
      </w:r>
    </w:p>
    <w:p w:rsidR="00000000" w:rsidRDefault="00FF2C06">
      <w:pPr>
        <w:pStyle w:val="a3"/>
        <w:spacing w:before="0" w:beforeAutospacing="0" w:after="200" w:afterAutospacing="0"/>
        <w:divId w:val="1876116337"/>
        <w:rPr>
          <w:b/>
          <w:bCs/>
          <w:sz w:val="20"/>
          <w:szCs w:val="20"/>
        </w:rPr>
      </w:pPr>
      <w:r>
        <w:rPr>
          <w:b/>
          <w:bCs/>
          <w:sz w:val="20"/>
          <w:szCs w:val="20"/>
          <w:u w:val="single"/>
        </w:rPr>
        <w:t>NOTE 2. SUMMARY OF SIGNIFICANT ACCOUNTING POLICIES</w:t>
      </w:r>
    </w:p>
    <w:p w:rsidR="00000000" w:rsidRDefault="00FF2C06">
      <w:pPr>
        <w:pStyle w:val="a3"/>
        <w:spacing w:before="0" w:beforeAutospacing="0" w:after="200" w:afterAutospacing="0"/>
        <w:divId w:val="1876116337"/>
        <w:rPr>
          <w:b/>
          <w:bCs/>
          <w:i/>
          <w:iCs/>
          <w:sz w:val="20"/>
          <w:szCs w:val="20"/>
        </w:rPr>
      </w:pPr>
      <w:r>
        <w:rPr>
          <w:b/>
          <w:bCs/>
          <w:i/>
          <w:iCs/>
          <w:sz w:val="20"/>
          <w:szCs w:val="20"/>
        </w:rPr>
        <w:t>Cash, Cash Equivalents, and Short-term Investments</w:t>
      </w:r>
    </w:p>
    <w:p w:rsidR="00000000" w:rsidRDefault="00FF2C06">
      <w:pPr>
        <w:pStyle w:val="a3"/>
        <w:spacing w:before="0" w:beforeAutospacing="0" w:after="200" w:afterAutospacing="0"/>
        <w:ind w:firstLine="547"/>
        <w:divId w:val="1876116337"/>
        <w:rPr>
          <w:sz w:val="20"/>
          <w:szCs w:val="20"/>
        </w:rPr>
      </w:pPr>
      <w:r>
        <w:rPr>
          <w:sz w:val="20"/>
          <w:szCs w:val="20"/>
        </w:rPr>
        <w:t>The Company’s cash and cash equivalents include short-term investments with original maturi</w:t>
      </w:r>
      <w:r>
        <w:rPr>
          <w:sz w:val="20"/>
          <w:szCs w:val="20"/>
        </w:rPr>
        <w:t>ties of three months or less when purchased. The Company's short-term investments are classified as “available-for-sale.” The Company includes these investments in current assets and carries them at fair value. Unrealized gains and losses on available-for-</w:t>
      </w:r>
      <w:r>
        <w:rPr>
          <w:sz w:val="20"/>
          <w:szCs w:val="20"/>
        </w:rPr>
        <w:t>sale securities are included in accumulated other comprehensive income. Any impairment losses related to credit losses (if any) are included in an allowance for credit losses with an offsetting entry to net loss. No impairment losses related to credit loss</w:t>
      </w:r>
      <w:r>
        <w:rPr>
          <w:sz w:val="20"/>
          <w:szCs w:val="20"/>
        </w:rPr>
        <w:t>es were recognized for the three and nine months ended September 30, 2020 and 2019. The cost of debt securities is adjusted for the amortization of premiums and accretion of discounts to maturity. Such amortization and accretion are included in net interes</w:t>
      </w:r>
      <w:r>
        <w:rPr>
          <w:sz w:val="20"/>
          <w:szCs w:val="20"/>
        </w:rPr>
        <w:t>t income in the condensed consolidated statements of operations. Gains and losses on securities sold are recorded based on the specific identification method and are included in net interest income in the condensed consolidated statements of operations. Th</w:t>
      </w:r>
      <w:r>
        <w:rPr>
          <w:sz w:val="20"/>
          <w:szCs w:val="20"/>
        </w:rPr>
        <w:t>e Company has not incurred any realized gains or losses from sales of securities to date. The Company’s investment policy limits investments to certain types of instruments such as certificates of deposit, money market instruments, obligations issued by th</w:t>
      </w:r>
      <w:r>
        <w:rPr>
          <w:sz w:val="20"/>
          <w:szCs w:val="20"/>
        </w:rPr>
        <w:t xml:space="preserve">e U.S. government and U.S. government agencies as well as corporate debt securities, and places restrictions on maturities and concentration by type and issuer, except for securities issued by the U.S. government. Currently the Company invests excess cash </w:t>
      </w:r>
      <w:r>
        <w:rPr>
          <w:sz w:val="20"/>
          <w:szCs w:val="20"/>
        </w:rPr>
        <w:t>only in obligations issued by the U.S. government and U.S. government agencies.</w:t>
      </w:r>
    </w:p>
    <w:p w:rsidR="00000000" w:rsidRDefault="00FF2C06">
      <w:pPr>
        <w:pStyle w:val="a3"/>
        <w:spacing w:before="0" w:beforeAutospacing="0" w:after="200" w:afterAutospacing="0"/>
        <w:ind w:firstLine="547"/>
        <w:divId w:val="1876116337"/>
        <w:rPr>
          <w:sz w:val="20"/>
          <w:szCs w:val="20"/>
        </w:rPr>
      </w:pPr>
      <w:r>
        <w:rPr>
          <w:sz w:val="20"/>
          <w:szCs w:val="20"/>
        </w:rPr>
        <w:t>The Company maintains a required minimum balance, currently $5.5 million in a segregated bank account in connection with two letters of credit, one for $5.45 million for the be</w:t>
      </w:r>
      <w:r>
        <w:rPr>
          <w:sz w:val="20"/>
          <w:szCs w:val="20"/>
        </w:rPr>
        <w:t xml:space="preserve">nefit of the landlord for its commercial manufacturing facility used as a security deposit for the lease (See Note 9 - Leases), and a second one for $74,685 for the benefit of a utilities service provider. The total amount is classified as Restricted Cash </w:t>
      </w:r>
      <w:r>
        <w:rPr>
          <w:sz w:val="20"/>
          <w:szCs w:val="20"/>
        </w:rPr>
        <w:t>on the Balance Sheet. The original term of the letter of credit expired on May 28, 2020; however, the term was automatically extended for an additional one-year period on May 28, 2020, and will be automatically extended for additional one-year periods, wit</w:t>
      </w:r>
      <w:r>
        <w:rPr>
          <w:sz w:val="20"/>
          <w:szCs w:val="20"/>
        </w:rPr>
        <w:t>hout written agreement, to May 28 in each succeeding calendar year, through at least 60 days after the lease expiration date. Further, on the expiration of the seventh year of the lease, and each anniversary date thereafter, the letter of credit may be dec</w:t>
      </w:r>
      <w:r>
        <w:rPr>
          <w:sz w:val="20"/>
          <w:szCs w:val="20"/>
        </w:rPr>
        <w:t>reased by $1,000,000, with a minimum-security deposit of $1,450,000 maintained through the end of the lease term. The $74,685 letter of credit will expire on February 25, 2021, however, it will be automatically extended, without written agreement, to the e</w:t>
      </w:r>
      <w:r>
        <w:rPr>
          <w:sz w:val="20"/>
          <w:szCs w:val="20"/>
        </w:rPr>
        <w:t xml:space="preserve">xpiration date of December 1, 2022. As of September 30, 2020, restricted cash consisted of $5.5 million and this amount has been classified as a non-current asset on the Company’s condensed consolidated balance sheets. </w:t>
      </w:r>
    </w:p>
    <w:p w:rsidR="00000000" w:rsidRDefault="00FF2C06">
      <w:pPr>
        <w:pStyle w:val="a3"/>
        <w:spacing w:before="480" w:beforeAutospacing="0" w:after="0" w:afterAutospacing="0"/>
        <w:jc w:val="center"/>
        <w:divId w:val="1923098756"/>
        <w:rPr>
          <w:sz w:val="20"/>
          <w:szCs w:val="20"/>
        </w:rPr>
      </w:pPr>
      <w:r>
        <w:rPr>
          <w:sz w:val="20"/>
          <w:szCs w:val="20"/>
        </w:rPr>
        <w:t>9</w:t>
      </w:r>
    </w:p>
    <w:p w:rsidR="00000000" w:rsidRDefault="00FF2C06">
      <w:pPr>
        <w:pStyle w:val="a3"/>
        <w:spacing w:before="0" w:beforeAutospacing="0" w:after="600" w:afterAutospacing="0"/>
        <w:divId w:val="1451320542"/>
        <w:rPr>
          <w:sz w:val="20"/>
          <w:szCs w:val="20"/>
        </w:rPr>
      </w:pPr>
      <w:hyperlink w:anchor="TOC" w:history="1">
        <w:r>
          <w:rPr>
            <w:rStyle w:val="a4"/>
            <w:sz w:val="20"/>
            <w:szCs w:val="20"/>
          </w:rPr>
          <w:t>Table of Contents</w:t>
        </w:r>
      </w:hyperlink>
    </w:p>
    <w:p w:rsidR="00000000" w:rsidRDefault="00FF2C06">
      <w:pPr>
        <w:pStyle w:val="a3"/>
        <w:spacing w:before="0" w:beforeAutospacing="0" w:after="0" w:afterAutospacing="0"/>
        <w:ind w:firstLine="547"/>
        <w:divId w:val="34937234"/>
        <w:rPr>
          <w:sz w:val="20"/>
          <w:szCs w:val="20"/>
        </w:rPr>
      </w:pPr>
      <w:r>
        <w:rPr>
          <w:sz w:val="20"/>
          <w:szCs w:val="20"/>
        </w:rPr>
        <w:t xml:space="preserve">The following table provides a reconciliation of cash, cash equivalents, and restricted cash, reported within the condensed consolidated balance sheets that sum to the total of the same such amounts shown in the </w:t>
      </w:r>
      <w:r>
        <w:rPr>
          <w:sz w:val="20"/>
          <w:szCs w:val="20"/>
        </w:rPr>
        <w:t>condensed consolidated statements of cash flows:</w:t>
      </w:r>
    </w:p>
    <w:p w:rsidR="00000000" w:rsidRDefault="00FF2C06">
      <w:pPr>
        <w:pStyle w:val="a3"/>
        <w:spacing w:before="0" w:beforeAutospacing="0" w:after="0" w:afterAutospacing="0"/>
        <w:ind w:firstLine="547"/>
        <w:divId w:val="34937234"/>
        <w:rPr>
          <w:sz w:val="20"/>
          <w:szCs w:val="20"/>
        </w:rPr>
      </w:pPr>
      <w:r>
        <w:rPr>
          <w:sz w:val="20"/>
          <w:szCs w:val="20"/>
        </w:rPr>
        <w:t>​</w:t>
      </w:r>
    </w:p>
    <w:tbl>
      <w:tblPr>
        <w:tblW w:w="4000" w:type="pct"/>
        <w:tblCellMar>
          <w:top w:w="15" w:type="dxa"/>
          <w:left w:w="0" w:type="dxa"/>
          <w:bottom w:w="15" w:type="dxa"/>
          <w:right w:w="0" w:type="dxa"/>
        </w:tblCellMar>
        <w:tblLook w:val="04A0" w:firstRow="1" w:lastRow="0" w:firstColumn="1" w:lastColumn="0" w:noHBand="0" w:noVBand="1"/>
      </w:tblPr>
      <w:tblGrid>
        <w:gridCol w:w="4289"/>
        <w:gridCol w:w="160"/>
        <w:gridCol w:w="139"/>
        <w:gridCol w:w="879"/>
        <w:gridCol w:w="160"/>
        <w:gridCol w:w="139"/>
        <w:gridCol w:w="879"/>
      </w:tblGrid>
      <w:tr w:rsidR="00000000">
        <w:trPr>
          <w:divId w:val="34937234"/>
          <w:trHeight w:val="20"/>
        </w:trPr>
        <w:tc>
          <w:tcPr>
            <w:tcW w:w="3636" w:type="pct"/>
            <w:tcMar>
              <w:top w:w="0" w:type="dxa"/>
              <w:left w:w="0" w:type="dxa"/>
              <w:bottom w:w="0" w:type="dxa"/>
              <w:right w:w="0" w:type="dxa"/>
            </w:tcMar>
            <w:vAlign w:val="bottom"/>
            <w:hideMark/>
          </w:tcPr>
          <w:p w:rsidR="00000000" w:rsidRDefault="00FF2C06">
            <w:pPr>
              <w:pStyle w:val="a3"/>
              <w:spacing w:before="0" w:beforeAutospacing="0" w:after="1" w:afterAutospacing="0"/>
              <w:divId w:val="884291423"/>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260375087"/>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385374917"/>
              <w:rPr>
                <w:sz w:val="20"/>
                <w:szCs w:val="20"/>
              </w:rPr>
            </w:pPr>
            <w:r>
              <w:rPr>
                <w:sz w:val="2"/>
                <w:szCs w:val="2"/>
              </w:rPr>
              <w:t>​</w:t>
            </w:r>
          </w:p>
        </w:tc>
        <w:tc>
          <w:tcPr>
            <w:tcW w:w="508"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642615998"/>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35100508"/>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190679538"/>
              <w:rPr>
                <w:sz w:val="20"/>
                <w:szCs w:val="20"/>
              </w:rPr>
            </w:pPr>
            <w:r>
              <w:rPr>
                <w:sz w:val="2"/>
                <w:szCs w:val="2"/>
              </w:rPr>
              <w:t>​</w:t>
            </w:r>
          </w:p>
        </w:tc>
        <w:tc>
          <w:tcPr>
            <w:tcW w:w="508"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025206214"/>
              <w:rPr>
                <w:sz w:val="20"/>
                <w:szCs w:val="20"/>
              </w:rPr>
            </w:pPr>
            <w:r>
              <w:rPr>
                <w:sz w:val="2"/>
                <w:szCs w:val="2"/>
              </w:rPr>
              <w:t>​</w:t>
            </w:r>
          </w:p>
        </w:tc>
      </w:tr>
      <w:tr w:rsidR="00000000">
        <w:trPr>
          <w:divId w:val="34937234"/>
        </w:trPr>
        <w:tc>
          <w:tcPr>
            <w:tcW w:w="3636" w:type="pct"/>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w:t>
            </w:r>
            <w:r>
              <w:rPr>
                <w:sz w:val="16"/>
                <w:szCs w:val="16"/>
              </w:rPr>
              <w:t xml:space="preserve"> </w:t>
            </w:r>
          </w:p>
        </w:tc>
        <w:tc>
          <w:tcPr>
            <w:tcW w:w="92"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    </w:t>
            </w:r>
          </w:p>
        </w:tc>
        <w:tc>
          <w:tcPr>
            <w:tcW w:w="589" w:type="pct"/>
            <w:gridSpan w:val="2"/>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September 30, </w:t>
            </w:r>
          </w:p>
        </w:tc>
        <w:tc>
          <w:tcPr>
            <w:tcW w:w="92"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    </w:t>
            </w:r>
          </w:p>
        </w:tc>
        <w:tc>
          <w:tcPr>
            <w:tcW w:w="589" w:type="pct"/>
            <w:gridSpan w:val="2"/>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September 30, </w:t>
            </w:r>
          </w:p>
        </w:tc>
      </w:tr>
      <w:tr w:rsidR="00000000">
        <w:trPr>
          <w:divId w:val="34937234"/>
        </w:trPr>
        <w:tc>
          <w:tcPr>
            <w:tcW w:w="3636" w:type="pct"/>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w:t>
            </w:r>
          </w:p>
        </w:tc>
        <w:tc>
          <w:tcPr>
            <w:tcW w:w="92"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b/>
                <w:bCs/>
                <w:sz w:val="16"/>
                <w:szCs w:val="16"/>
              </w:rPr>
              <w:t>​</w:t>
            </w:r>
          </w:p>
        </w:tc>
        <w:tc>
          <w:tcPr>
            <w:tcW w:w="589"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2020</w:t>
            </w:r>
          </w:p>
        </w:tc>
        <w:tc>
          <w:tcPr>
            <w:tcW w:w="92"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b/>
                <w:bCs/>
                <w:sz w:val="16"/>
                <w:szCs w:val="16"/>
              </w:rPr>
              <w:t>​</w:t>
            </w:r>
          </w:p>
        </w:tc>
        <w:tc>
          <w:tcPr>
            <w:tcW w:w="589"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2019</w:t>
            </w:r>
          </w:p>
        </w:tc>
      </w:tr>
      <w:tr w:rsidR="00000000">
        <w:trPr>
          <w:divId w:val="34937234"/>
        </w:trPr>
        <w:tc>
          <w:tcPr>
            <w:tcW w:w="3636"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0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0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34937234"/>
        </w:trPr>
        <w:tc>
          <w:tcPr>
            <w:tcW w:w="3636"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Cash and cash equivalents</w:t>
            </w:r>
          </w:p>
        </w:tc>
        <w:tc>
          <w:tcPr>
            <w:tcW w:w="9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0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68,310</w:t>
            </w:r>
          </w:p>
        </w:tc>
        <w:tc>
          <w:tcPr>
            <w:tcW w:w="9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0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38,889</w:t>
            </w:r>
          </w:p>
        </w:tc>
      </w:tr>
      <w:tr w:rsidR="00000000">
        <w:trPr>
          <w:divId w:val="34937234"/>
        </w:trPr>
        <w:tc>
          <w:tcPr>
            <w:tcW w:w="3636"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Restricted cash (included in non-current assets on the condensed consolidated balance sheets)</w:t>
            </w:r>
          </w:p>
        </w:tc>
        <w:tc>
          <w:tcPr>
            <w:tcW w:w="92"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508"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5,525</w:t>
            </w:r>
          </w:p>
        </w:tc>
        <w:tc>
          <w:tcPr>
            <w:tcW w:w="92"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508"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5,450</w:t>
            </w:r>
          </w:p>
        </w:tc>
      </w:tr>
      <w:tr w:rsidR="00000000">
        <w:trPr>
          <w:divId w:val="34937234"/>
        </w:trPr>
        <w:tc>
          <w:tcPr>
            <w:tcW w:w="3636"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ind w:left="120"/>
              <w:rPr>
                <w:sz w:val="20"/>
                <w:szCs w:val="20"/>
              </w:rPr>
            </w:pPr>
            <w:r>
              <w:rPr>
                <w:sz w:val="20"/>
                <w:szCs w:val="20"/>
              </w:rPr>
              <w:t>Total cash, cash equivalents and restricted cash</w:t>
            </w:r>
          </w:p>
        </w:tc>
        <w:tc>
          <w:tcPr>
            <w:tcW w:w="9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0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73,835</w:t>
            </w:r>
          </w:p>
        </w:tc>
        <w:tc>
          <w:tcPr>
            <w:tcW w:w="9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0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44,339</w:t>
            </w:r>
          </w:p>
        </w:tc>
      </w:tr>
    </w:tbl>
    <w:p w:rsidR="00000000" w:rsidRDefault="00FF2C06">
      <w:pPr>
        <w:pStyle w:val="a3"/>
        <w:spacing w:before="0" w:beforeAutospacing="0" w:after="0" w:afterAutospacing="0"/>
        <w:ind w:firstLine="547"/>
        <w:divId w:val="34937234"/>
        <w:rPr>
          <w:sz w:val="20"/>
          <w:szCs w:val="20"/>
        </w:rPr>
      </w:pPr>
      <w:r>
        <w:rPr>
          <w:sz w:val="20"/>
          <w:szCs w:val="20"/>
        </w:rPr>
        <w:t>​</w:t>
      </w:r>
    </w:p>
    <w:p w:rsidR="00000000" w:rsidRDefault="00FF2C06">
      <w:pPr>
        <w:pStyle w:val="a3"/>
        <w:spacing w:before="0" w:beforeAutospacing="0" w:after="200" w:afterAutospacing="0"/>
        <w:divId w:val="34937234"/>
        <w:rPr>
          <w:b/>
          <w:bCs/>
          <w:i/>
          <w:iCs/>
          <w:sz w:val="20"/>
          <w:szCs w:val="20"/>
        </w:rPr>
      </w:pPr>
      <w:r>
        <w:rPr>
          <w:b/>
          <w:bCs/>
          <w:i/>
          <w:iCs/>
          <w:sz w:val="20"/>
          <w:szCs w:val="20"/>
        </w:rPr>
        <w:t>Loss per Share</w:t>
      </w:r>
    </w:p>
    <w:p w:rsidR="00000000" w:rsidRDefault="00FF2C06">
      <w:pPr>
        <w:pStyle w:val="a3"/>
        <w:spacing w:before="0" w:beforeAutospacing="0" w:after="200" w:afterAutospacing="0"/>
        <w:ind w:firstLine="547"/>
        <w:divId w:val="34937234"/>
        <w:rPr>
          <w:sz w:val="20"/>
          <w:szCs w:val="20"/>
        </w:rPr>
      </w:pPr>
      <w:r>
        <w:rPr>
          <w:sz w:val="20"/>
          <w:szCs w:val="20"/>
        </w:rPr>
        <w:t>Basic net loss per share is computed by dividing the net loss by the weighted average number of shares of common stock outstanding during the period.</w:t>
      </w:r>
    </w:p>
    <w:p w:rsidR="00000000" w:rsidRDefault="00FF2C06">
      <w:pPr>
        <w:pStyle w:val="a3"/>
        <w:spacing w:before="0" w:beforeAutospacing="0" w:after="200" w:afterAutospacing="0"/>
        <w:ind w:firstLine="547"/>
        <w:divId w:val="34937234"/>
        <w:rPr>
          <w:sz w:val="20"/>
          <w:szCs w:val="20"/>
        </w:rPr>
      </w:pPr>
      <w:r>
        <w:rPr>
          <w:sz w:val="20"/>
          <w:szCs w:val="20"/>
        </w:rPr>
        <w:t xml:space="preserve">Diluted net loss per share is computed by dividing the net loss by the sum of the weighted average number </w:t>
      </w:r>
      <w:r>
        <w:rPr>
          <w:sz w:val="20"/>
          <w:szCs w:val="20"/>
        </w:rPr>
        <w:t>of shares of common stock outstanding and the dilutive common stock equivalent shares outstanding during the period. The Company’s potentially dilutive common stock equivalent shares, which include incremental shares of common stock issuable upon (i) the e</w:t>
      </w:r>
      <w:r>
        <w:rPr>
          <w:sz w:val="20"/>
          <w:szCs w:val="20"/>
        </w:rPr>
        <w:t>xercise of outstanding stock options, (ii) vesting of restricted stock units, and (iii) conversion of preferred stock, are only included in the calculation of diluted net loss per share when their effect is dilutive.</w:t>
      </w:r>
    </w:p>
    <w:p w:rsidR="00000000" w:rsidRDefault="00FF2C06">
      <w:pPr>
        <w:pStyle w:val="a3"/>
        <w:spacing w:before="0" w:beforeAutospacing="0" w:after="0" w:afterAutospacing="0"/>
        <w:ind w:firstLine="547"/>
        <w:divId w:val="34937234"/>
        <w:rPr>
          <w:sz w:val="20"/>
          <w:szCs w:val="20"/>
        </w:rPr>
      </w:pPr>
      <w:r>
        <w:rPr>
          <w:sz w:val="20"/>
          <w:szCs w:val="20"/>
        </w:rPr>
        <w:t>At September </w:t>
      </w:r>
      <w:r>
        <w:rPr>
          <w:sz w:val="20"/>
          <w:szCs w:val="20"/>
        </w:rPr>
        <w:t>30, 2020 and 2019, the following outstanding common stock equivalents have been excluded from the calculation of net loss per share because their impact would be anti-dilutive.</w:t>
      </w:r>
    </w:p>
    <w:p w:rsidR="00000000" w:rsidRDefault="00FF2C06">
      <w:pPr>
        <w:pStyle w:val="a3"/>
        <w:spacing w:before="0" w:beforeAutospacing="0" w:after="0" w:afterAutospacing="0"/>
        <w:ind w:firstLine="547"/>
        <w:divId w:val="34937234"/>
        <w:rPr>
          <w:sz w:val="20"/>
          <w:szCs w:val="20"/>
        </w:rPr>
      </w:pPr>
      <w:r>
        <w:rPr>
          <w:sz w:val="20"/>
          <w:szCs w:val="20"/>
        </w:rPr>
        <w:t>​</w:t>
      </w:r>
    </w:p>
    <w:tbl>
      <w:tblPr>
        <w:tblW w:w="3999" w:type="pct"/>
        <w:tblCellMar>
          <w:top w:w="15" w:type="dxa"/>
          <w:left w:w="0" w:type="dxa"/>
          <w:bottom w:w="15" w:type="dxa"/>
          <w:right w:w="0" w:type="dxa"/>
        </w:tblCellMar>
        <w:tblLook w:val="04A0" w:firstRow="1" w:lastRow="0" w:firstColumn="1" w:lastColumn="0" w:noHBand="0" w:noVBand="1"/>
      </w:tblPr>
      <w:tblGrid>
        <w:gridCol w:w="4371"/>
        <w:gridCol w:w="160"/>
        <w:gridCol w:w="973"/>
        <w:gridCol w:w="160"/>
        <w:gridCol w:w="973"/>
        <w:gridCol w:w="6"/>
      </w:tblGrid>
      <w:tr w:rsidR="00000000">
        <w:trPr>
          <w:divId w:val="34937234"/>
          <w:trHeight w:val="20"/>
        </w:trPr>
        <w:tc>
          <w:tcPr>
            <w:tcW w:w="3626" w:type="pct"/>
            <w:tcMar>
              <w:top w:w="0" w:type="dxa"/>
              <w:left w:w="0" w:type="dxa"/>
              <w:bottom w:w="0" w:type="dxa"/>
              <w:right w:w="0" w:type="dxa"/>
            </w:tcMar>
            <w:vAlign w:val="bottom"/>
            <w:hideMark/>
          </w:tcPr>
          <w:p w:rsidR="00000000" w:rsidRDefault="00FF2C06">
            <w:pPr>
              <w:pStyle w:val="a3"/>
              <w:spacing w:before="0" w:beforeAutospacing="0" w:after="1" w:afterAutospacing="0"/>
              <w:divId w:val="1513908580"/>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329866132"/>
              <w:rPr>
                <w:sz w:val="20"/>
                <w:szCs w:val="20"/>
              </w:rPr>
            </w:pPr>
            <w:r>
              <w:rPr>
                <w:sz w:val="2"/>
                <w:szCs w:val="2"/>
              </w:rPr>
              <w:t>​</w:t>
            </w:r>
          </w:p>
        </w:tc>
        <w:tc>
          <w:tcPr>
            <w:tcW w:w="592"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542865054"/>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745106073"/>
              <w:rPr>
                <w:sz w:val="20"/>
                <w:szCs w:val="20"/>
              </w:rPr>
            </w:pPr>
            <w:r>
              <w:rPr>
                <w:sz w:val="2"/>
                <w:szCs w:val="2"/>
              </w:rPr>
              <w:t>​</w:t>
            </w:r>
          </w:p>
        </w:tc>
        <w:tc>
          <w:tcPr>
            <w:tcW w:w="592"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29304273"/>
              <w:rPr>
                <w:sz w:val="20"/>
                <w:szCs w:val="20"/>
              </w:rPr>
            </w:pPr>
            <w:r>
              <w:rPr>
                <w:sz w:val="2"/>
                <w:szCs w:val="2"/>
              </w:rPr>
              <w:t>​</w:t>
            </w:r>
          </w:p>
        </w:tc>
        <w:tc>
          <w:tcPr>
            <w:tcW w:w="3"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699816877"/>
              <w:rPr>
                <w:sz w:val="20"/>
                <w:szCs w:val="20"/>
              </w:rPr>
            </w:pPr>
            <w:r>
              <w:rPr>
                <w:sz w:val="2"/>
                <w:szCs w:val="2"/>
              </w:rPr>
              <w:t>​</w:t>
            </w:r>
          </w:p>
        </w:tc>
      </w:tr>
      <w:tr w:rsidR="00000000">
        <w:trPr>
          <w:divId w:val="34937234"/>
        </w:trPr>
        <w:tc>
          <w:tcPr>
            <w:tcW w:w="3626"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9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16"/>
                <w:szCs w:val="16"/>
              </w:rPr>
              <w:t>​</w:t>
            </w:r>
          </w:p>
        </w:tc>
        <w:tc>
          <w:tcPr>
            <w:tcW w:w="1277" w:type="pct"/>
            <w:gridSpan w:val="3"/>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September 30, </w:t>
            </w:r>
          </w:p>
        </w:tc>
        <w:tc>
          <w:tcPr>
            <w:tcW w:w="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16"/>
                <w:szCs w:val="16"/>
              </w:rPr>
              <w:t>​</w:t>
            </w:r>
          </w:p>
        </w:tc>
      </w:tr>
      <w:tr w:rsidR="00000000">
        <w:trPr>
          <w:divId w:val="34937234"/>
        </w:trPr>
        <w:tc>
          <w:tcPr>
            <w:tcW w:w="3626" w:type="pct"/>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w:t>
            </w:r>
          </w:p>
        </w:tc>
        <w:tc>
          <w:tcPr>
            <w:tcW w:w="9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b/>
                <w:bCs/>
                <w:sz w:val="16"/>
                <w:szCs w:val="16"/>
              </w:rPr>
              <w:t>    </w:t>
            </w:r>
          </w:p>
        </w:tc>
        <w:tc>
          <w:tcPr>
            <w:tcW w:w="592"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2020</w:t>
            </w:r>
          </w:p>
        </w:tc>
        <w:tc>
          <w:tcPr>
            <w:tcW w:w="9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b/>
                <w:bCs/>
                <w:sz w:val="16"/>
                <w:szCs w:val="16"/>
              </w:rPr>
              <w:t>    </w:t>
            </w:r>
          </w:p>
        </w:tc>
        <w:tc>
          <w:tcPr>
            <w:tcW w:w="592"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2019</w:t>
            </w:r>
          </w:p>
        </w:tc>
        <w:tc>
          <w:tcPr>
            <w:tcW w:w="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16"/>
                <w:szCs w:val="16"/>
              </w:rPr>
              <w:t>​</w:t>
            </w:r>
          </w:p>
        </w:tc>
      </w:tr>
      <w:tr w:rsidR="00000000">
        <w:trPr>
          <w:divId w:val="34937234"/>
        </w:trPr>
        <w:tc>
          <w:tcPr>
            <w:tcW w:w="3626"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Stock options</w:t>
            </w:r>
          </w:p>
        </w:tc>
        <w:tc>
          <w:tcPr>
            <w:tcW w:w="9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9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12,768,881</w:t>
            </w:r>
          </w:p>
        </w:tc>
        <w:tc>
          <w:tcPr>
            <w:tcW w:w="9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59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9,494,722</w:t>
            </w:r>
          </w:p>
        </w:tc>
        <w:tc>
          <w:tcPr>
            <w:tcW w:w="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34937234"/>
        </w:trPr>
        <w:tc>
          <w:tcPr>
            <w:tcW w:w="3626"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Series A Convertible Preferred Stock*</w:t>
            </w:r>
          </w:p>
        </w:tc>
        <w:tc>
          <w:tcPr>
            <w:tcW w:w="9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92"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97,000</w:t>
            </w:r>
          </w:p>
        </w:tc>
        <w:tc>
          <w:tcPr>
            <w:tcW w:w="9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592"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97,000</w:t>
            </w:r>
          </w:p>
        </w:tc>
        <w:tc>
          <w:tcPr>
            <w:tcW w:w="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34937234"/>
        </w:trPr>
        <w:tc>
          <w:tcPr>
            <w:tcW w:w="3626"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Series B Convertible Preferred Stock*</w:t>
            </w:r>
          </w:p>
        </w:tc>
        <w:tc>
          <w:tcPr>
            <w:tcW w:w="9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9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3,581,119</w:t>
            </w:r>
          </w:p>
        </w:tc>
        <w:tc>
          <w:tcPr>
            <w:tcW w:w="9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59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3,581,119</w:t>
            </w:r>
          </w:p>
        </w:tc>
        <w:tc>
          <w:tcPr>
            <w:tcW w:w="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34937234"/>
        </w:trPr>
        <w:tc>
          <w:tcPr>
            <w:tcW w:w="3626"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Restricted stock units</w:t>
            </w:r>
          </w:p>
        </w:tc>
        <w:tc>
          <w:tcPr>
            <w:tcW w:w="9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92"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592"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34,371</w:t>
            </w:r>
          </w:p>
        </w:tc>
        <w:tc>
          <w:tcPr>
            <w:tcW w:w="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34937234"/>
        </w:trPr>
        <w:tc>
          <w:tcPr>
            <w:tcW w:w="3626"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16,447,000</w:t>
            </w:r>
          </w:p>
        </w:tc>
        <w:tc>
          <w:tcPr>
            <w:tcW w:w="9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5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13,207,212</w:t>
            </w:r>
          </w:p>
        </w:tc>
        <w:tc>
          <w:tcPr>
            <w:tcW w:w="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bl>
    <w:p w:rsidR="00000000" w:rsidRDefault="00FF2C06">
      <w:pPr>
        <w:pStyle w:val="a3"/>
        <w:spacing w:before="0" w:beforeAutospacing="0" w:after="0" w:afterAutospacing="0"/>
        <w:ind w:left="547"/>
        <w:divId w:val="34937234"/>
        <w:rPr>
          <w:b/>
          <w:bCs/>
          <w:sz w:val="20"/>
          <w:szCs w:val="20"/>
        </w:rPr>
      </w:pPr>
      <w:r>
        <w:rPr>
          <w:i/>
          <w:iCs/>
          <w:sz w:val="20"/>
          <w:szCs w:val="20"/>
        </w:rPr>
        <w:t>​</w:t>
      </w:r>
    </w:p>
    <w:p w:rsidR="00000000" w:rsidRDefault="00FF2C06">
      <w:pPr>
        <w:pStyle w:val="a3"/>
        <w:spacing w:before="0" w:beforeAutospacing="0" w:after="200" w:afterAutospacing="0"/>
        <w:ind w:left="547"/>
        <w:divId w:val="34937234"/>
        <w:rPr>
          <w:b/>
          <w:bCs/>
          <w:sz w:val="20"/>
          <w:szCs w:val="20"/>
        </w:rPr>
      </w:pPr>
      <w:r>
        <w:rPr>
          <w:i/>
          <w:iCs/>
          <w:sz w:val="20"/>
          <w:szCs w:val="20"/>
        </w:rPr>
        <w:t xml:space="preserve">* </w:t>
      </w:r>
      <w:r>
        <w:rPr>
          <w:i/>
          <w:iCs/>
          <w:sz w:val="20"/>
          <w:szCs w:val="20"/>
        </w:rPr>
        <w:t>on an as-converted basis</w:t>
      </w:r>
    </w:p>
    <w:p w:rsidR="00000000" w:rsidRDefault="00FF2C06">
      <w:pPr>
        <w:pStyle w:val="a3"/>
        <w:spacing w:before="0" w:beforeAutospacing="0" w:after="200" w:afterAutospacing="0"/>
        <w:ind w:firstLine="547"/>
        <w:divId w:val="34937234"/>
        <w:rPr>
          <w:sz w:val="20"/>
          <w:szCs w:val="20"/>
        </w:rPr>
      </w:pPr>
      <w:r>
        <w:rPr>
          <w:sz w:val="20"/>
          <w:szCs w:val="20"/>
        </w:rPr>
        <w:t>The effect of potentially dilutive securities would be reflected in diluted earnings per share of common stock by application of the treasury stock method. Under the treasury stock method, an increase in the fair market value of th</w:t>
      </w:r>
      <w:r>
        <w:rPr>
          <w:sz w:val="20"/>
          <w:szCs w:val="20"/>
        </w:rPr>
        <w:t>e Company's common stock could result in a greater dilutive effect from potentially dilutive securities.</w:t>
      </w:r>
    </w:p>
    <w:p w:rsidR="00000000" w:rsidRDefault="00FF2C06">
      <w:pPr>
        <w:pStyle w:val="a3"/>
        <w:spacing w:before="0" w:beforeAutospacing="0" w:after="200" w:afterAutospacing="0"/>
        <w:divId w:val="34937234"/>
        <w:rPr>
          <w:b/>
          <w:bCs/>
          <w:i/>
          <w:iCs/>
          <w:sz w:val="20"/>
          <w:szCs w:val="20"/>
        </w:rPr>
      </w:pPr>
      <w:r>
        <w:rPr>
          <w:b/>
          <w:bCs/>
          <w:i/>
          <w:iCs/>
          <w:sz w:val="20"/>
          <w:szCs w:val="20"/>
        </w:rPr>
        <w:t>Fair Value Measurements</w:t>
      </w:r>
    </w:p>
    <w:p w:rsidR="00000000" w:rsidRDefault="00FF2C06">
      <w:pPr>
        <w:pStyle w:val="a3"/>
        <w:spacing w:before="0" w:beforeAutospacing="0" w:after="200" w:afterAutospacing="0"/>
        <w:ind w:firstLine="547"/>
        <w:divId w:val="34937234"/>
        <w:rPr>
          <w:sz w:val="20"/>
          <w:szCs w:val="20"/>
        </w:rPr>
      </w:pPr>
      <w:r>
        <w:rPr>
          <w:sz w:val="20"/>
          <w:szCs w:val="20"/>
        </w:rPr>
        <w:t xml:space="preserve">Under Financial Accounting Standards Board (“FASB”) Accounting Standards Codification (“ASC”) 820, Fair Value Measurements and </w:t>
      </w:r>
      <w:r>
        <w:rPr>
          <w:sz w:val="20"/>
          <w:szCs w:val="20"/>
        </w:rPr>
        <w:t>Disclosures, fair value is defined as the price at which an asset could be exchanged, or a liability transferred in a transaction between knowledgeable, willing parties in the principal or most advantageous market for the asset or liability. Where availabl</w:t>
      </w:r>
      <w:r>
        <w:rPr>
          <w:sz w:val="20"/>
          <w:szCs w:val="20"/>
        </w:rPr>
        <w:t>e, fair value is based on observable market prices or parameters or derived from such prices or parameters. Where observable prices or parameters are not available, valuation models are applied.</w:t>
      </w:r>
    </w:p>
    <w:p w:rsidR="00000000" w:rsidRDefault="00FF2C06">
      <w:pPr>
        <w:pStyle w:val="a3"/>
        <w:spacing w:before="0" w:beforeAutospacing="0" w:after="200" w:afterAutospacing="0"/>
        <w:ind w:firstLine="547"/>
        <w:divId w:val="34937234"/>
        <w:rPr>
          <w:sz w:val="20"/>
          <w:szCs w:val="20"/>
        </w:rPr>
      </w:pPr>
      <w:r>
        <w:rPr>
          <w:sz w:val="20"/>
          <w:szCs w:val="20"/>
        </w:rPr>
        <w:t>Assets and liabilities recorded at fair value in the Company’</w:t>
      </w:r>
      <w:r>
        <w:rPr>
          <w:sz w:val="20"/>
          <w:szCs w:val="20"/>
        </w:rPr>
        <w:t>s financial statements are categorized based upon the level of judgment associated with the inputs used to measure their fair value. Hierarchical levels directly related to the amount of subjectivity associated with the inputs to fair valuation of these as</w:t>
      </w:r>
      <w:r>
        <w:rPr>
          <w:sz w:val="20"/>
          <w:szCs w:val="20"/>
        </w:rPr>
        <w:t>sets and liabilities, are as follows:</w:t>
      </w:r>
    </w:p>
    <w:p w:rsidR="00000000" w:rsidRDefault="00FF2C06">
      <w:pPr>
        <w:pStyle w:val="a3"/>
        <w:spacing w:before="0" w:beforeAutospacing="0" w:after="200" w:afterAutospacing="0"/>
        <w:ind w:firstLine="547"/>
        <w:divId w:val="34937234"/>
        <w:rPr>
          <w:sz w:val="20"/>
          <w:szCs w:val="20"/>
        </w:rPr>
      </w:pPr>
      <w:r>
        <w:rPr>
          <w:sz w:val="20"/>
          <w:szCs w:val="20"/>
        </w:rPr>
        <w:t>Level 1–These are investments where values are based on unadjusted quoted prices for identical assets in an active market that the Company has the ability to access.</w:t>
      </w:r>
    </w:p>
    <w:p w:rsidR="00000000" w:rsidRDefault="00FF2C06">
      <w:pPr>
        <w:pStyle w:val="a3"/>
        <w:spacing w:before="0" w:beforeAutospacing="0" w:after="200" w:afterAutospacing="0"/>
        <w:ind w:firstLine="547"/>
        <w:divId w:val="34937234"/>
        <w:rPr>
          <w:sz w:val="20"/>
          <w:szCs w:val="20"/>
        </w:rPr>
      </w:pPr>
      <w:r>
        <w:rPr>
          <w:sz w:val="20"/>
          <w:szCs w:val="20"/>
        </w:rPr>
        <w:t>Level 2–These are investments where values are based</w:t>
      </w:r>
      <w:r>
        <w:rPr>
          <w:sz w:val="20"/>
          <w:szCs w:val="20"/>
        </w:rPr>
        <w:t xml:space="preserve"> on quoted market prices in markets that are not active or model derived valuations in which all significant inputs are observable in active markets</w:t>
      </w:r>
    </w:p>
    <w:p w:rsidR="00000000" w:rsidRDefault="00FF2C06">
      <w:pPr>
        <w:pStyle w:val="a3"/>
        <w:spacing w:before="480" w:beforeAutospacing="0" w:after="0" w:afterAutospacing="0"/>
        <w:jc w:val="center"/>
        <w:divId w:val="100417673"/>
        <w:rPr>
          <w:sz w:val="20"/>
          <w:szCs w:val="20"/>
        </w:rPr>
      </w:pPr>
      <w:r>
        <w:rPr>
          <w:sz w:val="20"/>
          <w:szCs w:val="20"/>
        </w:rPr>
        <w:t>10</w:t>
      </w:r>
    </w:p>
    <w:p w:rsidR="00000000" w:rsidRDefault="00FF2C06">
      <w:pPr>
        <w:pStyle w:val="a3"/>
        <w:spacing w:before="0" w:beforeAutospacing="0" w:after="600" w:afterAutospacing="0"/>
        <w:divId w:val="229658183"/>
        <w:rPr>
          <w:sz w:val="20"/>
          <w:szCs w:val="20"/>
        </w:rPr>
      </w:pPr>
      <w:hyperlink w:anchor="TOC" w:history="1">
        <w:r>
          <w:rPr>
            <w:rStyle w:val="a4"/>
            <w:sz w:val="20"/>
            <w:szCs w:val="20"/>
          </w:rPr>
          <w:t>Table of Contents</w:t>
        </w:r>
      </w:hyperlink>
    </w:p>
    <w:p w:rsidR="00000000" w:rsidRDefault="00FF2C06">
      <w:pPr>
        <w:pStyle w:val="a3"/>
        <w:spacing w:before="0" w:beforeAutospacing="0" w:after="200" w:afterAutospacing="0"/>
        <w:ind w:firstLine="547"/>
        <w:divId w:val="1029600268"/>
        <w:rPr>
          <w:sz w:val="20"/>
          <w:szCs w:val="20"/>
        </w:rPr>
      </w:pPr>
      <w:r>
        <w:rPr>
          <w:sz w:val="20"/>
          <w:szCs w:val="20"/>
        </w:rPr>
        <w:t>The Company does not have fair valued assets classified unde</w:t>
      </w:r>
      <w:r>
        <w:rPr>
          <w:sz w:val="20"/>
          <w:szCs w:val="20"/>
        </w:rPr>
        <w:t>r Level 2 as of September 30, 2020 and December 31, 2019.</w:t>
      </w:r>
    </w:p>
    <w:p w:rsidR="00000000" w:rsidRDefault="00FF2C06">
      <w:pPr>
        <w:pStyle w:val="a3"/>
        <w:spacing w:before="0" w:beforeAutospacing="0" w:after="200" w:afterAutospacing="0"/>
        <w:ind w:firstLine="547"/>
        <w:divId w:val="1029600268"/>
        <w:rPr>
          <w:sz w:val="20"/>
          <w:szCs w:val="20"/>
        </w:rPr>
      </w:pPr>
      <w:r>
        <w:rPr>
          <w:sz w:val="20"/>
          <w:szCs w:val="20"/>
        </w:rPr>
        <w:t>Level 3–These are financial instruments where values are derived from techniques in which one or more significant inputs are unobservable.</w:t>
      </w:r>
    </w:p>
    <w:p w:rsidR="00000000" w:rsidRDefault="00FF2C06">
      <w:pPr>
        <w:pStyle w:val="a3"/>
        <w:spacing w:before="0" w:beforeAutospacing="0" w:after="200" w:afterAutospacing="0"/>
        <w:ind w:firstLine="547"/>
        <w:divId w:val="1029600268"/>
        <w:rPr>
          <w:sz w:val="20"/>
          <w:szCs w:val="20"/>
        </w:rPr>
      </w:pPr>
      <w:r>
        <w:rPr>
          <w:sz w:val="20"/>
          <w:szCs w:val="20"/>
        </w:rPr>
        <w:t>The Company does not have fair valued assets classified under Level 3 as of September 30, 2020 and December 31, 2019.</w:t>
      </w:r>
    </w:p>
    <w:p w:rsidR="00000000" w:rsidRDefault="00FF2C06">
      <w:pPr>
        <w:pStyle w:val="a3"/>
        <w:spacing w:before="0" w:beforeAutospacing="0" w:after="200" w:afterAutospacing="0"/>
        <w:ind w:firstLine="547"/>
        <w:divId w:val="1029600268"/>
        <w:rPr>
          <w:sz w:val="20"/>
          <w:szCs w:val="20"/>
        </w:rPr>
      </w:pPr>
      <w:r>
        <w:rPr>
          <w:sz w:val="20"/>
          <w:szCs w:val="20"/>
        </w:rPr>
        <w:t>The Company’s financial instruments consist of cash and cash equivalents and short-term investments, all of which are reported at their re</w:t>
      </w:r>
      <w:r>
        <w:rPr>
          <w:sz w:val="20"/>
          <w:szCs w:val="20"/>
        </w:rPr>
        <w:t>spective fair value on its condensed consolidated balance sheets.</w:t>
      </w:r>
    </w:p>
    <w:p w:rsidR="00000000" w:rsidRDefault="00FF2C06">
      <w:pPr>
        <w:pStyle w:val="a3"/>
        <w:spacing w:before="0" w:beforeAutospacing="0" w:after="0" w:afterAutospacing="0"/>
        <w:ind w:firstLine="547"/>
        <w:divId w:val="1029600268"/>
        <w:rPr>
          <w:sz w:val="20"/>
          <w:szCs w:val="20"/>
        </w:rPr>
      </w:pPr>
      <w:r>
        <w:rPr>
          <w:sz w:val="20"/>
          <w:szCs w:val="20"/>
        </w:rPr>
        <w:t>As of September 30, 2020 and December 31, 2019, financial assets measured at fair value on a recurring basis are categorized in the table below based upon the lowest level of significant inp</w:t>
      </w:r>
      <w:r>
        <w:rPr>
          <w:sz w:val="20"/>
          <w:szCs w:val="20"/>
        </w:rPr>
        <w:t>ut to the valuations (in thousands):</w:t>
      </w:r>
    </w:p>
    <w:p w:rsidR="00000000" w:rsidRDefault="00FF2C06">
      <w:pPr>
        <w:pStyle w:val="a3"/>
        <w:spacing w:before="0" w:beforeAutospacing="0" w:after="0" w:afterAutospacing="0"/>
        <w:ind w:firstLine="547"/>
        <w:divId w:val="1029600268"/>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337"/>
        <w:gridCol w:w="170"/>
        <w:gridCol w:w="106"/>
        <w:gridCol w:w="724"/>
        <w:gridCol w:w="173"/>
        <w:gridCol w:w="107"/>
        <w:gridCol w:w="703"/>
        <w:gridCol w:w="173"/>
        <w:gridCol w:w="107"/>
        <w:gridCol w:w="703"/>
        <w:gridCol w:w="173"/>
        <w:gridCol w:w="107"/>
        <w:gridCol w:w="723"/>
      </w:tblGrid>
      <w:tr w:rsidR="00000000">
        <w:trPr>
          <w:divId w:val="1029600268"/>
          <w:trHeight w:val="20"/>
        </w:trPr>
        <w:tc>
          <w:tcPr>
            <w:tcW w:w="2612" w:type="pct"/>
            <w:tcMar>
              <w:top w:w="0" w:type="dxa"/>
              <w:left w:w="0" w:type="dxa"/>
              <w:bottom w:w="0" w:type="dxa"/>
              <w:right w:w="0" w:type="dxa"/>
            </w:tcMar>
            <w:vAlign w:val="bottom"/>
            <w:hideMark/>
          </w:tcPr>
          <w:p w:rsidR="00000000" w:rsidRDefault="00FF2C06">
            <w:pPr>
              <w:pStyle w:val="a3"/>
              <w:spacing w:before="0" w:beforeAutospacing="0" w:after="0" w:afterAutospacing="0"/>
              <w:divId w:val="685600003"/>
              <w:rPr>
                <w:sz w:val="20"/>
                <w:szCs w:val="20"/>
              </w:rPr>
            </w:pPr>
            <w:r>
              <w:rPr>
                <w:sz w:val="2"/>
                <w:szCs w:val="2"/>
              </w:rPr>
              <w:t>​</w:t>
            </w:r>
          </w:p>
        </w:tc>
        <w:tc>
          <w:tcPr>
            <w:tcW w:w="105"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476148564"/>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888758747"/>
              <w:rPr>
                <w:sz w:val="20"/>
                <w:szCs w:val="20"/>
              </w:rPr>
            </w:pPr>
            <w:r>
              <w:rPr>
                <w:sz w:val="2"/>
                <w:szCs w:val="2"/>
              </w:rPr>
              <w:t>​</w:t>
            </w:r>
          </w:p>
        </w:tc>
        <w:tc>
          <w:tcPr>
            <w:tcW w:w="425"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397632777"/>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881359396"/>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791676850"/>
              <w:rPr>
                <w:sz w:val="20"/>
                <w:szCs w:val="20"/>
              </w:rPr>
            </w:pPr>
            <w:r>
              <w:rPr>
                <w:sz w:val="2"/>
                <w:szCs w:val="2"/>
              </w:rPr>
              <w:t>​</w:t>
            </w:r>
          </w:p>
        </w:tc>
        <w:tc>
          <w:tcPr>
            <w:tcW w:w="425"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311758551"/>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243032194"/>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965232724"/>
              <w:rPr>
                <w:sz w:val="20"/>
                <w:szCs w:val="20"/>
              </w:rPr>
            </w:pPr>
            <w:r>
              <w:rPr>
                <w:sz w:val="2"/>
                <w:szCs w:val="2"/>
              </w:rPr>
              <w:t>​</w:t>
            </w:r>
          </w:p>
        </w:tc>
        <w:tc>
          <w:tcPr>
            <w:tcW w:w="425"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042747335"/>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799492136"/>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646157176"/>
              <w:rPr>
                <w:sz w:val="20"/>
                <w:szCs w:val="20"/>
              </w:rPr>
            </w:pPr>
            <w:r>
              <w:rPr>
                <w:sz w:val="2"/>
                <w:szCs w:val="2"/>
              </w:rPr>
              <w:t>​</w:t>
            </w:r>
          </w:p>
        </w:tc>
        <w:tc>
          <w:tcPr>
            <w:tcW w:w="424"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654144814"/>
              <w:rPr>
                <w:sz w:val="20"/>
                <w:szCs w:val="20"/>
              </w:rPr>
            </w:pPr>
            <w:r>
              <w:rPr>
                <w:sz w:val="2"/>
                <w:szCs w:val="2"/>
              </w:rPr>
              <w:t>​</w:t>
            </w:r>
          </w:p>
        </w:tc>
      </w:tr>
      <w:tr w:rsidR="00000000">
        <w:trPr>
          <w:divId w:val="1029600268"/>
        </w:trPr>
        <w:tc>
          <w:tcPr>
            <w:tcW w:w="2612" w:type="pct"/>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105"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b/>
                <w:bCs/>
                <w:sz w:val="16"/>
                <w:szCs w:val="16"/>
              </w:rPr>
              <w:t>​</w:t>
            </w:r>
          </w:p>
        </w:tc>
        <w:tc>
          <w:tcPr>
            <w:tcW w:w="2281" w:type="pct"/>
            <w:gridSpan w:val="11"/>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Assets at Fair Value as of September 30, 2020</w:t>
            </w:r>
          </w:p>
        </w:tc>
      </w:tr>
      <w:tr w:rsidR="00000000">
        <w:trPr>
          <w:divId w:val="1029600268"/>
        </w:trPr>
        <w:tc>
          <w:tcPr>
            <w:tcW w:w="2612" w:type="pct"/>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w:t>
            </w:r>
          </w:p>
        </w:tc>
        <w:tc>
          <w:tcPr>
            <w:tcW w:w="105"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b/>
                <w:bCs/>
                <w:sz w:val="16"/>
                <w:szCs w:val="16"/>
              </w:rPr>
              <w:t>    </w:t>
            </w:r>
          </w:p>
        </w:tc>
        <w:tc>
          <w:tcPr>
            <w:tcW w:w="491"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Level 1</w:t>
            </w:r>
          </w:p>
        </w:tc>
        <w:tc>
          <w:tcPr>
            <w:tcW w:w="106"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b/>
                <w:bCs/>
                <w:sz w:val="16"/>
                <w:szCs w:val="16"/>
              </w:rPr>
              <w:t>    </w:t>
            </w:r>
          </w:p>
        </w:tc>
        <w:tc>
          <w:tcPr>
            <w:tcW w:w="491"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Level 2</w:t>
            </w:r>
          </w:p>
        </w:tc>
        <w:tc>
          <w:tcPr>
            <w:tcW w:w="106"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b/>
                <w:bCs/>
                <w:sz w:val="16"/>
                <w:szCs w:val="16"/>
              </w:rPr>
              <w:t>    </w:t>
            </w:r>
          </w:p>
        </w:tc>
        <w:tc>
          <w:tcPr>
            <w:tcW w:w="491"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Level 3</w:t>
            </w:r>
          </w:p>
        </w:tc>
        <w:tc>
          <w:tcPr>
            <w:tcW w:w="106"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b/>
                <w:bCs/>
                <w:sz w:val="16"/>
                <w:szCs w:val="16"/>
              </w:rPr>
              <w:t>    </w:t>
            </w:r>
          </w:p>
        </w:tc>
        <w:tc>
          <w:tcPr>
            <w:tcW w:w="490"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Total</w:t>
            </w:r>
          </w:p>
        </w:tc>
      </w:tr>
      <w:tr w:rsidR="00000000">
        <w:trPr>
          <w:divId w:val="1029600268"/>
        </w:trPr>
        <w:tc>
          <w:tcPr>
            <w:tcW w:w="2612" w:type="pct"/>
            <w:shd w:val="clear" w:color="auto" w:fill="CCEEFF"/>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U.S. treasury securities</w:t>
            </w:r>
          </w:p>
        </w:tc>
        <w:tc>
          <w:tcPr>
            <w:tcW w:w="10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42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72"/>
              <w:jc w:val="right"/>
              <w:rPr>
                <w:sz w:val="20"/>
                <w:szCs w:val="20"/>
              </w:rPr>
            </w:pPr>
            <w:r>
              <w:rPr>
                <w:sz w:val="20"/>
                <w:szCs w:val="20"/>
              </w:rPr>
              <w:t>421,155</w:t>
            </w:r>
          </w:p>
        </w:tc>
        <w:tc>
          <w:tcPr>
            <w:tcW w:w="10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42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72"/>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42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72"/>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72"/>
              <w:jc w:val="right"/>
              <w:rPr>
                <w:sz w:val="20"/>
                <w:szCs w:val="20"/>
              </w:rPr>
            </w:pPr>
            <w:r>
              <w:rPr>
                <w:sz w:val="20"/>
                <w:szCs w:val="20"/>
              </w:rPr>
              <w:t>421,155</w:t>
            </w:r>
          </w:p>
        </w:tc>
      </w:tr>
      <w:tr w:rsidR="00000000">
        <w:trPr>
          <w:divId w:val="1029600268"/>
        </w:trPr>
        <w:tc>
          <w:tcPr>
            <w:tcW w:w="2612" w:type="pct"/>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U.S. government agency securities</w:t>
            </w:r>
          </w:p>
        </w:tc>
        <w:tc>
          <w:tcPr>
            <w:tcW w:w="105"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 </w:t>
            </w:r>
          </w:p>
        </w:tc>
        <w:tc>
          <w:tcPr>
            <w:tcW w:w="425"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ind w:right="72"/>
              <w:jc w:val="right"/>
              <w:rPr>
                <w:sz w:val="20"/>
                <w:szCs w:val="20"/>
              </w:rPr>
            </w:pPr>
            <w:r>
              <w:rPr>
                <w:sz w:val="20"/>
                <w:szCs w:val="20"/>
              </w:rPr>
              <w:t>224,683</w:t>
            </w:r>
          </w:p>
        </w:tc>
        <w:tc>
          <w:tcPr>
            <w:tcW w:w="106"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 </w:t>
            </w:r>
          </w:p>
        </w:tc>
        <w:tc>
          <w:tcPr>
            <w:tcW w:w="425"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ind w:right="72"/>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 </w:t>
            </w:r>
          </w:p>
        </w:tc>
        <w:tc>
          <w:tcPr>
            <w:tcW w:w="425"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ind w:right="72"/>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 </w:t>
            </w:r>
          </w:p>
        </w:tc>
        <w:tc>
          <w:tcPr>
            <w:tcW w:w="424"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ind w:right="72"/>
              <w:jc w:val="right"/>
              <w:rPr>
                <w:sz w:val="20"/>
                <w:szCs w:val="20"/>
              </w:rPr>
            </w:pPr>
            <w:r>
              <w:rPr>
                <w:sz w:val="20"/>
                <w:szCs w:val="20"/>
              </w:rPr>
              <w:t>224,683</w:t>
            </w:r>
          </w:p>
        </w:tc>
      </w:tr>
      <w:tr w:rsidR="00000000">
        <w:trPr>
          <w:divId w:val="1029600268"/>
        </w:trPr>
        <w:tc>
          <w:tcPr>
            <w:tcW w:w="2612" w:type="pct"/>
            <w:shd w:val="clear" w:color="auto" w:fill="CCEEFF"/>
            <w:tcMar>
              <w:top w:w="0" w:type="dxa"/>
              <w:left w:w="0" w:type="dxa"/>
              <w:bottom w:w="0" w:type="dxa"/>
              <w:right w:w="0" w:type="dxa"/>
            </w:tcMar>
            <w:vAlign w:val="bottom"/>
            <w:hideMark/>
          </w:tcPr>
          <w:p w:rsidR="00000000" w:rsidRDefault="00FF2C06">
            <w:pPr>
              <w:pStyle w:val="a3"/>
              <w:spacing w:before="0" w:beforeAutospacing="0" w:after="0" w:afterAutospacing="0"/>
              <w:ind w:left="120"/>
              <w:rPr>
                <w:sz w:val="20"/>
                <w:szCs w:val="20"/>
              </w:rPr>
            </w:pPr>
            <w:r>
              <w:rPr>
                <w:sz w:val="20"/>
                <w:szCs w:val="20"/>
              </w:rPr>
              <w:t>Total</w:t>
            </w:r>
          </w:p>
        </w:tc>
        <w:tc>
          <w:tcPr>
            <w:tcW w:w="10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42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72"/>
              <w:jc w:val="right"/>
              <w:rPr>
                <w:sz w:val="20"/>
                <w:szCs w:val="20"/>
              </w:rPr>
            </w:pPr>
            <w:r>
              <w:rPr>
                <w:sz w:val="20"/>
                <w:szCs w:val="20"/>
              </w:rPr>
              <w:t>645,838</w:t>
            </w:r>
          </w:p>
        </w:tc>
        <w:tc>
          <w:tcPr>
            <w:tcW w:w="10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42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72"/>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42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72"/>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42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72"/>
              <w:jc w:val="right"/>
              <w:rPr>
                <w:sz w:val="20"/>
                <w:szCs w:val="20"/>
              </w:rPr>
            </w:pPr>
            <w:r>
              <w:rPr>
                <w:sz w:val="20"/>
                <w:szCs w:val="20"/>
              </w:rPr>
              <w:t>645,838</w:t>
            </w:r>
          </w:p>
        </w:tc>
      </w:tr>
    </w:tbl>
    <w:p w:rsidR="00000000" w:rsidRDefault="00FF2C06">
      <w:pPr>
        <w:pStyle w:val="a3"/>
        <w:spacing w:before="0" w:beforeAutospacing="0" w:after="0" w:afterAutospacing="0"/>
        <w:divId w:val="1029600268"/>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337"/>
        <w:gridCol w:w="170"/>
        <w:gridCol w:w="106"/>
        <w:gridCol w:w="724"/>
        <w:gridCol w:w="173"/>
        <w:gridCol w:w="107"/>
        <w:gridCol w:w="703"/>
        <w:gridCol w:w="173"/>
        <w:gridCol w:w="107"/>
        <w:gridCol w:w="703"/>
        <w:gridCol w:w="173"/>
        <w:gridCol w:w="107"/>
        <w:gridCol w:w="723"/>
      </w:tblGrid>
      <w:tr w:rsidR="00000000">
        <w:trPr>
          <w:divId w:val="1029600268"/>
          <w:trHeight w:val="20"/>
        </w:trPr>
        <w:tc>
          <w:tcPr>
            <w:tcW w:w="2612" w:type="pct"/>
            <w:tcMar>
              <w:top w:w="0" w:type="dxa"/>
              <w:left w:w="0" w:type="dxa"/>
              <w:bottom w:w="0" w:type="dxa"/>
              <w:right w:w="0" w:type="dxa"/>
            </w:tcMar>
            <w:vAlign w:val="bottom"/>
            <w:hideMark/>
          </w:tcPr>
          <w:p w:rsidR="00000000" w:rsidRDefault="00FF2C06">
            <w:pPr>
              <w:pStyle w:val="a3"/>
              <w:spacing w:before="0" w:beforeAutospacing="0" w:after="1" w:afterAutospacing="0"/>
              <w:divId w:val="1311448570"/>
              <w:rPr>
                <w:sz w:val="20"/>
                <w:szCs w:val="20"/>
              </w:rPr>
            </w:pPr>
            <w:r>
              <w:rPr>
                <w:sz w:val="2"/>
                <w:szCs w:val="2"/>
              </w:rPr>
              <w:t>​</w:t>
            </w:r>
          </w:p>
        </w:tc>
        <w:tc>
          <w:tcPr>
            <w:tcW w:w="105"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232469210"/>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982274237"/>
              <w:rPr>
                <w:sz w:val="20"/>
                <w:szCs w:val="20"/>
              </w:rPr>
            </w:pPr>
            <w:r>
              <w:rPr>
                <w:sz w:val="2"/>
                <w:szCs w:val="2"/>
              </w:rPr>
              <w:t>​</w:t>
            </w:r>
          </w:p>
        </w:tc>
        <w:tc>
          <w:tcPr>
            <w:tcW w:w="425"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398281025"/>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789816647"/>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347635134"/>
              <w:rPr>
                <w:sz w:val="20"/>
                <w:szCs w:val="20"/>
              </w:rPr>
            </w:pPr>
            <w:r>
              <w:rPr>
                <w:sz w:val="2"/>
                <w:szCs w:val="2"/>
              </w:rPr>
              <w:t>​</w:t>
            </w:r>
          </w:p>
        </w:tc>
        <w:tc>
          <w:tcPr>
            <w:tcW w:w="425"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2044212844"/>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469124540"/>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266770351"/>
              <w:rPr>
                <w:sz w:val="20"/>
                <w:szCs w:val="20"/>
              </w:rPr>
            </w:pPr>
            <w:r>
              <w:rPr>
                <w:sz w:val="2"/>
                <w:szCs w:val="2"/>
              </w:rPr>
              <w:t>​</w:t>
            </w:r>
          </w:p>
        </w:tc>
        <w:tc>
          <w:tcPr>
            <w:tcW w:w="425"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060176533"/>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06776573"/>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353462749"/>
              <w:rPr>
                <w:sz w:val="20"/>
                <w:szCs w:val="20"/>
              </w:rPr>
            </w:pPr>
            <w:r>
              <w:rPr>
                <w:sz w:val="2"/>
                <w:szCs w:val="2"/>
              </w:rPr>
              <w:t>​</w:t>
            </w:r>
          </w:p>
        </w:tc>
        <w:tc>
          <w:tcPr>
            <w:tcW w:w="424"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234053469"/>
              <w:rPr>
                <w:sz w:val="20"/>
                <w:szCs w:val="20"/>
              </w:rPr>
            </w:pPr>
            <w:r>
              <w:rPr>
                <w:sz w:val="2"/>
                <w:szCs w:val="2"/>
              </w:rPr>
              <w:t>​</w:t>
            </w:r>
          </w:p>
        </w:tc>
      </w:tr>
      <w:tr w:rsidR="00000000">
        <w:trPr>
          <w:divId w:val="1029600268"/>
        </w:trPr>
        <w:tc>
          <w:tcPr>
            <w:tcW w:w="2612"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10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16"/>
                <w:szCs w:val="16"/>
              </w:rPr>
              <w:t>​</w:t>
            </w:r>
          </w:p>
        </w:tc>
        <w:tc>
          <w:tcPr>
            <w:tcW w:w="2281" w:type="pct"/>
            <w:gridSpan w:val="11"/>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Assets at Fair Value as of December 31, 2019</w:t>
            </w:r>
          </w:p>
        </w:tc>
      </w:tr>
      <w:tr w:rsidR="00000000">
        <w:trPr>
          <w:divId w:val="1029600268"/>
        </w:trPr>
        <w:tc>
          <w:tcPr>
            <w:tcW w:w="2612" w:type="pct"/>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w:t>
            </w:r>
          </w:p>
        </w:tc>
        <w:tc>
          <w:tcPr>
            <w:tcW w:w="10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b/>
                <w:bCs/>
                <w:sz w:val="16"/>
                <w:szCs w:val="16"/>
              </w:rPr>
              <w:t>    </w:t>
            </w:r>
          </w:p>
        </w:tc>
        <w:tc>
          <w:tcPr>
            <w:tcW w:w="491"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Level 1</w:t>
            </w:r>
          </w:p>
        </w:tc>
        <w:tc>
          <w:tcPr>
            <w:tcW w:w="106"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b/>
                <w:bCs/>
                <w:sz w:val="16"/>
                <w:szCs w:val="16"/>
              </w:rPr>
              <w:t>    </w:t>
            </w:r>
          </w:p>
        </w:tc>
        <w:tc>
          <w:tcPr>
            <w:tcW w:w="491"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Level 2</w:t>
            </w:r>
          </w:p>
        </w:tc>
        <w:tc>
          <w:tcPr>
            <w:tcW w:w="106"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b/>
                <w:bCs/>
                <w:sz w:val="16"/>
                <w:szCs w:val="16"/>
              </w:rPr>
              <w:t>    </w:t>
            </w:r>
          </w:p>
        </w:tc>
        <w:tc>
          <w:tcPr>
            <w:tcW w:w="491"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Level 3</w:t>
            </w:r>
          </w:p>
        </w:tc>
        <w:tc>
          <w:tcPr>
            <w:tcW w:w="106"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b/>
                <w:bCs/>
                <w:sz w:val="16"/>
                <w:szCs w:val="16"/>
              </w:rPr>
              <w:t>    </w:t>
            </w:r>
          </w:p>
        </w:tc>
        <w:tc>
          <w:tcPr>
            <w:tcW w:w="490"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Total</w:t>
            </w:r>
          </w:p>
        </w:tc>
      </w:tr>
      <w:tr w:rsidR="00000000">
        <w:trPr>
          <w:divId w:val="1029600268"/>
        </w:trPr>
        <w:tc>
          <w:tcPr>
            <w:tcW w:w="2612"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US treasury securities</w:t>
            </w:r>
          </w:p>
        </w:tc>
        <w:tc>
          <w:tcPr>
            <w:tcW w:w="10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2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242,249</w:t>
            </w:r>
          </w:p>
        </w:tc>
        <w:tc>
          <w:tcPr>
            <w:tcW w:w="10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2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2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242,249</w:t>
            </w:r>
          </w:p>
        </w:tc>
      </w:tr>
      <w:tr w:rsidR="00000000">
        <w:trPr>
          <w:divId w:val="1029600268"/>
        </w:trPr>
        <w:tc>
          <w:tcPr>
            <w:tcW w:w="2612"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US government agency securities</w:t>
            </w:r>
          </w:p>
        </w:tc>
        <w:tc>
          <w:tcPr>
            <w:tcW w:w="10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425"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50,863</w:t>
            </w:r>
          </w:p>
        </w:tc>
        <w:tc>
          <w:tcPr>
            <w:tcW w:w="106"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425"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425"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424"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50,863</w:t>
            </w:r>
          </w:p>
        </w:tc>
      </w:tr>
      <w:tr w:rsidR="00000000">
        <w:trPr>
          <w:divId w:val="1029600268"/>
        </w:trPr>
        <w:tc>
          <w:tcPr>
            <w:tcW w:w="2612"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ind w:left="120"/>
              <w:rPr>
                <w:sz w:val="20"/>
                <w:szCs w:val="20"/>
              </w:rPr>
            </w:pPr>
            <w:r>
              <w:rPr>
                <w:sz w:val="20"/>
                <w:szCs w:val="20"/>
              </w:rPr>
              <w:t>Total</w:t>
            </w:r>
          </w:p>
        </w:tc>
        <w:tc>
          <w:tcPr>
            <w:tcW w:w="10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2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293,112</w:t>
            </w:r>
          </w:p>
        </w:tc>
        <w:tc>
          <w:tcPr>
            <w:tcW w:w="10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2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2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2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293,112</w:t>
            </w:r>
          </w:p>
        </w:tc>
      </w:tr>
    </w:tbl>
    <w:p w:rsidR="00000000" w:rsidRDefault="00FF2C06">
      <w:pPr>
        <w:pStyle w:val="a3"/>
        <w:spacing w:before="0" w:beforeAutospacing="0" w:after="0" w:afterAutospacing="0"/>
        <w:divId w:val="1029600268"/>
        <w:rPr>
          <w:sz w:val="20"/>
          <w:szCs w:val="20"/>
        </w:rPr>
      </w:pPr>
      <w:r>
        <w:rPr>
          <w:sz w:val="20"/>
          <w:szCs w:val="20"/>
        </w:rPr>
        <w:t>​</w:t>
      </w:r>
    </w:p>
    <w:p w:rsidR="00000000" w:rsidRDefault="00FF2C06">
      <w:pPr>
        <w:pStyle w:val="a3"/>
        <w:spacing w:before="0" w:beforeAutospacing="0" w:after="200" w:afterAutospacing="0"/>
        <w:divId w:val="1029600268"/>
        <w:rPr>
          <w:b/>
          <w:bCs/>
          <w:i/>
          <w:iCs/>
          <w:sz w:val="20"/>
          <w:szCs w:val="20"/>
        </w:rPr>
      </w:pPr>
      <w:r>
        <w:rPr>
          <w:b/>
          <w:bCs/>
          <w:i/>
          <w:iCs/>
          <w:sz w:val="20"/>
          <w:szCs w:val="20"/>
        </w:rPr>
        <w:t>Use of Estimates</w:t>
      </w:r>
    </w:p>
    <w:p w:rsidR="00000000" w:rsidRDefault="00FF2C06">
      <w:pPr>
        <w:pStyle w:val="a3"/>
        <w:spacing w:before="0" w:beforeAutospacing="0" w:after="200" w:afterAutospacing="0"/>
        <w:ind w:firstLine="547"/>
        <w:divId w:val="1029600268"/>
        <w:rPr>
          <w:b/>
          <w:bCs/>
          <w:i/>
          <w:iCs/>
          <w:sz w:val="20"/>
          <w:szCs w:val="20"/>
        </w:rPr>
      </w:pPr>
      <w:r>
        <w:rPr>
          <w:sz w:val="20"/>
          <w:szCs w:val="20"/>
        </w:rPr>
        <w:t>The preparation of financial statements in conformity with GAAP requires management to make estimates and assumptions that affect the reported amounts of assets and liabilities and disclosure of contingent assets and liabilities at the date of the financia</w:t>
      </w:r>
      <w:r>
        <w:rPr>
          <w:sz w:val="20"/>
          <w:szCs w:val="20"/>
        </w:rPr>
        <w:t>l statements and the reported amounts of revenue and expenses during the reporting period. Actual results could differ from those estimates. Significant estimates include the assumptions made in valuing stock instruments issued for services and used in mea</w:t>
      </w:r>
      <w:r>
        <w:rPr>
          <w:sz w:val="20"/>
          <w:szCs w:val="20"/>
        </w:rPr>
        <w:t>suring operating right-of-use assets and operating lease liabilities, valuation of short-term investments, accounting for potential liabilities, and the valuation allowance associated with the Company’s deferred tax assets.</w:t>
      </w:r>
    </w:p>
    <w:p w:rsidR="00000000" w:rsidRDefault="00FF2C06">
      <w:pPr>
        <w:pStyle w:val="a3"/>
        <w:spacing w:before="0" w:beforeAutospacing="0" w:after="200" w:afterAutospacing="0"/>
        <w:divId w:val="1029600268"/>
        <w:rPr>
          <w:b/>
          <w:bCs/>
          <w:i/>
          <w:iCs/>
          <w:sz w:val="20"/>
          <w:szCs w:val="20"/>
        </w:rPr>
      </w:pPr>
      <w:r>
        <w:rPr>
          <w:b/>
          <w:bCs/>
          <w:i/>
          <w:iCs/>
          <w:sz w:val="20"/>
          <w:szCs w:val="20"/>
        </w:rPr>
        <w:t>Principles of Consolidation</w:t>
      </w:r>
    </w:p>
    <w:p w:rsidR="00000000" w:rsidRDefault="00FF2C06">
      <w:pPr>
        <w:pStyle w:val="a3"/>
        <w:spacing w:before="0" w:beforeAutospacing="0" w:after="200" w:afterAutospacing="0"/>
        <w:ind w:firstLine="547"/>
        <w:divId w:val="1029600268"/>
        <w:rPr>
          <w:b/>
          <w:bCs/>
          <w:i/>
          <w:iCs/>
          <w:sz w:val="20"/>
          <w:szCs w:val="20"/>
        </w:rPr>
      </w:pPr>
      <w:r>
        <w:rPr>
          <w:sz w:val="20"/>
          <w:szCs w:val="20"/>
        </w:rPr>
        <w:t xml:space="preserve">The </w:t>
      </w:r>
      <w:r>
        <w:rPr>
          <w:sz w:val="20"/>
          <w:szCs w:val="20"/>
        </w:rPr>
        <w:t>accompanying condensed consolidated financial statements include the accounts of Iovance Biotherapeutics, Inc. and its wholly-owned subsidiaries, Iovance Biotherapeutics Manufacturing LLC and Iovance Biotherapeutics GmbH. All intercompany accounts and tran</w:t>
      </w:r>
      <w:r>
        <w:rPr>
          <w:sz w:val="20"/>
          <w:szCs w:val="20"/>
        </w:rPr>
        <w:t>sactions have been eliminated. The U.S. dollar is the functional currency for all of the Company's consolidated operations.</w:t>
      </w:r>
    </w:p>
    <w:p w:rsidR="00000000" w:rsidRDefault="00FF2C06">
      <w:pPr>
        <w:pStyle w:val="a3"/>
        <w:spacing w:before="0" w:beforeAutospacing="0" w:after="200" w:afterAutospacing="0"/>
        <w:divId w:val="1029600268"/>
        <w:rPr>
          <w:b/>
          <w:bCs/>
          <w:i/>
          <w:iCs/>
          <w:sz w:val="20"/>
          <w:szCs w:val="20"/>
        </w:rPr>
      </w:pPr>
      <w:r>
        <w:rPr>
          <w:b/>
          <w:bCs/>
          <w:i/>
          <w:iCs/>
          <w:sz w:val="20"/>
          <w:szCs w:val="20"/>
        </w:rPr>
        <w:t>Income Taxes</w:t>
      </w:r>
    </w:p>
    <w:p w:rsidR="00000000" w:rsidRDefault="00FF2C06">
      <w:pPr>
        <w:pStyle w:val="a3"/>
        <w:spacing w:before="0" w:beforeAutospacing="0" w:after="200" w:afterAutospacing="0"/>
        <w:ind w:firstLine="547"/>
        <w:divId w:val="1029600268"/>
        <w:rPr>
          <w:b/>
          <w:bCs/>
          <w:i/>
          <w:iCs/>
          <w:sz w:val="20"/>
          <w:szCs w:val="20"/>
        </w:rPr>
      </w:pPr>
      <w:r>
        <w:rPr>
          <w:sz w:val="20"/>
          <w:szCs w:val="20"/>
        </w:rPr>
        <w:t>The Company accounts for income taxes using the asset and liability method whereby deferred tax assets are recognized f</w:t>
      </w:r>
      <w:r>
        <w:rPr>
          <w:sz w:val="20"/>
          <w:szCs w:val="20"/>
        </w:rPr>
        <w:t>or deductible temporary differences, and deferred tax liabilities are recognized for taxable temporary differences. Temporary differences are the differences between the reported amounts of assets and liabilities and their tax bases. Deferred tax assets ar</w:t>
      </w:r>
      <w:r>
        <w:rPr>
          <w:sz w:val="20"/>
          <w:szCs w:val="20"/>
        </w:rPr>
        <w:t xml:space="preserve">e reduced by a valuation allowance when, in the opinion of management, it is more likely than not that some portion or all of the deferred tax assets will be realized. Deferred tax assets and liabilities are adjusted for the effects of changes in tax laws </w:t>
      </w:r>
      <w:r>
        <w:rPr>
          <w:sz w:val="20"/>
          <w:szCs w:val="20"/>
        </w:rPr>
        <w:t>and rates on the date of enactment.</w:t>
      </w:r>
    </w:p>
    <w:p w:rsidR="00000000" w:rsidRDefault="00FF2C06">
      <w:pPr>
        <w:pStyle w:val="a3"/>
        <w:spacing w:before="0" w:beforeAutospacing="0" w:after="200" w:afterAutospacing="0"/>
        <w:ind w:firstLine="720"/>
        <w:divId w:val="1029600268"/>
        <w:rPr>
          <w:b/>
          <w:bCs/>
          <w:i/>
          <w:iCs/>
          <w:sz w:val="20"/>
          <w:szCs w:val="20"/>
        </w:rPr>
      </w:pPr>
      <w:r>
        <w:rPr>
          <w:sz w:val="20"/>
          <w:szCs w:val="20"/>
        </w:rPr>
        <w:t>ASC Topic 740-10-30 clarifies the accounting for uncertainty in income taxes recognized in an enterprise’s financial statements and prescribes a recognition threshold and measurement attribute for the financial statement</w:t>
      </w:r>
      <w:r>
        <w:rPr>
          <w:sz w:val="20"/>
          <w:szCs w:val="20"/>
        </w:rPr>
        <w:t xml:space="preserve"> recognition and measurement of a tax position taken or expected to be taken in a tax return. ASC Topic 740-10-40 provides guidance on de-recognition, classification, interest and penalties, accounting in interim periods, disclosure, and transition. The Co</w:t>
      </w:r>
      <w:r>
        <w:rPr>
          <w:sz w:val="20"/>
          <w:szCs w:val="20"/>
        </w:rPr>
        <w:t>mpany will classify as income tax expense any interest and penalties. The Company has no material uncertain tax positions for any of the reporting periods presented.</w:t>
      </w:r>
    </w:p>
    <w:p w:rsidR="00000000" w:rsidRDefault="00FF2C06">
      <w:pPr>
        <w:pStyle w:val="a3"/>
        <w:spacing w:before="480" w:beforeAutospacing="0" w:after="0" w:afterAutospacing="0"/>
        <w:jc w:val="center"/>
        <w:divId w:val="742994005"/>
        <w:rPr>
          <w:sz w:val="20"/>
          <w:szCs w:val="20"/>
        </w:rPr>
      </w:pPr>
      <w:r>
        <w:rPr>
          <w:sz w:val="20"/>
          <w:szCs w:val="20"/>
        </w:rPr>
        <w:t>11</w:t>
      </w:r>
    </w:p>
    <w:p w:rsidR="00000000" w:rsidRDefault="00FF2C06">
      <w:pPr>
        <w:pStyle w:val="a3"/>
        <w:spacing w:before="0" w:beforeAutospacing="0" w:after="600" w:afterAutospacing="0"/>
        <w:divId w:val="513689401"/>
        <w:rPr>
          <w:sz w:val="20"/>
          <w:szCs w:val="20"/>
        </w:rPr>
      </w:pPr>
      <w:hyperlink w:anchor="TOC" w:history="1">
        <w:r>
          <w:rPr>
            <w:rStyle w:val="a4"/>
            <w:sz w:val="20"/>
            <w:szCs w:val="20"/>
          </w:rPr>
          <w:t>Table of Contents</w:t>
        </w:r>
      </w:hyperlink>
    </w:p>
    <w:p w:rsidR="00000000" w:rsidRDefault="00FF2C06">
      <w:pPr>
        <w:pStyle w:val="a3"/>
        <w:spacing w:before="0" w:beforeAutospacing="0" w:after="200" w:afterAutospacing="0"/>
        <w:ind w:firstLine="547"/>
        <w:divId w:val="1841043807"/>
        <w:rPr>
          <w:b/>
          <w:bCs/>
          <w:i/>
          <w:iCs/>
          <w:sz w:val="20"/>
          <w:szCs w:val="20"/>
        </w:rPr>
      </w:pPr>
      <w:r>
        <w:rPr>
          <w:sz w:val="20"/>
          <w:szCs w:val="20"/>
        </w:rPr>
        <w:t>On March 27, 2020, the Coronavirus Aid, Rel</w:t>
      </w:r>
      <w:r>
        <w:rPr>
          <w:sz w:val="20"/>
          <w:szCs w:val="20"/>
        </w:rPr>
        <w:t xml:space="preserve">ief, and Economic Security Act (the “CARES Act”) was enacted and signed into law, and GAAP requires recognition of the tax effects of new legislation during the reporting period that includes the enactment date. The CARES Act, among other things, includes </w:t>
      </w:r>
      <w:r>
        <w:rPr>
          <w:sz w:val="20"/>
          <w:szCs w:val="20"/>
        </w:rPr>
        <w:t xml:space="preserve">changes to the tax provisions that benefits business entities and makes certain technical corrections to the 2017 Tax Cuts and Jobs Act. The tax relief measures for business entities include a five-year net operating loss (“NOL”) carrybacks, suspension of </w:t>
      </w:r>
      <w:r>
        <w:rPr>
          <w:sz w:val="20"/>
          <w:szCs w:val="20"/>
        </w:rPr>
        <w:t>annual deduction limitation of 80% taxable income from net operating losses generated in a tax year beginning after December 31, 2017, changes in the deductibility of interest, acceleration of alternative minimum tax credit refunds, payroll tax relief, and</w:t>
      </w:r>
      <w:r>
        <w:rPr>
          <w:sz w:val="20"/>
          <w:szCs w:val="20"/>
        </w:rPr>
        <w:t xml:space="preserve"> technical correction to allow accelerated deductions for qualified improvement property. The CARES Act also provides other non-tax benefits to assist those impacted by the pandemic. The Company evaluated the impact of the CARES Act and determined no mater</w:t>
      </w:r>
      <w:r>
        <w:rPr>
          <w:sz w:val="20"/>
          <w:szCs w:val="20"/>
        </w:rPr>
        <w:t>ial tax provision impact for the three and nine months ended September 30, 2020.</w:t>
      </w:r>
    </w:p>
    <w:p w:rsidR="00000000" w:rsidRDefault="00FF2C06">
      <w:pPr>
        <w:pStyle w:val="a3"/>
        <w:spacing w:before="0" w:beforeAutospacing="0" w:after="200" w:afterAutospacing="0"/>
        <w:divId w:val="1841043807"/>
        <w:rPr>
          <w:b/>
          <w:bCs/>
          <w:i/>
          <w:iCs/>
          <w:sz w:val="20"/>
          <w:szCs w:val="20"/>
        </w:rPr>
      </w:pPr>
      <w:r>
        <w:rPr>
          <w:b/>
          <w:bCs/>
          <w:i/>
          <w:iCs/>
          <w:sz w:val="20"/>
          <w:szCs w:val="20"/>
        </w:rPr>
        <w:t>Leases</w:t>
      </w:r>
    </w:p>
    <w:p w:rsidR="00000000" w:rsidRDefault="00FF2C06">
      <w:pPr>
        <w:pStyle w:val="a3"/>
        <w:spacing w:before="0" w:beforeAutospacing="0" w:after="200" w:afterAutospacing="0"/>
        <w:ind w:firstLine="547"/>
        <w:divId w:val="1841043807"/>
        <w:rPr>
          <w:sz w:val="20"/>
          <w:szCs w:val="20"/>
        </w:rPr>
      </w:pPr>
      <w:r>
        <w:rPr>
          <w:sz w:val="20"/>
          <w:szCs w:val="20"/>
        </w:rPr>
        <w:t>The Company determines if an arrangement includes a lease at inception. Operating leases are included in its condensed consolidated balance sheet as Operating lease rig</w:t>
      </w:r>
      <w:r>
        <w:rPr>
          <w:sz w:val="20"/>
          <w:szCs w:val="20"/>
        </w:rPr>
        <w:t>ht-of-use assets and Operating lease liabilities as of September 30, 2020 and December 31, 2019. Operating lease right-of-use assets represent the Company’s right to use an underlying asset for the lease term and operating lease liabilities represent the C</w:t>
      </w:r>
      <w:r>
        <w:rPr>
          <w:sz w:val="20"/>
          <w:szCs w:val="20"/>
        </w:rPr>
        <w:t>ompany’s obligation to make lease payments arising from the lease. Operating lease right-of-use assets and liabilities are recognized at the lease commencement date based on the present value of lease payments over the lease term. In determining the net pr</w:t>
      </w:r>
      <w:r>
        <w:rPr>
          <w:sz w:val="20"/>
          <w:szCs w:val="20"/>
        </w:rPr>
        <w:t>esent value of lease payments, the Company uses an estimated incremental borrowing rate that is applicable to the Company based on the information available at the later of the lease commencement date or the date of adoption of Accounting Standard Update (</w:t>
      </w:r>
      <w:r>
        <w:rPr>
          <w:sz w:val="20"/>
          <w:szCs w:val="20"/>
        </w:rPr>
        <w:t>ASU) No. 2016-02 and ASU No. 2018-10, Leases (together “Topic 842”). The operating lease right-of-use assets also include any lease payments made less lease incentives. The Company’s leases may include options to extend or terminate the lease, which is con</w:t>
      </w:r>
      <w:r>
        <w:rPr>
          <w:sz w:val="20"/>
          <w:szCs w:val="20"/>
        </w:rPr>
        <w:t>sidered in the lease term when it is reasonably certain that the Company will exercise any such options. Lease expense is recognized on a straight-line basis over the expected lease term. The Company has elected not to apply the recognition requirements of</w:t>
      </w:r>
      <w:r>
        <w:rPr>
          <w:sz w:val="20"/>
          <w:szCs w:val="20"/>
        </w:rPr>
        <w:t xml:space="preserve"> Topic 842 for short-term leases.</w:t>
      </w:r>
    </w:p>
    <w:p w:rsidR="00000000" w:rsidRDefault="00FF2C06">
      <w:pPr>
        <w:pStyle w:val="a3"/>
        <w:spacing w:before="0" w:beforeAutospacing="0" w:after="200" w:afterAutospacing="0"/>
        <w:ind w:firstLine="547"/>
        <w:divId w:val="1841043807"/>
        <w:rPr>
          <w:sz w:val="20"/>
          <w:szCs w:val="20"/>
        </w:rPr>
      </w:pPr>
      <w:r>
        <w:rPr>
          <w:sz w:val="20"/>
          <w:szCs w:val="20"/>
        </w:rPr>
        <w:t>For lease agreements entered into after the adoption of Topic 842 that include lease and non-lease components, such components are generally accounted for separately.</w:t>
      </w:r>
    </w:p>
    <w:p w:rsidR="00000000" w:rsidRDefault="00FF2C06">
      <w:pPr>
        <w:pStyle w:val="a3"/>
        <w:spacing w:before="0" w:beforeAutospacing="0" w:after="200" w:afterAutospacing="0"/>
        <w:divId w:val="1841043807"/>
        <w:rPr>
          <w:b/>
          <w:bCs/>
          <w:i/>
          <w:iCs/>
          <w:sz w:val="20"/>
          <w:szCs w:val="20"/>
        </w:rPr>
      </w:pPr>
      <w:r>
        <w:rPr>
          <w:b/>
          <w:bCs/>
          <w:i/>
          <w:iCs/>
          <w:sz w:val="20"/>
          <w:szCs w:val="20"/>
        </w:rPr>
        <w:t>Stock-Based Compensation</w:t>
      </w:r>
    </w:p>
    <w:p w:rsidR="00000000" w:rsidRDefault="00FF2C06">
      <w:pPr>
        <w:pStyle w:val="a3"/>
        <w:spacing w:before="0" w:beforeAutospacing="0" w:after="200" w:afterAutospacing="0"/>
        <w:ind w:firstLine="547"/>
        <w:divId w:val="1841043807"/>
        <w:rPr>
          <w:sz w:val="20"/>
          <w:szCs w:val="20"/>
        </w:rPr>
      </w:pPr>
      <w:r>
        <w:rPr>
          <w:sz w:val="20"/>
          <w:szCs w:val="20"/>
        </w:rPr>
        <w:t>The Company periodically grant</w:t>
      </w:r>
      <w:r>
        <w:rPr>
          <w:sz w:val="20"/>
          <w:szCs w:val="20"/>
        </w:rPr>
        <w:t>s stock options to employees in non-capital raising transactions as compensation for services rendered. The Company accounts for stock option grants to employees based on the authoritative guidance provided by the FASB where the value of the award is measu</w:t>
      </w:r>
      <w:r>
        <w:rPr>
          <w:sz w:val="20"/>
          <w:szCs w:val="20"/>
        </w:rPr>
        <w:t>red on the date of grant and recognized over the vesting period. Upon the adoption of ASU No. 2018-07, Compensation-Stock Compensation (“Topic 718”), the Company accounts for stock option grants to non-employees in a similar manner as stock option grants t</w:t>
      </w:r>
      <w:r>
        <w:rPr>
          <w:sz w:val="20"/>
          <w:szCs w:val="20"/>
        </w:rPr>
        <w:t>o employees except for the term used in the grant date fair value, therefore no longer requiring a re-measurement at the then-current fair values at each reporting date until the shares underlying the options have vested. The non-employee awards that conta</w:t>
      </w:r>
      <w:r>
        <w:rPr>
          <w:sz w:val="20"/>
          <w:szCs w:val="20"/>
        </w:rPr>
        <w:t>in a performance condition that affects the quantity or other terms of the award are measured based on the outcome that is probable.</w:t>
      </w:r>
    </w:p>
    <w:p w:rsidR="00000000" w:rsidRDefault="00FF2C06">
      <w:pPr>
        <w:pStyle w:val="a3"/>
        <w:spacing w:before="0" w:beforeAutospacing="0" w:after="200" w:afterAutospacing="0"/>
        <w:ind w:firstLine="547"/>
        <w:divId w:val="1841043807"/>
        <w:rPr>
          <w:sz w:val="20"/>
          <w:szCs w:val="20"/>
        </w:rPr>
      </w:pPr>
      <w:r>
        <w:rPr>
          <w:sz w:val="20"/>
          <w:szCs w:val="20"/>
        </w:rPr>
        <w:t>The fair value of the Company's common stock option grants is estimated using a Black-Scholes option pricing model, which u</w:t>
      </w:r>
      <w:r>
        <w:rPr>
          <w:sz w:val="20"/>
          <w:szCs w:val="20"/>
        </w:rPr>
        <w:t>ses certain assumptions related to risk-free interest rates, expected volatility, expected life of the common stock options, and future dividends. The stock-based compensation expense is recorded based upon the value derived from the Black-Scholes option p</w:t>
      </w:r>
      <w:r>
        <w:rPr>
          <w:sz w:val="20"/>
          <w:szCs w:val="20"/>
        </w:rPr>
        <w:t xml:space="preserve">ricing model. The assumptions used in the Black-Scholes option pricing model could materially affect compensation expense recorded in future periods. </w:t>
      </w:r>
    </w:p>
    <w:p w:rsidR="00000000" w:rsidRDefault="00FF2C06">
      <w:pPr>
        <w:pStyle w:val="a3"/>
        <w:spacing w:before="0" w:beforeAutospacing="0" w:after="200" w:afterAutospacing="0"/>
        <w:ind w:firstLine="547"/>
        <w:divId w:val="1841043807"/>
        <w:rPr>
          <w:sz w:val="20"/>
          <w:szCs w:val="20"/>
        </w:rPr>
      </w:pPr>
      <w:r>
        <w:rPr>
          <w:sz w:val="20"/>
          <w:szCs w:val="20"/>
        </w:rPr>
        <w:t>The Company has in the past issued restricted stock units (“RSUs”) and restricted stock awards (“RSAs”) a</w:t>
      </w:r>
      <w:r>
        <w:rPr>
          <w:sz w:val="20"/>
          <w:szCs w:val="20"/>
        </w:rPr>
        <w:t xml:space="preserve">s part of its share-based compensation programs. The Company measures the compensation cost with respect to RSUs and RSAs issued to employees based upon the estimated fair value of the equity instruments at the date of the grant, which is recognized as an </w:t>
      </w:r>
      <w:r>
        <w:rPr>
          <w:sz w:val="20"/>
          <w:szCs w:val="20"/>
        </w:rPr>
        <w:t>expense over the period during which an employee is required to provide services in exchange for the awards.</w:t>
      </w:r>
    </w:p>
    <w:p w:rsidR="00000000" w:rsidRDefault="00FF2C06">
      <w:pPr>
        <w:pStyle w:val="a3"/>
        <w:spacing w:before="0" w:beforeAutospacing="0" w:after="200" w:afterAutospacing="0"/>
        <w:ind w:firstLine="547"/>
        <w:divId w:val="1841043807"/>
        <w:rPr>
          <w:sz w:val="20"/>
          <w:szCs w:val="20"/>
        </w:rPr>
      </w:pPr>
      <w:r>
        <w:rPr>
          <w:sz w:val="20"/>
          <w:szCs w:val="20"/>
        </w:rPr>
        <w:t>The fair value of RSUs and RSAs is based on the closing price of the Company’s common stock on the grant date.</w:t>
      </w:r>
    </w:p>
    <w:p w:rsidR="00000000" w:rsidRDefault="00FF2C06">
      <w:pPr>
        <w:pStyle w:val="a3"/>
        <w:spacing w:before="480" w:beforeAutospacing="0" w:after="0" w:afterAutospacing="0"/>
        <w:jc w:val="center"/>
        <w:divId w:val="1559241748"/>
        <w:rPr>
          <w:sz w:val="20"/>
          <w:szCs w:val="20"/>
        </w:rPr>
      </w:pPr>
      <w:r>
        <w:rPr>
          <w:sz w:val="20"/>
          <w:szCs w:val="20"/>
        </w:rPr>
        <w:t>12</w:t>
      </w:r>
    </w:p>
    <w:p w:rsidR="00000000" w:rsidRDefault="00FF2C06">
      <w:pPr>
        <w:pStyle w:val="a3"/>
        <w:spacing w:before="0" w:beforeAutospacing="0" w:after="600" w:afterAutospacing="0"/>
        <w:divId w:val="1842155600"/>
        <w:rPr>
          <w:sz w:val="20"/>
          <w:szCs w:val="20"/>
        </w:rPr>
      </w:pPr>
      <w:hyperlink w:anchor="TOC" w:history="1">
        <w:r>
          <w:rPr>
            <w:rStyle w:val="a4"/>
            <w:sz w:val="20"/>
            <w:szCs w:val="20"/>
          </w:rPr>
          <w:t>Table o</w:t>
        </w:r>
        <w:r>
          <w:rPr>
            <w:rStyle w:val="a4"/>
            <w:sz w:val="20"/>
            <w:szCs w:val="20"/>
          </w:rPr>
          <w:t>f Contents</w:t>
        </w:r>
      </w:hyperlink>
    </w:p>
    <w:p w:rsidR="00000000" w:rsidRDefault="00FF2C06">
      <w:pPr>
        <w:pStyle w:val="a3"/>
        <w:spacing w:before="0" w:beforeAutospacing="0" w:after="0" w:afterAutospacing="0"/>
        <w:ind w:firstLine="547"/>
        <w:divId w:val="1416584893"/>
        <w:rPr>
          <w:sz w:val="20"/>
          <w:szCs w:val="20"/>
        </w:rPr>
      </w:pPr>
      <w:r>
        <w:rPr>
          <w:sz w:val="20"/>
          <w:szCs w:val="20"/>
        </w:rPr>
        <w:t>Total stock-based compensation expense related to all of the Company’s stock-based awards was recorded on the statements of operations as follows (in thousands):</w:t>
      </w:r>
    </w:p>
    <w:p w:rsidR="00000000" w:rsidRDefault="00FF2C06">
      <w:pPr>
        <w:pStyle w:val="a3"/>
        <w:spacing w:before="0" w:beforeAutospacing="0" w:after="0" w:afterAutospacing="0"/>
        <w:ind w:firstLine="547"/>
        <w:divId w:val="1416584893"/>
        <w:rPr>
          <w:sz w:val="20"/>
          <w:szCs w:val="20"/>
        </w:rPr>
      </w:pPr>
      <w:r>
        <w:rPr>
          <w:sz w:val="20"/>
          <w:szCs w:val="20"/>
        </w:rPr>
        <w:t>​</w:t>
      </w:r>
    </w:p>
    <w:tbl>
      <w:tblPr>
        <w:tblW w:w="4008" w:type="pct"/>
        <w:tblCellMar>
          <w:top w:w="15" w:type="dxa"/>
          <w:left w:w="0" w:type="dxa"/>
          <w:bottom w:w="15" w:type="dxa"/>
          <w:right w:w="0" w:type="dxa"/>
        </w:tblCellMar>
        <w:tblLook w:val="04A0" w:firstRow="1" w:lastRow="0" w:firstColumn="1" w:lastColumn="0" w:noHBand="0" w:noVBand="1"/>
      </w:tblPr>
      <w:tblGrid>
        <w:gridCol w:w="3220"/>
        <w:gridCol w:w="160"/>
        <w:gridCol w:w="100"/>
        <w:gridCol w:w="623"/>
        <w:gridCol w:w="160"/>
        <w:gridCol w:w="100"/>
        <w:gridCol w:w="523"/>
        <w:gridCol w:w="160"/>
        <w:gridCol w:w="100"/>
        <w:gridCol w:w="623"/>
        <w:gridCol w:w="160"/>
        <w:gridCol w:w="100"/>
        <w:gridCol w:w="623"/>
        <w:gridCol w:w="6"/>
      </w:tblGrid>
      <w:tr w:rsidR="00000000">
        <w:trPr>
          <w:divId w:val="1416584893"/>
          <w:trHeight w:val="20"/>
        </w:trPr>
        <w:tc>
          <w:tcPr>
            <w:tcW w:w="2602" w:type="pct"/>
            <w:tcMar>
              <w:top w:w="0" w:type="dxa"/>
              <w:left w:w="0" w:type="dxa"/>
              <w:bottom w:w="0" w:type="dxa"/>
              <w:right w:w="0" w:type="dxa"/>
            </w:tcMar>
            <w:vAlign w:val="bottom"/>
            <w:hideMark/>
          </w:tcPr>
          <w:p w:rsidR="00000000" w:rsidRDefault="00FF2C06">
            <w:pPr>
              <w:pStyle w:val="a3"/>
              <w:spacing w:before="0" w:beforeAutospacing="0" w:after="1" w:afterAutospacing="0"/>
              <w:divId w:val="1441530998"/>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327394539"/>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990408640"/>
              <w:rPr>
                <w:sz w:val="20"/>
                <w:szCs w:val="20"/>
              </w:rPr>
            </w:pPr>
            <w:r>
              <w:rPr>
                <w:sz w:val="2"/>
                <w:szCs w:val="2"/>
              </w:rPr>
              <w:t>​</w:t>
            </w:r>
          </w:p>
        </w:tc>
        <w:tc>
          <w:tcPr>
            <w:tcW w:w="422"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975941411"/>
              <w:rPr>
                <w:sz w:val="20"/>
                <w:szCs w:val="20"/>
              </w:rPr>
            </w:pPr>
            <w:r>
              <w:rPr>
                <w:sz w:val="2"/>
                <w:szCs w:val="2"/>
              </w:rPr>
              <w:t>​</w:t>
            </w:r>
          </w:p>
        </w:tc>
        <w:tc>
          <w:tcPr>
            <w:tcW w:w="105"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910311134"/>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153716097"/>
              <w:rPr>
                <w:sz w:val="20"/>
                <w:szCs w:val="20"/>
              </w:rPr>
            </w:pPr>
            <w:r>
              <w:rPr>
                <w:sz w:val="2"/>
                <w:szCs w:val="2"/>
              </w:rPr>
              <w:t>​</w:t>
            </w:r>
          </w:p>
        </w:tc>
        <w:tc>
          <w:tcPr>
            <w:tcW w:w="422"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265238263"/>
              <w:rPr>
                <w:sz w:val="20"/>
                <w:szCs w:val="20"/>
              </w:rPr>
            </w:pPr>
            <w:r>
              <w:rPr>
                <w:sz w:val="2"/>
                <w:szCs w:val="2"/>
              </w:rPr>
              <w:t>​</w:t>
            </w:r>
          </w:p>
        </w:tc>
        <w:tc>
          <w:tcPr>
            <w:tcW w:w="105"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691030008"/>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848326629"/>
              <w:rPr>
                <w:sz w:val="20"/>
                <w:szCs w:val="20"/>
              </w:rPr>
            </w:pPr>
            <w:r>
              <w:rPr>
                <w:sz w:val="2"/>
                <w:szCs w:val="2"/>
              </w:rPr>
              <w:t>​</w:t>
            </w:r>
          </w:p>
        </w:tc>
        <w:tc>
          <w:tcPr>
            <w:tcW w:w="423"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2142922633"/>
              <w:rPr>
                <w:sz w:val="20"/>
                <w:szCs w:val="20"/>
              </w:rPr>
            </w:pPr>
            <w:r>
              <w:rPr>
                <w:sz w:val="2"/>
                <w:szCs w:val="2"/>
              </w:rPr>
              <w:t>​</w:t>
            </w:r>
          </w:p>
        </w:tc>
        <w:tc>
          <w:tcPr>
            <w:tcW w:w="105"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827943206"/>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2122339013"/>
              <w:rPr>
                <w:sz w:val="20"/>
                <w:szCs w:val="20"/>
              </w:rPr>
            </w:pPr>
            <w:r>
              <w:rPr>
                <w:sz w:val="2"/>
                <w:szCs w:val="2"/>
              </w:rPr>
              <w:t>​</w:t>
            </w:r>
          </w:p>
        </w:tc>
        <w:tc>
          <w:tcPr>
            <w:tcW w:w="440"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416634588"/>
              <w:rPr>
                <w:sz w:val="20"/>
                <w:szCs w:val="20"/>
              </w:rPr>
            </w:pPr>
            <w:r>
              <w:rPr>
                <w:sz w:val="2"/>
                <w:szCs w:val="2"/>
              </w:rPr>
              <w:t>​</w:t>
            </w:r>
          </w:p>
        </w:tc>
        <w:tc>
          <w:tcPr>
            <w:tcW w:w="9"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956762493"/>
              <w:rPr>
                <w:sz w:val="20"/>
                <w:szCs w:val="20"/>
              </w:rPr>
            </w:pPr>
            <w:r>
              <w:rPr>
                <w:sz w:val="2"/>
                <w:szCs w:val="2"/>
              </w:rPr>
              <w:t>​</w:t>
            </w:r>
          </w:p>
        </w:tc>
      </w:tr>
      <w:tr w:rsidR="00000000">
        <w:trPr>
          <w:divId w:val="1416584893"/>
        </w:trPr>
        <w:tc>
          <w:tcPr>
            <w:tcW w:w="2602"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10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16"/>
                <w:szCs w:val="16"/>
              </w:rPr>
              <w:t>​</w:t>
            </w:r>
          </w:p>
        </w:tc>
        <w:tc>
          <w:tcPr>
            <w:tcW w:w="1079" w:type="pct"/>
            <w:gridSpan w:val="5"/>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 xml:space="preserve">Three Months Ended </w:t>
            </w:r>
          </w:p>
        </w:tc>
        <w:tc>
          <w:tcPr>
            <w:tcW w:w="10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16"/>
                <w:szCs w:val="16"/>
              </w:rPr>
              <w:t>​</w:t>
            </w:r>
          </w:p>
        </w:tc>
        <w:tc>
          <w:tcPr>
            <w:tcW w:w="1098" w:type="pct"/>
            <w:gridSpan w:val="5"/>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 xml:space="preserve">Nine Months Ended </w:t>
            </w:r>
          </w:p>
        </w:tc>
        <w:tc>
          <w:tcPr>
            <w:tcW w:w="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16"/>
                <w:szCs w:val="16"/>
              </w:rPr>
              <w:t>​</w:t>
            </w:r>
          </w:p>
        </w:tc>
      </w:tr>
      <w:tr w:rsidR="00000000">
        <w:trPr>
          <w:divId w:val="1416584893"/>
        </w:trPr>
        <w:tc>
          <w:tcPr>
            <w:tcW w:w="2602"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10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16"/>
                <w:szCs w:val="16"/>
              </w:rPr>
              <w:t>​</w:t>
            </w:r>
          </w:p>
        </w:tc>
        <w:tc>
          <w:tcPr>
            <w:tcW w:w="1079" w:type="pct"/>
            <w:gridSpan w:val="5"/>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September 30, </w:t>
            </w:r>
          </w:p>
        </w:tc>
        <w:tc>
          <w:tcPr>
            <w:tcW w:w="10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16"/>
                <w:szCs w:val="16"/>
              </w:rPr>
              <w:t>​</w:t>
            </w:r>
          </w:p>
        </w:tc>
        <w:tc>
          <w:tcPr>
            <w:tcW w:w="1098" w:type="pct"/>
            <w:gridSpan w:val="5"/>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September 30, </w:t>
            </w:r>
          </w:p>
        </w:tc>
        <w:tc>
          <w:tcPr>
            <w:tcW w:w="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16"/>
                <w:szCs w:val="16"/>
              </w:rPr>
              <w:t>​</w:t>
            </w:r>
          </w:p>
        </w:tc>
      </w:tr>
      <w:tr w:rsidR="00000000">
        <w:trPr>
          <w:divId w:val="1416584893"/>
        </w:trPr>
        <w:tc>
          <w:tcPr>
            <w:tcW w:w="2602" w:type="pct"/>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w:t>
            </w:r>
          </w:p>
        </w:tc>
        <w:tc>
          <w:tcPr>
            <w:tcW w:w="10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b/>
                <w:bCs/>
                <w:sz w:val="16"/>
                <w:szCs w:val="16"/>
              </w:rPr>
              <w:t>    </w:t>
            </w:r>
          </w:p>
        </w:tc>
        <w:tc>
          <w:tcPr>
            <w:tcW w:w="486"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2020</w:t>
            </w:r>
          </w:p>
        </w:tc>
        <w:tc>
          <w:tcPr>
            <w:tcW w:w="10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b/>
                <w:bCs/>
                <w:sz w:val="16"/>
                <w:szCs w:val="16"/>
              </w:rPr>
              <w:t>    </w:t>
            </w:r>
          </w:p>
        </w:tc>
        <w:tc>
          <w:tcPr>
            <w:tcW w:w="487"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2019</w:t>
            </w:r>
          </w:p>
        </w:tc>
        <w:tc>
          <w:tcPr>
            <w:tcW w:w="10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b/>
                <w:bCs/>
                <w:sz w:val="16"/>
                <w:szCs w:val="16"/>
              </w:rPr>
              <w:t>    </w:t>
            </w:r>
          </w:p>
        </w:tc>
        <w:tc>
          <w:tcPr>
            <w:tcW w:w="488"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2020</w:t>
            </w:r>
          </w:p>
        </w:tc>
        <w:tc>
          <w:tcPr>
            <w:tcW w:w="10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b/>
                <w:bCs/>
                <w:sz w:val="16"/>
                <w:szCs w:val="16"/>
              </w:rPr>
              <w:t>    </w:t>
            </w:r>
          </w:p>
        </w:tc>
        <w:tc>
          <w:tcPr>
            <w:tcW w:w="505"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2019</w:t>
            </w:r>
          </w:p>
        </w:tc>
        <w:tc>
          <w:tcPr>
            <w:tcW w:w="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16"/>
                <w:szCs w:val="16"/>
              </w:rPr>
              <w:t>​</w:t>
            </w:r>
          </w:p>
        </w:tc>
      </w:tr>
      <w:tr w:rsidR="00000000">
        <w:trPr>
          <w:divId w:val="1416584893"/>
        </w:trPr>
        <w:tc>
          <w:tcPr>
            <w:tcW w:w="2602"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Research and development</w:t>
            </w:r>
          </w:p>
        </w:tc>
        <w:tc>
          <w:tcPr>
            <w:tcW w:w="10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2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5,282</w:t>
            </w:r>
          </w:p>
        </w:tc>
        <w:tc>
          <w:tcPr>
            <w:tcW w:w="10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2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3,346</w:t>
            </w:r>
          </w:p>
        </w:tc>
        <w:tc>
          <w:tcPr>
            <w:tcW w:w="10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2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15,065</w:t>
            </w:r>
          </w:p>
        </w:tc>
        <w:tc>
          <w:tcPr>
            <w:tcW w:w="10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40"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8,767</w:t>
            </w:r>
          </w:p>
        </w:tc>
        <w:tc>
          <w:tcPr>
            <w:tcW w:w="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1416584893"/>
        </w:trPr>
        <w:tc>
          <w:tcPr>
            <w:tcW w:w="2602"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General and administrative</w:t>
            </w:r>
          </w:p>
        </w:tc>
        <w:tc>
          <w:tcPr>
            <w:tcW w:w="10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422"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5,424</w:t>
            </w:r>
          </w:p>
        </w:tc>
        <w:tc>
          <w:tcPr>
            <w:tcW w:w="10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422"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3,252</w:t>
            </w:r>
          </w:p>
        </w:tc>
        <w:tc>
          <w:tcPr>
            <w:tcW w:w="10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423"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15,590</w:t>
            </w:r>
          </w:p>
        </w:tc>
        <w:tc>
          <w:tcPr>
            <w:tcW w:w="10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440"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10,103</w:t>
            </w:r>
          </w:p>
        </w:tc>
        <w:tc>
          <w:tcPr>
            <w:tcW w:w="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1416584893"/>
        </w:trPr>
        <w:tc>
          <w:tcPr>
            <w:tcW w:w="2602"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Total stock-based compensation expenses</w:t>
            </w:r>
          </w:p>
        </w:tc>
        <w:tc>
          <w:tcPr>
            <w:tcW w:w="10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2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10,706</w:t>
            </w:r>
          </w:p>
        </w:tc>
        <w:tc>
          <w:tcPr>
            <w:tcW w:w="10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2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6,598</w:t>
            </w:r>
          </w:p>
        </w:tc>
        <w:tc>
          <w:tcPr>
            <w:tcW w:w="10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2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30,655</w:t>
            </w:r>
          </w:p>
        </w:tc>
        <w:tc>
          <w:tcPr>
            <w:tcW w:w="10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4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18,870</w:t>
            </w:r>
          </w:p>
        </w:tc>
        <w:tc>
          <w:tcPr>
            <w:tcW w:w="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bl>
    <w:p w:rsidR="00000000" w:rsidRDefault="00FF2C06">
      <w:pPr>
        <w:pStyle w:val="a3"/>
        <w:spacing w:before="0" w:beforeAutospacing="0" w:after="0" w:afterAutospacing="0"/>
        <w:divId w:val="1416584893"/>
        <w:rPr>
          <w:sz w:val="20"/>
          <w:szCs w:val="20"/>
        </w:rPr>
      </w:pPr>
      <w:r>
        <w:rPr>
          <w:sz w:val="20"/>
          <w:szCs w:val="20"/>
        </w:rPr>
        <w:t>​</w:t>
      </w:r>
    </w:p>
    <w:p w:rsidR="00000000" w:rsidRDefault="00FF2C06">
      <w:pPr>
        <w:pStyle w:val="a3"/>
        <w:spacing w:before="0" w:beforeAutospacing="0" w:after="0" w:afterAutospacing="0"/>
        <w:ind w:firstLine="547"/>
        <w:divId w:val="1416584893"/>
        <w:rPr>
          <w:sz w:val="20"/>
          <w:szCs w:val="20"/>
        </w:rPr>
      </w:pPr>
      <w:r>
        <w:rPr>
          <w:sz w:val="20"/>
          <w:szCs w:val="20"/>
        </w:rPr>
        <w:t>Total stock-based compensation expenses broken down based on each individual instrument were as follows (in thousands):</w:t>
      </w:r>
    </w:p>
    <w:p w:rsidR="00000000" w:rsidRDefault="00FF2C06">
      <w:pPr>
        <w:pStyle w:val="a3"/>
        <w:spacing w:before="0" w:beforeAutospacing="0" w:after="0" w:afterAutospacing="0"/>
        <w:ind w:firstLine="547"/>
        <w:divId w:val="1416584893"/>
        <w:rPr>
          <w:sz w:val="20"/>
          <w:szCs w:val="20"/>
        </w:rPr>
      </w:pPr>
      <w:r>
        <w:rPr>
          <w:sz w:val="20"/>
          <w:szCs w:val="20"/>
        </w:rPr>
        <w:t>​</w:t>
      </w:r>
    </w:p>
    <w:tbl>
      <w:tblPr>
        <w:tblW w:w="3927" w:type="pct"/>
        <w:tblCellMar>
          <w:top w:w="15" w:type="dxa"/>
          <w:left w:w="0" w:type="dxa"/>
          <w:bottom w:w="15" w:type="dxa"/>
          <w:right w:w="0" w:type="dxa"/>
        </w:tblCellMar>
        <w:tblLook w:val="04A0" w:firstRow="1" w:lastRow="0" w:firstColumn="1" w:lastColumn="0" w:noHBand="0" w:noVBand="1"/>
      </w:tblPr>
      <w:tblGrid>
        <w:gridCol w:w="3138"/>
        <w:gridCol w:w="160"/>
        <w:gridCol w:w="100"/>
        <w:gridCol w:w="610"/>
        <w:gridCol w:w="160"/>
        <w:gridCol w:w="100"/>
        <w:gridCol w:w="510"/>
        <w:gridCol w:w="160"/>
        <w:gridCol w:w="100"/>
        <w:gridCol w:w="610"/>
        <w:gridCol w:w="160"/>
        <w:gridCol w:w="100"/>
        <w:gridCol w:w="610"/>
        <w:gridCol w:w="6"/>
      </w:tblGrid>
      <w:tr w:rsidR="00000000">
        <w:trPr>
          <w:divId w:val="1416584893"/>
          <w:trHeight w:val="28"/>
        </w:trPr>
        <w:tc>
          <w:tcPr>
            <w:tcW w:w="2597"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
                <w:szCs w:val="2"/>
              </w:rPr>
              <w:t>​</w:t>
            </w:r>
          </w:p>
        </w:tc>
        <w:tc>
          <w:tcPr>
            <w:tcW w:w="42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
                <w:szCs w:val="2"/>
              </w:rPr>
              <w:t>​</w:t>
            </w:r>
          </w:p>
        </w:tc>
        <w:tc>
          <w:tcPr>
            <w:tcW w:w="426"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
                <w:szCs w:val="2"/>
              </w:rPr>
              <w:t>​</w:t>
            </w:r>
          </w:p>
        </w:tc>
        <w:tc>
          <w:tcPr>
            <w:tcW w:w="42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
                <w:szCs w:val="2"/>
              </w:rPr>
              <w:t>​</w:t>
            </w:r>
          </w:p>
        </w:tc>
        <w:tc>
          <w:tcPr>
            <w:tcW w:w="427"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
                <w:szCs w:val="2"/>
              </w:rPr>
              <w:t>​</w:t>
            </w:r>
          </w:p>
        </w:tc>
        <w:tc>
          <w:tcPr>
            <w:tcW w:w="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
                <w:szCs w:val="2"/>
              </w:rPr>
              <w:t>​</w:t>
            </w:r>
          </w:p>
        </w:tc>
      </w:tr>
      <w:tr w:rsidR="00000000">
        <w:trPr>
          <w:divId w:val="1416584893"/>
          <w:trHeight w:val="290"/>
        </w:trPr>
        <w:tc>
          <w:tcPr>
            <w:tcW w:w="2597"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10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16"/>
                <w:szCs w:val="16"/>
              </w:rPr>
              <w:t>​</w:t>
            </w:r>
          </w:p>
        </w:tc>
        <w:tc>
          <w:tcPr>
            <w:tcW w:w="1092" w:type="pct"/>
            <w:gridSpan w:val="5"/>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 xml:space="preserve">Three Months Ended </w:t>
            </w:r>
          </w:p>
        </w:tc>
        <w:tc>
          <w:tcPr>
            <w:tcW w:w="107"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16"/>
                <w:szCs w:val="16"/>
              </w:rPr>
              <w:t>​</w:t>
            </w:r>
          </w:p>
        </w:tc>
        <w:tc>
          <w:tcPr>
            <w:tcW w:w="1093" w:type="pct"/>
            <w:gridSpan w:val="5"/>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 xml:space="preserve">Nine Months Ended </w:t>
            </w:r>
          </w:p>
        </w:tc>
        <w:tc>
          <w:tcPr>
            <w:tcW w:w="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16"/>
                <w:szCs w:val="16"/>
              </w:rPr>
              <w:t>​</w:t>
            </w:r>
          </w:p>
        </w:tc>
      </w:tr>
      <w:tr w:rsidR="00000000">
        <w:trPr>
          <w:divId w:val="1416584893"/>
          <w:trHeight w:val="269"/>
        </w:trPr>
        <w:tc>
          <w:tcPr>
            <w:tcW w:w="2597"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10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16"/>
                <w:szCs w:val="16"/>
              </w:rPr>
              <w:t>​</w:t>
            </w:r>
          </w:p>
        </w:tc>
        <w:tc>
          <w:tcPr>
            <w:tcW w:w="1092" w:type="pct"/>
            <w:gridSpan w:val="5"/>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September 30, </w:t>
            </w:r>
          </w:p>
        </w:tc>
        <w:tc>
          <w:tcPr>
            <w:tcW w:w="107"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16"/>
                <w:szCs w:val="16"/>
              </w:rPr>
              <w:t>​</w:t>
            </w:r>
          </w:p>
        </w:tc>
        <w:tc>
          <w:tcPr>
            <w:tcW w:w="1093" w:type="pct"/>
            <w:gridSpan w:val="5"/>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September 30, </w:t>
            </w:r>
          </w:p>
        </w:tc>
        <w:tc>
          <w:tcPr>
            <w:tcW w:w="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16"/>
                <w:szCs w:val="16"/>
              </w:rPr>
              <w:t>​</w:t>
            </w:r>
          </w:p>
        </w:tc>
      </w:tr>
      <w:tr w:rsidR="00000000">
        <w:trPr>
          <w:divId w:val="1416584893"/>
          <w:trHeight w:val="269"/>
        </w:trPr>
        <w:tc>
          <w:tcPr>
            <w:tcW w:w="2597" w:type="pct"/>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w:t>
            </w:r>
          </w:p>
        </w:tc>
        <w:tc>
          <w:tcPr>
            <w:tcW w:w="10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b/>
                <w:bCs/>
                <w:sz w:val="16"/>
                <w:szCs w:val="16"/>
              </w:rPr>
              <w:t>    </w:t>
            </w:r>
          </w:p>
        </w:tc>
        <w:tc>
          <w:tcPr>
            <w:tcW w:w="491"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2020</w:t>
            </w:r>
          </w:p>
        </w:tc>
        <w:tc>
          <w:tcPr>
            <w:tcW w:w="107"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b/>
                <w:bCs/>
                <w:sz w:val="16"/>
                <w:szCs w:val="16"/>
              </w:rPr>
              <w:t>    </w:t>
            </w:r>
          </w:p>
        </w:tc>
        <w:tc>
          <w:tcPr>
            <w:tcW w:w="493"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2019</w:t>
            </w:r>
          </w:p>
        </w:tc>
        <w:tc>
          <w:tcPr>
            <w:tcW w:w="107"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b/>
                <w:bCs/>
                <w:sz w:val="16"/>
                <w:szCs w:val="16"/>
              </w:rPr>
              <w:t>    </w:t>
            </w:r>
          </w:p>
        </w:tc>
        <w:tc>
          <w:tcPr>
            <w:tcW w:w="491"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2020</w:t>
            </w:r>
          </w:p>
        </w:tc>
        <w:tc>
          <w:tcPr>
            <w:tcW w:w="107"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b/>
                <w:bCs/>
                <w:sz w:val="16"/>
                <w:szCs w:val="16"/>
              </w:rPr>
              <w:t>    </w:t>
            </w:r>
          </w:p>
        </w:tc>
        <w:tc>
          <w:tcPr>
            <w:tcW w:w="495"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2019</w:t>
            </w:r>
          </w:p>
        </w:tc>
        <w:tc>
          <w:tcPr>
            <w:tcW w:w="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16"/>
                <w:szCs w:val="16"/>
              </w:rPr>
              <w:t>​</w:t>
            </w:r>
          </w:p>
        </w:tc>
      </w:tr>
      <w:tr w:rsidR="00000000">
        <w:trPr>
          <w:divId w:val="1416584893"/>
          <w:trHeight w:val="335"/>
        </w:trPr>
        <w:tc>
          <w:tcPr>
            <w:tcW w:w="2597"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Stock option expenses</w:t>
            </w:r>
          </w:p>
        </w:tc>
        <w:tc>
          <w:tcPr>
            <w:tcW w:w="10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2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10,706</w:t>
            </w:r>
          </w:p>
        </w:tc>
        <w:tc>
          <w:tcPr>
            <w:tcW w:w="107"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2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6,530</w:t>
            </w:r>
          </w:p>
        </w:tc>
        <w:tc>
          <w:tcPr>
            <w:tcW w:w="107"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2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30,543</w:t>
            </w:r>
          </w:p>
        </w:tc>
        <w:tc>
          <w:tcPr>
            <w:tcW w:w="107"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27"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18,668</w:t>
            </w:r>
          </w:p>
        </w:tc>
        <w:tc>
          <w:tcPr>
            <w:tcW w:w="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1416584893"/>
          <w:trHeight w:val="335"/>
        </w:trPr>
        <w:tc>
          <w:tcPr>
            <w:tcW w:w="2597"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Restricted stock unit expenses</w:t>
            </w:r>
          </w:p>
        </w:tc>
        <w:tc>
          <w:tcPr>
            <w:tcW w:w="10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7"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423"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w:t>
            </w:r>
          </w:p>
        </w:tc>
        <w:tc>
          <w:tcPr>
            <w:tcW w:w="107"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7"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426"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68</w:t>
            </w:r>
          </w:p>
        </w:tc>
        <w:tc>
          <w:tcPr>
            <w:tcW w:w="107"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7"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423"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112</w:t>
            </w:r>
          </w:p>
        </w:tc>
        <w:tc>
          <w:tcPr>
            <w:tcW w:w="107"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7"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427"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202</w:t>
            </w:r>
          </w:p>
        </w:tc>
        <w:tc>
          <w:tcPr>
            <w:tcW w:w="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1416584893"/>
          <w:trHeight w:val="359"/>
        </w:trPr>
        <w:tc>
          <w:tcPr>
            <w:tcW w:w="2597"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Total stock-based compensation expenses</w:t>
            </w:r>
          </w:p>
        </w:tc>
        <w:tc>
          <w:tcPr>
            <w:tcW w:w="10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2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10,706</w:t>
            </w:r>
          </w:p>
        </w:tc>
        <w:tc>
          <w:tcPr>
            <w:tcW w:w="107"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6,598</w:t>
            </w:r>
          </w:p>
        </w:tc>
        <w:tc>
          <w:tcPr>
            <w:tcW w:w="107"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2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30,655</w:t>
            </w:r>
          </w:p>
        </w:tc>
        <w:tc>
          <w:tcPr>
            <w:tcW w:w="107"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2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18,870</w:t>
            </w:r>
          </w:p>
        </w:tc>
        <w:tc>
          <w:tcPr>
            <w:tcW w:w="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bl>
    <w:p w:rsidR="00000000" w:rsidRDefault="00FF2C06">
      <w:pPr>
        <w:pStyle w:val="a3"/>
        <w:spacing w:before="0" w:beforeAutospacing="0" w:after="0" w:afterAutospacing="0"/>
        <w:divId w:val="1416584893"/>
        <w:rPr>
          <w:sz w:val="20"/>
          <w:szCs w:val="20"/>
        </w:rPr>
      </w:pPr>
      <w:r>
        <w:rPr>
          <w:sz w:val="20"/>
          <w:szCs w:val="20"/>
        </w:rPr>
        <w:t>​</w:t>
      </w:r>
    </w:p>
    <w:p w:rsidR="00000000" w:rsidRDefault="00FF2C06">
      <w:pPr>
        <w:pStyle w:val="a3"/>
        <w:spacing w:before="0" w:beforeAutospacing="0" w:after="200" w:afterAutospacing="0"/>
        <w:divId w:val="1416584893"/>
        <w:rPr>
          <w:b/>
          <w:bCs/>
          <w:i/>
          <w:iCs/>
          <w:sz w:val="20"/>
          <w:szCs w:val="20"/>
        </w:rPr>
      </w:pPr>
      <w:r>
        <w:rPr>
          <w:b/>
          <w:bCs/>
          <w:i/>
          <w:iCs/>
          <w:sz w:val="20"/>
          <w:szCs w:val="20"/>
        </w:rPr>
        <w:t>Preferred Stock</w:t>
      </w:r>
    </w:p>
    <w:p w:rsidR="00000000" w:rsidRDefault="00FF2C06">
      <w:pPr>
        <w:pStyle w:val="a3"/>
        <w:spacing w:before="0" w:beforeAutospacing="0" w:after="200" w:afterAutospacing="0"/>
        <w:ind w:firstLine="547"/>
        <w:divId w:val="1416584893"/>
        <w:rPr>
          <w:sz w:val="20"/>
          <w:szCs w:val="20"/>
        </w:rPr>
      </w:pPr>
      <w:r>
        <w:rPr>
          <w:sz w:val="20"/>
          <w:szCs w:val="20"/>
        </w:rPr>
        <w:t xml:space="preserve">The Company applies the accounting standards for distinguishing liabilities from equity when determining the classification and measurement of its preferred stock. Preferred stock subject to mandatory redemption are classified as liability instruments and </w:t>
      </w:r>
      <w:r>
        <w:rPr>
          <w:sz w:val="20"/>
          <w:szCs w:val="20"/>
        </w:rPr>
        <w:t>are measured at fair value. Conditionally redeemable preferred stock (including preferred stock that feature redemption rights that are either within the control of the holder or subject to redemption upon the occurrence of uncertain events not solely with</w:t>
      </w:r>
      <w:r>
        <w:rPr>
          <w:sz w:val="20"/>
          <w:szCs w:val="20"/>
        </w:rPr>
        <w:t>in the Company’s control) are classified as temporary equity. At all other times, preferred stock is classified as stockholders’ equity.</w:t>
      </w:r>
    </w:p>
    <w:p w:rsidR="00000000" w:rsidRDefault="00FF2C06">
      <w:pPr>
        <w:pStyle w:val="a3"/>
        <w:spacing w:before="0" w:beforeAutospacing="0" w:after="200" w:afterAutospacing="0"/>
        <w:divId w:val="1416584893"/>
        <w:rPr>
          <w:b/>
          <w:bCs/>
          <w:i/>
          <w:iCs/>
          <w:sz w:val="20"/>
          <w:szCs w:val="20"/>
        </w:rPr>
      </w:pPr>
      <w:r>
        <w:rPr>
          <w:b/>
          <w:bCs/>
          <w:i/>
          <w:iCs/>
          <w:sz w:val="20"/>
          <w:szCs w:val="20"/>
        </w:rPr>
        <w:t>Convertible Instruments</w:t>
      </w:r>
    </w:p>
    <w:p w:rsidR="00000000" w:rsidRDefault="00FF2C06">
      <w:pPr>
        <w:pStyle w:val="a3"/>
        <w:spacing w:before="0" w:beforeAutospacing="0" w:after="200" w:afterAutospacing="0"/>
        <w:ind w:firstLine="547"/>
        <w:divId w:val="1416584893"/>
        <w:rPr>
          <w:sz w:val="20"/>
          <w:szCs w:val="20"/>
        </w:rPr>
      </w:pPr>
      <w:r>
        <w:rPr>
          <w:sz w:val="20"/>
          <w:szCs w:val="20"/>
        </w:rPr>
        <w:t>The Company applies the accounting standards for derivatives and hedging and for distinguishing</w:t>
      </w:r>
      <w:r>
        <w:rPr>
          <w:sz w:val="20"/>
          <w:szCs w:val="20"/>
        </w:rPr>
        <w:t xml:space="preserve"> liabilities from equity when accounting for hybrid contracts that feature conversion options. The accounting standards require companies to bifurcate conversion options from their host instruments and account for them as free-standing derivative financial</w:t>
      </w:r>
      <w:r>
        <w:rPr>
          <w:sz w:val="20"/>
          <w:szCs w:val="20"/>
        </w:rPr>
        <w:t xml:space="preserve"> instruments according to certain criteria. The criteria include circumstances in which (i) the economic characteristics and risks of the embedded derivative instrument are not clearly and closely related to the economic characteristics and risks of the ho</w:t>
      </w:r>
      <w:r>
        <w:rPr>
          <w:sz w:val="20"/>
          <w:szCs w:val="20"/>
        </w:rPr>
        <w:t xml:space="preserve">st contract, (ii) the hybrid instrument that embodies both the embedded derivative instrument and the host contract is not re-measured at fair value under otherwise applicable generally accepted accounting principles with changes in fair value reported in </w:t>
      </w:r>
      <w:r>
        <w:rPr>
          <w:sz w:val="20"/>
          <w:szCs w:val="20"/>
        </w:rPr>
        <w:t>earnings as they occur and (iii) a separate instrument with the same terms as the embedded derivative instrument would be considered a derivative instrument. The derivative is subsequently marked to market at each reporting date based on current fair value</w:t>
      </w:r>
      <w:r>
        <w:rPr>
          <w:sz w:val="20"/>
          <w:szCs w:val="20"/>
        </w:rPr>
        <w:t>, with the changes in fair value reported in results of operations.</w:t>
      </w:r>
    </w:p>
    <w:p w:rsidR="00000000" w:rsidRDefault="00FF2C06">
      <w:pPr>
        <w:pStyle w:val="a3"/>
        <w:spacing w:before="0" w:beforeAutospacing="0" w:after="200" w:afterAutospacing="0"/>
        <w:ind w:firstLine="547"/>
        <w:divId w:val="1416584893"/>
        <w:rPr>
          <w:sz w:val="20"/>
          <w:szCs w:val="20"/>
        </w:rPr>
      </w:pPr>
      <w:r>
        <w:rPr>
          <w:sz w:val="20"/>
          <w:szCs w:val="20"/>
        </w:rPr>
        <w:t>Conversion options that contain variable settlement features such as provisions to adjust the conversion price upon subsequent issuances of equity or equity linked securities at exercise p</w:t>
      </w:r>
      <w:r>
        <w:rPr>
          <w:sz w:val="20"/>
          <w:szCs w:val="20"/>
        </w:rPr>
        <w:t>rices more favorable than that featured in the hybrid contract generally result in their bifurcation from the host instrument.</w:t>
      </w:r>
    </w:p>
    <w:p w:rsidR="00000000" w:rsidRDefault="00FF2C06">
      <w:pPr>
        <w:pStyle w:val="a3"/>
        <w:spacing w:before="0" w:beforeAutospacing="0" w:after="200" w:afterAutospacing="0"/>
        <w:ind w:firstLine="547"/>
        <w:divId w:val="1416584893"/>
        <w:rPr>
          <w:sz w:val="20"/>
          <w:szCs w:val="20"/>
        </w:rPr>
      </w:pPr>
      <w:r>
        <w:rPr>
          <w:sz w:val="20"/>
          <w:szCs w:val="20"/>
        </w:rPr>
        <w:t>The Company also records, when necessary, deemed dividends for the intrinsic value of the conversion options embedded in preferre</w:t>
      </w:r>
      <w:r>
        <w:rPr>
          <w:sz w:val="20"/>
          <w:szCs w:val="20"/>
        </w:rPr>
        <w:t>d stock based upon the difference between the fair value of the underlying common stock at the commitment date of the transaction and the effective conversion price embedded in the preferred stock.</w:t>
      </w:r>
    </w:p>
    <w:p w:rsidR="00000000" w:rsidRDefault="00FF2C06">
      <w:pPr>
        <w:pStyle w:val="a3"/>
        <w:spacing w:before="0" w:beforeAutospacing="0" w:after="200" w:afterAutospacing="0"/>
        <w:divId w:val="1416584893"/>
        <w:rPr>
          <w:b/>
          <w:bCs/>
          <w:i/>
          <w:iCs/>
          <w:sz w:val="20"/>
          <w:szCs w:val="20"/>
        </w:rPr>
      </w:pPr>
      <w:r>
        <w:rPr>
          <w:b/>
          <w:bCs/>
          <w:i/>
          <w:iCs/>
          <w:sz w:val="20"/>
          <w:szCs w:val="20"/>
        </w:rPr>
        <w:t>Recent Accounting Standards</w:t>
      </w:r>
    </w:p>
    <w:p w:rsidR="00000000" w:rsidRDefault="00FF2C06">
      <w:pPr>
        <w:pStyle w:val="a3"/>
        <w:spacing w:before="0" w:beforeAutospacing="0" w:after="200" w:afterAutospacing="0"/>
        <w:divId w:val="1416584893"/>
        <w:rPr>
          <w:i/>
          <w:iCs/>
          <w:sz w:val="20"/>
          <w:szCs w:val="20"/>
        </w:rPr>
      </w:pPr>
      <w:r>
        <w:rPr>
          <w:i/>
          <w:iCs/>
          <w:sz w:val="20"/>
          <w:szCs w:val="20"/>
        </w:rPr>
        <w:t>Financial Instruments</w:t>
      </w:r>
    </w:p>
    <w:p w:rsidR="00000000" w:rsidRDefault="00FF2C06">
      <w:pPr>
        <w:pStyle w:val="a3"/>
        <w:spacing w:before="0" w:beforeAutospacing="0" w:after="0" w:afterAutospacing="0"/>
        <w:ind w:firstLine="547"/>
        <w:divId w:val="1416584893"/>
        <w:rPr>
          <w:sz w:val="20"/>
          <w:szCs w:val="20"/>
        </w:rPr>
      </w:pPr>
      <w:r>
        <w:rPr>
          <w:sz w:val="20"/>
          <w:szCs w:val="20"/>
        </w:rPr>
        <w:t>In June 2016, the FASB issued ASU 2016-13, Financial Instruments - Credit Losses, and also issued subsequent amendments to the initial guidance, ASU 2018-19, ASU 2019-04, ASU 2019-05, ASU 2019-11, and ASU 2020-03 (collectively, Topic 326), to introduce a n</w:t>
      </w:r>
      <w:r>
        <w:rPr>
          <w:sz w:val="20"/>
          <w:szCs w:val="20"/>
        </w:rPr>
        <w:t xml:space="preserve">ew impairment model for recognizing credit losses on financial instruments based on an estimate of current expected </w:t>
      </w:r>
    </w:p>
    <w:p w:rsidR="00000000" w:rsidRDefault="00FF2C06">
      <w:pPr>
        <w:pStyle w:val="a3"/>
        <w:spacing w:before="480" w:beforeAutospacing="0" w:after="0" w:afterAutospacing="0"/>
        <w:jc w:val="center"/>
        <w:divId w:val="602811032"/>
        <w:rPr>
          <w:sz w:val="20"/>
          <w:szCs w:val="20"/>
        </w:rPr>
      </w:pPr>
      <w:r>
        <w:rPr>
          <w:sz w:val="20"/>
          <w:szCs w:val="20"/>
        </w:rPr>
        <w:t>13</w:t>
      </w:r>
    </w:p>
    <w:p w:rsidR="00000000" w:rsidRDefault="00FF2C06">
      <w:pPr>
        <w:pStyle w:val="a3"/>
        <w:spacing w:before="0" w:beforeAutospacing="0" w:after="600" w:afterAutospacing="0"/>
        <w:divId w:val="1196966322"/>
        <w:rPr>
          <w:sz w:val="20"/>
          <w:szCs w:val="20"/>
        </w:rPr>
      </w:pPr>
      <w:hyperlink w:anchor="TOC" w:history="1">
        <w:r>
          <w:rPr>
            <w:rStyle w:val="a4"/>
            <w:sz w:val="20"/>
            <w:szCs w:val="20"/>
          </w:rPr>
          <w:t>Table of Contents</w:t>
        </w:r>
      </w:hyperlink>
    </w:p>
    <w:p w:rsidR="00000000" w:rsidRDefault="00FF2C06">
      <w:pPr>
        <w:pStyle w:val="a3"/>
        <w:spacing w:before="0" w:beforeAutospacing="0" w:after="200" w:afterAutospacing="0"/>
        <w:divId w:val="1302225477"/>
        <w:rPr>
          <w:sz w:val="20"/>
          <w:szCs w:val="20"/>
        </w:rPr>
      </w:pPr>
      <w:r>
        <w:rPr>
          <w:sz w:val="20"/>
          <w:szCs w:val="20"/>
        </w:rPr>
        <w:t>credit losses (“CECL”</w:t>
      </w:r>
      <w:r>
        <w:rPr>
          <w:sz w:val="20"/>
          <w:szCs w:val="20"/>
        </w:rPr>
        <w:t xml:space="preserve">). Under Topic 326, an entity is required to estimate CECL on available-for-sale (“AFS”) debt securities only when the fair value is below the amortized cost of the asset and is no longer based on an impairment being “other-than-temporary”. Topic 326 also </w:t>
      </w:r>
      <w:r>
        <w:rPr>
          <w:sz w:val="20"/>
          <w:szCs w:val="20"/>
        </w:rPr>
        <w:t xml:space="preserve">requires the impairment calculation on an individual security level and requires an entity use present value of cash flows when estimating the CECL. The credit-related losses are required to be recognized through earnings and non-credit related losses are </w:t>
      </w:r>
      <w:r>
        <w:rPr>
          <w:sz w:val="20"/>
          <w:szCs w:val="20"/>
        </w:rPr>
        <w:t>reported in other comprehensive income. In April 2019, the FASB further clarified the scope of Topic 326 and addressed issues related to accrued interest receivable balances, recoveries, variable interest rates and prepayment. Topic 326 will be effective f</w:t>
      </w:r>
      <w:r>
        <w:rPr>
          <w:sz w:val="20"/>
          <w:szCs w:val="20"/>
        </w:rPr>
        <w:t>or public entities in fiscal years beginning after December 15, 2019, including interim periods within those fiscal years. The new guidance requires modified retrospective application to all outstanding instruments, with a cumulative effect adjustment reco</w:t>
      </w:r>
      <w:r>
        <w:rPr>
          <w:sz w:val="20"/>
          <w:szCs w:val="20"/>
        </w:rPr>
        <w:t>rded to opening retained earnings as of the beginning of the first period in which the guidance becomes effective. The Company adopted this guidance on January 1, 2020, however, the adoption of this new guidance did not have any material impact on its cond</w:t>
      </w:r>
      <w:r>
        <w:rPr>
          <w:sz w:val="20"/>
          <w:szCs w:val="20"/>
        </w:rPr>
        <w:t>ensed consolidated financial statements.</w:t>
      </w:r>
    </w:p>
    <w:p w:rsidR="00000000" w:rsidRDefault="00FF2C06">
      <w:pPr>
        <w:pStyle w:val="a3"/>
        <w:spacing w:before="0" w:beforeAutospacing="0" w:after="200" w:afterAutospacing="0"/>
        <w:divId w:val="1302225477"/>
        <w:rPr>
          <w:sz w:val="20"/>
          <w:szCs w:val="20"/>
        </w:rPr>
      </w:pPr>
      <w:r>
        <w:rPr>
          <w:i/>
          <w:iCs/>
          <w:sz w:val="20"/>
          <w:szCs w:val="20"/>
        </w:rPr>
        <w:t>Cloud Computing Arrangements</w:t>
      </w:r>
    </w:p>
    <w:p w:rsidR="00000000" w:rsidRDefault="00FF2C06">
      <w:pPr>
        <w:pStyle w:val="a3"/>
        <w:spacing w:before="0" w:beforeAutospacing="0" w:after="200" w:afterAutospacing="0"/>
        <w:ind w:firstLine="547"/>
        <w:divId w:val="1302225477"/>
        <w:rPr>
          <w:sz w:val="20"/>
          <w:szCs w:val="20"/>
        </w:rPr>
      </w:pPr>
      <w:r>
        <w:rPr>
          <w:sz w:val="20"/>
          <w:szCs w:val="20"/>
        </w:rPr>
        <w:t>In August 2018, the FASB issued ASU 2018-15, Intangibles-Goodwill and Other-Internal-Use Software (Subtopic 350-40) Customer’s Accounting for Implementation Costs Incurred in a Cloud Com</w:t>
      </w:r>
      <w:r>
        <w:rPr>
          <w:sz w:val="20"/>
          <w:szCs w:val="20"/>
        </w:rPr>
        <w:t>puting Arrangement That Is a Service Contract (ASU 2018-15). The guidance requires a customer in a cloud computing arrangement that is a service contract to follow the internal use software guidance to determine which implementation costs to defer and reco</w:t>
      </w:r>
      <w:r>
        <w:rPr>
          <w:sz w:val="20"/>
          <w:szCs w:val="20"/>
        </w:rPr>
        <w:t>gnize as an asset. It therefore requires a customer to defer potentially significant implementation costs incurred in a cloud computing arrangement that were often expensed as incurred under the legacy GAAP and recognize them as expense over the term of th</w:t>
      </w:r>
      <w:r>
        <w:rPr>
          <w:sz w:val="20"/>
          <w:szCs w:val="20"/>
        </w:rPr>
        <w:t>e hosting arrangement. ASU 2018-15 is effective for fiscal years beginning subsequent to December 15, 2019. The Company adopted this guidance on January 1, 2020. The Company recorded $0.8 million as prepaid expenses and long-term assets on the condensed co</w:t>
      </w:r>
      <w:r>
        <w:rPr>
          <w:sz w:val="20"/>
          <w:szCs w:val="20"/>
        </w:rPr>
        <w:t>nsolidated balance sheet as of September 30, 2020. The amortization expense recorded for the three and nine months ended September 30, 2020 was de minimis.</w:t>
      </w:r>
      <w:r>
        <w:rPr>
          <w:sz w:val="20"/>
          <w:szCs w:val="20"/>
        </w:rPr>
        <w:t xml:space="preserve"> </w:t>
      </w:r>
    </w:p>
    <w:p w:rsidR="00000000" w:rsidRDefault="00FF2C06">
      <w:pPr>
        <w:pStyle w:val="a3"/>
        <w:spacing w:before="160" w:beforeAutospacing="0" w:after="200" w:afterAutospacing="0"/>
        <w:divId w:val="1302225477"/>
        <w:rPr>
          <w:b/>
          <w:bCs/>
          <w:i/>
          <w:iCs/>
          <w:sz w:val="20"/>
          <w:szCs w:val="20"/>
        </w:rPr>
      </w:pPr>
      <w:r>
        <w:rPr>
          <w:b/>
          <w:bCs/>
          <w:i/>
          <w:iCs/>
          <w:sz w:val="20"/>
          <w:szCs w:val="20"/>
        </w:rPr>
        <w:t>Subsequent Event</w:t>
      </w:r>
    </w:p>
    <w:p w:rsidR="00000000" w:rsidRDefault="00FF2C06">
      <w:pPr>
        <w:pStyle w:val="a3"/>
        <w:spacing w:before="0" w:beforeAutospacing="0" w:after="200" w:afterAutospacing="0"/>
        <w:ind w:firstLine="547"/>
        <w:divId w:val="1302225477"/>
        <w:rPr>
          <w:sz w:val="20"/>
          <w:szCs w:val="20"/>
        </w:rPr>
      </w:pPr>
      <w:r>
        <w:rPr>
          <w:sz w:val="20"/>
          <w:szCs w:val="20"/>
        </w:rPr>
        <w:t>The Company’s management evaluates events that have occurred after the balance she</w:t>
      </w:r>
      <w:r>
        <w:rPr>
          <w:sz w:val="20"/>
          <w:szCs w:val="20"/>
        </w:rPr>
        <w:t>et date but before the financial statements are issued.</w:t>
      </w:r>
    </w:p>
    <w:p w:rsidR="00000000" w:rsidRDefault="00FF2C06">
      <w:pPr>
        <w:pStyle w:val="a3"/>
        <w:spacing w:before="0" w:beforeAutospacing="0" w:after="0" w:afterAutospacing="0"/>
        <w:ind w:firstLine="547"/>
        <w:divId w:val="1302225477"/>
        <w:rPr>
          <w:sz w:val="20"/>
          <w:szCs w:val="20"/>
        </w:rPr>
      </w:pPr>
      <w:r>
        <w:rPr>
          <w:sz w:val="20"/>
          <w:szCs w:val="20"/>
        </w:rPr>
        <w:t>​</w:t>
      </w:r>
    </w:p>
    <w:p w:rsidR="00000000" w:rsidRDefault="00FF2C06">
      <w:pPr>
        <w:pStyle w:val="a3"/>
        <w:spacing w:before="0" w:beforeAutospacing="0" w:after="200" w:afterAutospacing="0"/>
        <w:divId w:val="1302225477"/>
        <w:rPr>
          <w:b/>
          <w:bCs/>
          <w:sz w:val="20"/>
          <w:szCs w:val="20"/>
        </w:rPr>
      </w:pPr>
      <w:r>
        <w:rPr>
          <w:b/>
          <w:bCs/>
          <w:sz w:val="20"/>
          <w:szCs w:val="20"/>
          <w:u w:val="single"/>
        </w:rPr>
        <w:t>NOTE 3. CASH EQUIVALENTS AND SHORT-TERM INVESTMENTS</w:t>
      </w:r>
    </w:p>
    <w:p w:rsidR="00000000" w:rsidRDefault="00FF2C06">
      <w:pPr>
        <w:pStyle w:val="a3"/>
        <w:spacing w:before="0" w:beforeAutospacing="0" w:after="0" w:afterAutospacing="0"/>
        <w:ind w:firstLine="547"/>
        <w:divId w:val="1302225477"/>
        <w:rPr>
          <w:sz w:val="20"/>
          <w:szCs w:val="20"/>
        </w:rPr>
      </w:pPr>
      <w:r>
        <w:rPr>
          <w:sz w:val="20"/>
          <w:szCs w:val="20"/>
        </w:rPr>
        <w:t>Cash equivalents and short-term investments consist of the following (in thousands):</w:t>
      </w:r>
    </w:p>
    <w:p w:rsidR="00000000" w:rsidRDefault="00FF2C06">
      <w:pPr>
        <w:pStyle w:val="a3"/>
        <w:spacing w:before="0" w:beforeAutospacing="0" w:after="0" w:afterAutospacing="0"/>
        <w:ind w:firstLine="547"/>
        <w:divId w:val="1302225477"/>
        <w:rPr>
          <w:sz w:val="20"/>
          <w:szCs w:val="20"/>
        </w:rPr>
      </w:pPr>
      <w:r>
        <w:rPr>
          <w:sz w:val="20"/>
          <w:szCs w:val="20"/>
        </w:rPr>
        <w:t>​</w:t>
      </w:r>
    </w:p>
    <w:tbl>
      <w:tblPr>
        <w:tblW w:w="4068" w:type="pct"/>
        <w:tblCellMar>
          <w:top w:w="15" w:type="dxa"/>
          <w:left w:w="0" w:type="dxa"/>
          <w:bottom w:w="15" w:type="dxa"/>
          <w:right w:w="0" w:type="dxa"/>
        </w:tblCellMar>
        <w:tblLook w:val="04A0" w:firstRow="1" w:lastRow="0" w:firstColumn="1" w:lastColumn="0" w:noHBand="0" w:noVBand="1"/>
      </w:tblPr>
      <w:tblGrid>
        <w:gridCol w:w="4601"/>
        <w:gridCol w:w="6"/>
        <w:gridCol w:w="141"/>
        <w:gridCol w:w="877"/>
        <w:gridCol w:w="160"/>
        <w:gridCol w:w="134"/>
        <w:gridCol w:w="839"/>
      </w:tblGrid>
      <w:tr w:rsidR="00000000">
        <w:trPr>
          <w:divId w:val="1302225477"/>
          <w:trHeight w:val="20"/>
        </w:trPr>
        <w:tc>
          <w:tcPr>
            <w:tcW w:w="3674" w:type="pct"/>
            <w:tcMar>
              <w:top w:w="0" w:type="dxa"/>
              <w:left w:w="0" w:type="dxa"/>
              <w:bottom w:w="0" w:type="dxa"/>
              <w:right w:w="0" w:type="dxa"/>
            </w:tcMar>
            <w:vAlign w:val="bottom"/>
            <w:hideMark/>
          </w:tcPr>
          <w:p w:rsidR="00000000" w:rsidRDefault="00FF2C06">
            <w:pPr>
              <w:pStyle w:val="a3"/>
              <w:spacing w:before="0" w:beforeAutospacing="0" w:after="1" w:afterAutospacing="0"/>
              <w:divId w:val="1663119944"/>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340937139"/>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430274538"/>
              <w:rPr>
                <w:sz w:val="20"/>
                <w:szCs w:val="20"/>
              </w:rPr>
            </w:pPr>
            <w:r>
              <w:rPr>
                <w:sz w:val="2"/>
                <w:szCs w:val="2"/>
              </w:rPr>
              <w:t>​</w:t>
            </w:r>
          </w:p>
        </w:tc>
        <w:tc>
          <w:tcPr>
            <w:tcW w:w="499"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2116516399"/>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705259545"/>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547566328"/>
              <w:rPr>
                <w:sz w:val="20"/>
                <w:szCs w:val="20"/>
              </w:rPr>
            </w:pPr>
            <w:r>
              <w:rPr>
                <w:sz w:val="2"/>
                <w:szCs w:val="2"/>
              </w:rPr>
              <w:t>​</w:t>
            </w:r>
          </w:p>
        </w:tc>
        <w:tc>
          <w:tcPr>
            <w:tcW w:w="476"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947541039"/>
              <w:rPr>
                <w:sz w:val="20"/>
                <w:szCs w:val="20"/>
              </w:rPr>
            </w:pPr>
            <w:r>
              <w:rPr>
                <w:sz w:val="2"/>
                <w:szCs w:val="2"/>
              </w:rPr>
              <w:t>​</w:t>
            </w:r>
          </w:p>
        </w:tc>
      </w:tr>
      <w:tr w:rsidR="00000000">
        <w:trPr>
          <w:divId w:val="1302225477"/>
        </w:trPr>
        <w:tc>
          <w:tcPr>
            <w:tcW w:w="3674" w:type="pct"/>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w:t>
            </w:r>
          </w:p>
        </w:tc>
        <w:tc>
          <w:tcPr>
            <w:tcW w:w="96"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16"/>
                <w:szCs w:val="16"/>
              </w:rPr>
              <w:t>​</w:t>
            </w:r>
          </w:p>
        </w:tc>
        <w:tc>
          <w:tcPr>
            <w:tcW w:w="579" w:type="pct"/>
            <w:gridSpan w:val="2"/>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September 30, </w:t>
            </w:r>
          </w:p>
        </w:tc>
        <w:tc>
          <w:tcPr>
            <w:tcW w:w="96"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16"/>
                <w:szCs w:val="16"/>
              </w:rPr>
              <w:t>​</w:t>
            </w:r>
          </w:p>
        </w:tc>
        <w:tc>
          <w:tcPr>
            <w:tcW w:w="553" w:type="pct"/>
            <w:gridSpan w:val="2"/>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December 31, </w:t>
            </w:r>
          </w:p>
        </w:tc>
      </w:tr>
      <w:tr w:rsidR="00000000">
        <w:trPr>
          <w:divId w:val="1302225477"/>
        </w:trPr>
        <w:tc>
          <w:tcPr>
            <w:tcW w:w="3674" w:type="pct"/>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w:t>
            </w:r>
          </w:p>
        </w:tc>
        <w:tc>
          <w:tcPr>
            <w:tcW w:w="96"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16"/>
                <w:szCs w:val="16"/>
              </w:rPr>
              <w:t>​</w:t>
            </w:r>
          </w:p>
        </w:tc>
        <w:tc>
          <w:tcPr>
            <w:tcW w:w="579"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2020</w:t>
            </w:r>
          </w:p>
        </w:tc>
        <w:tc>
          <w:tcPr>
            <w:tcW w:w="96"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b/>
                <w:bCs/>
                <w:sz w:val="16"/>
                <w:szCs w:val="16"/>
              </w:rPr>
              <w:t>    </w:t>
            </w:r>
          </w:p>
        </w:tc>
        <w:tc>
          <w:tcPr>
            <w:tcW w:w="553"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2019</w:t>
            </w:r>
          </w:p>
        </w:tc>
      </w:tr>
      <w:tr w:rsidR="00000000">
        <w:trPr>
          <w:divId w:val="1302225477"/>
        </w:trPr>
        <w:tc>
          <w:tcPr>
            <w:tcW w:w="3674" w:type="pct"/>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sz w:val="20"/>
                <w:szCs w:val="20"/>
              </w:rPr>
              <w:t>​</w:t>
            </w:r>
          </w:p>
        </w:tc>
        <w:tc>
          <w:tcPr>
            <w:tcW w:w="96"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99"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sz w:val="20"/>
                <w:szCs w:val="20"/>
              </w:rPr>
              <w:t>​</w:t>
            </w:r>
          </w:p>
        </w:tc>
        <w:tc>
          <w:tcPr>
            <w:tcW w:w="96"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76"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sz w:val="20"/>
                <w:szCs w:val="20"/>
              </w:rPr>
              <w:t>​</w:t>
            </w:r>
          </w:p>
        </w:tc>
      </w:tr>
      <w:tr w:rsidR="00000000">
        <w:trPr>
          <w:divId w:val="1302225477"/>
        </w:trPr>
        <w:tc>
          <w:tcPr>
            <w:tcW w:w="3674"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Cash equivalents - Money market funds</w:t>
            </w:r>
          </w:p>
        </w:tc>
        <w:tc>
          <w:tcPr>
            <w:tcW w:w="9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9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51,213</w:t>
            </w:r>
          </w:p>
        </w:tc>
        <w:tc>
          <w:tcPr>
            <w:tcW w:w="9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10,049</w:t>
            </w:r>
          </w:p>
        </w:tc>
      </w:tr>
      <w:tr w:rsidR="00000000">
        <w:trPr>
          <w:divId w:val="1302225477"/>
        </w:trPr>
        <w:tc>
          <w:tcPr>
            <w:tcW w:w="3674" w:type="pct"/>
            <w:tcMar>
              <w:top w:w="0" w:type="dxa"/>
              <w:left w:w="0" w:type="dxa"/>
              <w:bottom w:w="0" w:type="dxa"/>
              <w:right w:w="0" w:type="dxa"/>
            </w:tcMar>
            <w:vAlign w:val="bottom"/>
            <w:hideMark/>
          </w:tcPr>
          <w:p w:rsidR="00000000" w:rsidRDefault="00FF2C06">
            <w:pPr>
              <w:pStyle w:val="a3"/>
              <w:spacing w:before="0" w:beforeAutospacing="0" w:after="1" w:afterAutospacing="0"/>
              <w:ind w:left="120"/>
              <w:rPr>
                <w:sz w:val="20"/>
                <w:szCs w:val="20"/>
              </w:rPr>
            </w:pPr>
            <w:r>
              <w:rPr>
                <w:sz w:val="20"/>
                <w:szCs w:val="20"/>
              </w:rPr>
              <w:t>Cash equivalents total</w:t>
            </w:r>
          </w:p>
        </w:tc>
        <w:tc>
          <w:tcPr>
            <w:tcW w:w="96"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0" w:type="pct"/>
            <w:tcBorders>
              <w:bottom w:val="doub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99" w:type="pct"/>
            <w:tcBorders>
              <w:bottom w:val="doub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51,213</w:t>
            </w:r>
          </w:p>
        </w:tc>
        <w:tc>
          <w:tcPr>
            <w:tcW w:w="96"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76" w:type="pct"/>
            <w:tcBorders>
              <w:bottom w:val="doub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76" w:type="pct"/>
            <w:tcBorders>
              <w:bottom w:val="doub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10,049</w:t>
            </w:r>
          </w:p>
        </w:tc>
      </w:tr>
    </w:tbl>
    <w:p w:rsidR="00000000" w:rsidRDefault="00FF2C06">
      <w:pPr>
        <w:pStyle w:val="a3"/>
        <w:spacing w:before="0" w:beforeAutospacing="0" w:after="0" w:afterAutospacing="0"/>
        <w:divId w:val="1302225477"/>
        <w:rPr>
          <w:sz w:val="20"/>
          <w:szCs w:val="20"/>
        </w:rPr>
      </w:pPr>
      <w:r>
        <w:rPr>
          <w:sz w:val="20"/>
          <w:szCs w:val="20"/>
        </w:rPr>
        <w:t>​</w:t>
      </w:r>
    </w:p>
    <w:p w:rsidR="00000000" w:rsidRDefault="00FF2C06">
      <w:pPr>
        <w:pStyle w:val="a3"/>
        <w:spacing w:before="0" w:beforeAutospacing="0" w:after="0" w:afterAutospacing="0"/>
        <w:ind w:firstLine="547"/>
        <w:divId w:val="1302225477"/>
        <w:rPr>
          <w:sz w:val="20"/>
          <w:szCs w:val="20"/>
        </w:rPr>
      </w:pPr>
      <w:r>
        <w:rPr>
          <w:sz w:val="20"/>
          <w:szCs w:val="20"/>
        </w:rPr>
        <w:t>Cash equivalents in the tables above exclude cash demand deposits of $17.1 million and $3.9 million as of September 30, 2020 and December 31, 2019, respectively (in thousands).</w:t>
      </w:r>
    </w:p>
    <w:p w:rsidR="00000000" w:rsidRDefault="00FF2C06">
      <w:pPr>
        <w:pStyle w:val="a3"/>
        <w:spacing w:before="0" w:beforeAutospacing="0" w:after="0" w:afterAutospacing="0"/>
        <w:ind w:firstLine="547"/>
        <w:divId w:val="1302225477"/>
        <w:rPr>
          <w:sz w:val="20"/>
          <w:szCs w:val="20"/>
        </w:rPr>
      </w:pPr>
      <w:r>
        <w:rPr>
          <w:sz w:val="20"/>
          <w:szCs w:val="20"/>
        </w:rPr>
        <w:t>​</w:t>
      </w:r>
    </w:p>
    <w:tbl>
      <w:tblPr>
        <w:tblW w:w="4012" w:type="pct"/>
        <w:tblCellMar>
          <w:top w:w="15" w:type="dxa"/>
          <w:left w:w="0" w:type="dxa"/>
          <w:bottom w:w="15" w:type="dxa"/>
          <w:right w:w="0" w:type="dxa"/>
        </w:tblCellMar>
        <w:tblLook w:val="04A0" w:firstRow="1" w:lastRow="0" w:firstColumn="1" w:lastColumn="0" w:noHBand="0" w:noVBand="1"/>
      </w:tblPr>
      <w:tblGrid>
        <w:gridCol w:w="4508"/>
        <w:gridCol w:w="6"/>
        <w:gridCol w:w="141"/>
        <w:gridCol w:w="877"/>
        <w:gridCol w:w="160"/>
        <w:gridCol w:w="134"/>
        <w:gridCol w:w="839"/>
      </w:tblGrid>
      <w:tr w:rsidR="00000000">
        <w:trPr>
          <w:divId w:val="1302225477"/>
          <w:trHeight w:val="20"/>
        </w:trPr>
        <w:tc>
          <w:tcPr>
            <w:tcW w:w="3668" w:type="pct"/>
            <w:tcMar>
              <w:top w:w="0" w:type="dxa"/>
              <w:left w:w="0" w:type="dxa"/>
              <w:bottom w:w="0" w:type="dxa"/>
              <w:right w:w="0" w:type="dxa"/>
            </w:tcMar>
            <w:vAlign w:val="bottom"/>
            <w:hideMark/>
          </w:tcPr>
          <w:p w:rsidR="00000000" w:rsidRDefault="00FF2C06">
            <w:pPr>
              <w:pStyle w:val="a3"/>
              <w:spacing w:before="0" w:beforeAutospacing="0" w:after="1" w:afterAutospacing="0"/>
              <w:divId w:val="1642612435"/>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5250197"/>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859781468"/>
              <w:rPr>
                <w:sz w:val="20"/>
                <w:szCs w:val="20"/>
              </w:rPr>
            </w:pPr>
            <w:r>
              <w:rPr>
                <w:sz w:val="2"/>
                <w:szCs w:val="2"/>
              </w:rPr>
              <w:t>​</w:t>
            </w:r>
          </w:p>
        </w:tc>
        <w:tc>
          <w:tcPr>
            <w:tcW w:w="505"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600408542"/>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39205279"/>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138958157"/>
              <w:rPr>
                <w:sz w:val="20"/>
                <w:szCs w:val="20"/>
              </w:rPr>
            </w:pPr>
            <w:r>
              <w:rPr>
                <w:sz w:val="2"/>
                <w:szCs w:val="2"/>
              </w:rPr>
              <w:t>​</w:t>
            </w:r>
          </w:p>
        </w:tc>
        <w:tc>
          <w:tcPr>
            <w:tcW w:w="483"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2035181175"/>
              <w:rPr>
                <w:sz w:val="20"/>
                <w:szCs w:val="20"/>
              </w:rPr>
            </w:pPr>
            <w:r>
              <w:rPr>
                <w:sz w:val="2"/>
                <w:szCs w:val="2"/>
              </w:rPr>
              <w:t>​</w:t>
            </w:r>
          </w:p>
        </w:tc>
      </w:tr>
      <w:tr w:rsidR="00000000">
        <w:trPr>
          <w:divId w:val="1302225477"/>
        </w:trPr>
        <w:tc>
          <w:tcPr>
            <w:tcW w:w="3668" w:type="pct"/>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w:t>
            </w:r>
          </w:p>
        </w:tc>
        <w:tc>
          <w:tcPr>
            <w:tcW w:w="90"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16"/>
                <w:szCs w:val="16"/>
              </w:rPr>
              <w:t>​</w:t>
            </w:r>
          </w:p>
        </w:tc>
        <w:tc>
          <w:tcPr>
            <w:tcW w:w="587" w:type="pct"/>
            <w:gridSpan w:val="2"/>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September 30, </w:t>
            </w:r>
          </w:p>
        </w:tc>
        <w:tc>
          <w:tcPr>
            <w:tcW w:w="92"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16"/>
                <w:szCs w:val="16"/>
              </w:rPr>
              <w:t>​</w:t>
            </w:r>
          </w:p>
        </w:tc>
        <w:tc>
          <w:tcPr>
            <w:tcW w:w="561" w:type="pct"/>
            <w:gridSpan w:val="2"/>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December 31, </w:t>
            </w:r>
          </w:p>
        </w:tc>
      </w:tr>
      <w:tr w:rsidR="00000000">
        <w:trPr>
          <w:divId w:val="1302225477"/>
        </w:trPr>
        <w:tc>
          <w:tcPr>
            <w:tcW w:w="3668" w:type="pct"/>
            <w:tcBorders>
              <w:bottom w:val="single" w:sz="6" w:space="0" w:color="000000"/>
            </w:tcBorders>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b/>
                <w:bCs/>
                <w:sz w:val="16"/>
                <w:szCs w:val="16"/>
              </w:rPr>
              <w:t>Short-term investments</w:t>
            </w:r>
          </w:p>
        </w:tc>
        <w:tc>
          <w:tcPr>
            <w:tcW w:w="90"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16"/>
                <w:szCs w:val="16"/>
              </w:rPr>
              <w:t>​</w:t>
            </w:r>
          </w:p>
        </w:tc>
        <w:tc>
          <w:tcPr>
            <w:tcW w:w="587"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2020</w:t>
            </w:r>
          </w:p>
        </w:tc>
        <w:tc>
          <w:tcPr>
            <w:tcW w:w="92"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b/>
                <w:bCs/>
                <w:sz w:val="16"/>
                <w:szCs w:val="16"/>
              </w:rPr>
              <w:t>    </w:t>
            </w:r>
          </w:p>
        </w:tc>
        <w:tc>
          <w:tcPr>
            <w:tcW w:w="561"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2019</w:t>
            </w:r>
          </w:p>
        </w:tc>
      </w:tr>
      <w:tr w:rsidR="00000000">
        <w:trPr>
          <w:divId w:val="1302225477"/>
        </w:trPr>
        <w:tc>
          <w:tcPr>
            <w:tcW w:w="3668"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jc w:val="both"/>
              <w:rPr>
                <w:sz w:val="20"/>
                <w:szCs w:val="20"/>
              </w:rPr>
            </w:pPr>
            <w:r>
              <w:rPr>
                <w:sz w:val="20"/>
                <w:szCs w:val="20"/>
              </w:rPr>
              <w:t>U.S. treasury securities</w:t>
            </w:r>
          </w:p>
        </w:tc>
        <w:tc>
          <w:tcPr>
            <w:tcW w:w="90"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0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421,155</w:t>
            </w:r>
          </w:p>
        </w:tc>
        <w:tc>
          <w:tcPr>
            <w:tcW w:w="9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8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242,249</w:t>
            </w:r>
          </w:p>
        </w:tc>
      </w:tr>
      <w:tr w:rsidR="00000000">
        <w:trPr>
          <w:divId w:val="1302225477"/>
        </w:trPr>
        <w:tc>
          <w:tcPr>
            <w:tcW w:w="3668" w:type="pct"/>
            <w:tcMar>
              <w:top w:w="0" w:type="dxa"/>
              <w:left w:w="0" w:type="dxa"/>
              <w:bottom w:w="0" w:type="dxa"/>
              <w:right w:w="0" w:type="dxa"/>
            </w:tcMar>
            <w:vAlign w:val="bottom"/>
            <w:hideMark/>
          </w:tcPr>
          <w:p w:rsidR="00000000" w:rsidRDefault="00FF2C06">
            <w:pPr>
              <w:pStyle w:val="a3"/>
              <w:spacing w:before="0" w:beforeAutospacing="0" w:after="1" w:afterAutospacing="0"/>
              <w:jc w:val="both"/>
              <w:rPr>
                <w:sz w:val="20"/>
                <w:szCs w:val="20"/>
              </w:rPr>
            </w:pPr>
            <w:r>
              <w:rPr>
                <w:sz w:val="20"/>
                <w:szCs w:val="20"/>
              </w:rPr>
              <w:t>U.S. government agency securities</w:t>
            </w:r>
          </w:p>
        </w:tc>
        <w:tc>
          <w:tcPr>
            <w:tcW w:w="90"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505"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224,683</w:t>
            </w:r>
          </w:p>
        </w:tc>
        <w:tc>
          <w:tcPr>
            <w:tcW w:w="92"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483"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50,863</w:t>
            </w:r>
          </w:p>
        </w:tc>
      </w:tr>
      <w:tr w:rsidR="00000000">
        <w:trPr>
          <w:divId w:val="1302225477"/>
        </w:trPr>
        <w:tc>
          <w:tcPr>
            <w:tcW w:w="3668"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ind w:left="120"/>
              <w:rPr>
                <w:sz w:val="20"/>
                <w:szCs w:val="20"/>
              </w:rPr>
            </w:pPr>
            <w:r>
              <w:rPr>
                <w:sz w:val="20"/>
                <w:szCs w:val="20"/>
              </w:rPr>
              <w:t>Short-term investments total</w:t>
            </w:r>
          </w:p>
        </w:tc>
        <w:tc>
          <w:tcPr>
            <w:tcW w:w="90"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0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645,838</w:t>
            </w:r>
          </w:p>
        </w:tc>
        <w:tc>
          <w:tcPr>
            <w:tcW w:w="9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293,112</w:t>
            </w:r>
          </w:p>
        </w:tc>
      </w:tr>
    </w:tbl>
    <w:p w:rsidR="00000000" w:rsidRDefault="00FF2C06">
      <w:pPr>
        <w:pStyle w:val="a3"/>
        <w:spacing w:before="0" w:beforeAutospacing="0" w:after="0" w:afterAutospacing="0"/>
        <w:divId w:val="1302225477"/>
        <w:rPr>
          <w:sz w:val="20"/>
          <w:szCs w:val="20"/>
        </w:rPr>
      </w:pPr>
      <w:r>
        <w:rPr>
          <w:sz w:val="20"/>
          <w:szCs w:val="20"/>
        </w:rPr>
        <w:t>​</w:t>
      </w:r>
    </w:p>
    <w:p w:rsidR="00000000" w:rsidRDefault="00FF2C06">
      <w:pPr>
        <w:pStyle w:val="a3"/>
        <w:spacing w:before="480" w:beforeAutospacing="0" w:after="0" w:afterAutospacing="0"/>
        <w:jc w:val="center"/>
        <w:divId w:val="56631589"/>
        <w:rPr>
          <w:sz w:val="20"/>
          <w:szCs w:val="20"/>
        </w:rPr>
      </w:pPr>
      <w:r>
        <w:rPr>
          <w:sz w:val="20"/>
          <w:szCs w:val="20"/>
        </w:rPr>
        <w:t>14</w:t>
      </w:r>
    </w:p>
    <w:p w:rsidR="00000000" w:rsidRDefault="00FF2C06">
      <w:pPr>
        <w:pStyle w:val="a3"/>
        <w:spacing w:before="0" w:beforeAutospacing="0" w:after="600" w:afterAutospacing="0"/>
        <w:divId w:val="1404982993"/>
        <w:rPr>
          <w:sz w:val="20"/>
          <w:szCs w:val="20"/>
        </w:rPr>
      </w:pPr>
      <w:hyperlink w:anchor="TOC" w:history="1">
        <w:r>
          <w:rPr>
            <w:rStyle w:val="a4"/>
            <w:sz w:val="20"/>
            <w:szCs w:val="20"/>
          </w:rPr>
          <w:t>Table of Contents</w:t>
        </w:r>
      </w:hyperlink>
    </w:p>
    <w:p w:rsidR="00000000" w:rsidRDefault="00FF2C06">
      <w:pPr>
        <w:pStyle w:val="a3"/>
        <w:spacing w:before="0" w:beforeAutospacing="0" w:after="0" w:afterAutospacing="0"/>
        <w:ind w:firstLine="547"/>
        <w:divId w:val="462308454"/>
        <w:rPr>
          <w:sz w:val="20"/>
          <w:szCs w:val="20"/>
        </w:rPr>
      </w:pPr>
      <w:r>
        <w:rPr>
          <w:sz w:val="20"/>
          <w:szCs w:val="20"/>
        </w:rPr>
        <w:t>The cost and fair value of cash equivalents and short-term investments at September 30, 2020 and December 31, 2019 were as follows (in thousands):</w:t>
      </w:r>
    </w:p>
    <w:p w:rsidR="00000000" w:rsidRDefault="00FF2C06">
      <w:pPr>
        <w:pStyle w:val="a3"/>
        <w:spacing w:before="0" w:beforeAutospacing="0" w:after="0" w:afterAutospacing="0"/>
        <w:ind w:firstLine="547"/>
        <w:divId w:val="46230845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369"/>
        <w:gridCol w:w="160"/>
        <w:gridCol w:w="100"/>
        <w:gridCol w:w="710"/>
        <w:gridCol w:w="160"/>
        <w:gridCol w:w="141"/>
        <w:gridCol w:w="881"/>
        <w:gridCol w:w="160"/>
        <w:gridCol w:w="101"/>
        <w:gridCol w:w="646"/>
        <w:gridCol w:w="160"/>
        <w:gridCol w:w="102"/>
        <w:gridCol w:w="646"/>
        <w:gridCol w:w="160"/>
        <w:gridCol w:w="100"/>
        <w:gridCol w:w="710"/>
      </w:tblGrid>
      <w:tr w:rsidR="00000000">
        <w:trPr>
          <w:divId w:val="462308454"/>
          <w:trHeight w:val="20"/>
        </w:trPr>
        <w:tc>
          <w:tcPr>
            <w:tcW w:w="2223" w:type="pct"/>
            <w:tcMar>
              <w:top w:w="0" w:type="dxa"/>
              <w:left w:w="0" w:type="dxa"/>
              <w:bottom w:w="0" w:type="dxa"/>
              <w:right w:w="0" w:type="dxa"/>
            </w:tcMar>
            <w:vAlign w:val="bottom"/>
            <w:hideMark/>
          </w:tcPr>
          <w:p w:rsidR="00000000" w:rsidRDefault="00FF2C06">
            <w:pPr>
              <w:pStyle w:val="a3"/>
              <w:spacing w:before="0" w:beforeAutospacing="0" w:after="1" w:afterAutospacing="0"/>
              <w:divId w:val="692345057"/>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74479318"/>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836001434"/>
              <w:rPr>
                <w:sz w:val="20"/>
                <w:szCs w:val="20"/>
              </w:rPr>
            </w:pPr>
            <w:r>
              <w:rPr>
                <w:sz w:val="2"/>
                <w:szCs w:val="2"/>
              </w:rPr>
              <w:t>​</w:t>
            </w:r>
          </w:p>
        </w:tc>
        <w:tc>
          <w:tcPr>
            <w:tcW w:w="391"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510610498"/>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573468022"/>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0617240"/>
              <w:rPr>
                <w:sz w:val="20"/>
                <w:szCs w:val="20"/>
              </w:rPr>
            </w:pPr>
            <w:r>
              <w:rPr>
                <w:sz w:val="2"/>
                <w:szCs w:val="2"/>
              </w:rPr>
              <w:t>​</w:t>
            </w:r>
          </w:p>
        </w:tc>
        <w:tc>
          <w:tcPr>
            <w:tcW w:w="407"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260530621"/>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344290131"/>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403986988"/>
              <w:rPr>
                <w:sz w:val="20"/>
                <w:szCs w:val="20"/>
              </w:rPr>
            </w:pPr>
            <w:r>
              <w:rPr>
                <w:sz w:val="2"/>
                <w:szCs w:val="2"/>
              </w:rPr>
              <w:t>​</w:t>
            </w:r>
          </w:p>
        </w:tc>
        <w:tc>
          <w:tcPr>
            <w:tcW w:w="391"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083452919"/>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00417471"/>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607232811"/>
              <w:rPr>
                <w:sz w:val="20"/>
                <w:szCs w:val="20"/>
              </w:rPr>
            </w:pPr>
            <w:r>
              <w:rPr>
                <w:sz w:val="2"/>
                <w:szCs w:val="2"/>
              </w:rPr>
              <w:t>​</w:t>
            </w:r>
          </w:p>
        </w:tc>
        <w:tc>
          <w:tcPr>
            <w:tcW w:w="392"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131751149"/>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751124725"/>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285430457"/>
              <w:rPr>
                <w:sz w:val="20"/>
                <w:szCs w:val="20"/>
              </w:rPr>
            </w:pPr>
            <w:r>
              <w:rPr>
                <w:sz w:val="2"/>
                <w:szCs w:val="2"/>
              </w:rPr>
              <w:t>​</w:t>
            </w:r>
          </w:p>
        </w:tc>
        <w:tc>
          <w:tcPr>
            <w:tcW w:w="392"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086146186"/>
              <w:rPr>
                <w:sz w:val="20"/>
                <w:szCs w:val="20"/>
              </w:rPr>
            </w:pPr>
            <w:r>
              <w:rPr>
                <w:sz w:val="2"/>
                <w:szCs w:val="2"/>
              </w:rPr>
              <w:t>​</w:t>
            </w:r>
          </w:p>
        </w:tc>
      </w:tr>
      <w:tr w:rsidR="00000000">
        <w:trPr>
          <w:divId w:val="462308454"/>
        </w:trPr>
        <w:tc>
          <w:tcPr>
            <w:tcW w:w="2223" w:type="pct"/>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w:t>
            </w:r>
          </w:p>
        </w:tc>
        <w:tc>
          <w:tcPr>
            <w:tcW w:w="97"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91"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sz w:val="16"/>
                <w:szCs w:val="16"/>
              </w:rPr>
              <w:t>​</w:t>
            </w:r>
          </w:p>
        </w:tc>
        <w:tc>
          <w:tcPr>
            <w:tcW w:w="97"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407"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sz w:val="16"/>
                <w:szCs w:val="16"/>
              </w:rPr>
              <w:t>​</w:t>
            </w:r>
          </w:p>
        </w:tc>
        <w:tc>
          <w:tcPr>
            <w:tcW w:w="97"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16"/>
                <w:szCs w:val="16"/>
              </w:rPr>
              <w:t>​</w:t>
            </w:r>
          </w:p>
        </w:tc>
        <w:tc>
          <w:tcPr>
            <w:tcW w:w="453" w:type="pct"/>
            <w:gridSpan w:val="2"/>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Gross</w:t>
            </w:r>
          </w:p>
        </w:tc>
        <w:tc>
          <w:tcPr>
            <w:tcW w:w="97"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16"/>
                <w:szCs w:val="16"/>
              </w:rPr>
              <w:t>​</w:t>
            </w:r>
          </w:p>
        </w:tc>
        <w:tc>
          <w:tcPr>
            <w:tcW w:w="453" w:type="pct"/>
            <w:gridSpan w:val="2"/>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Gross</w:t>
            </w:r>
          </w:p>
        </w:tc>
        <w:tc>
          <w:tcPr>
            <w:tcW w:w="9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92"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sz w:val="16"/>
                <w:szCs w:val="16"/>
              </w:rPr>
              <w:t>​</w:t>
            </w:r>
          </w:p>
        </w:tc>
      </w:tr>
      <w:tr w:rsidR="00000000">
        <w:trPr>
          <w:divId w:val="462308454"/>
        </w:trPr>
        <w:tc>
          <w:tcPr>
            <w:tcW w:w="2223" w:type="pct"/>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w:t>
            </w:r>
          </w:p>
        </w:tc>
        <w:tc>
          <w:tcPr>
            <w:tcW w:w="97"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91"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sz w:val="16"/>
                <w:szCs w:val="16"/>
              </w:rPr>
              <w:t>​</w:t>
            </w:r>
          </w:p>
        </w:tc>
        <w:tc>
          <w:tcPr>
            <w:tcW w:w="97"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473" w:type="pct"/>
            <w:gridSpan w:val="2"/>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Accretion</w:t>
            </w:r>
          </w:p>
        </w:tc>
        <w:tc>
          <w:tcPr>
            <w:tcW w:w="97"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16"/>
                <w:szCs w:val="16"/>
              </w:rPr>
              <w:t>​</w:t>
            </w:r>
          </w:p>
        </w:tc>
        <w:tc>
          <w:tcPr>
            <w:tcW w:w="453" w:type="pct"/>
            <w:gridSpan w:val="2"/>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Unrealized</w:t>
            </w:r>
          </w:p>
        </w:tc>
        <w:tc>
          <w:tcPr>
            <w:tcW w:w="97"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16"/>
                <w:szCs w:val="16"/>
              </w:rPr>
              <w:t>​</w:t>
            </w:r>
          </w:p>
        </w:tc>
        <w:tc>
          <w:tcPr>
            <w:tcW w:w="453" w:type="pct"/>
            <w:gridSpan w:val="2"/>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Unrealized</w:t>
            </w:r>
          </w:p>
        </w:tc>
        <w:tc>
          <w:tcPr>
            <w:tcW w:w="9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92"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sz w:val="16"/>
                <w:szCs w:val="16"/>
              </w:rPr>
              <w:t>​</w:t>
            </w:r>
          </w:p>
        </w:tc>
      </w:tr>
      <w:tr w:rsidR="00000000">
        <w:trPr>
          <w:divId w:val="462308454"/>
        </w:trPr>
        <w:tc>
          <w:tcPr>
            <w:tcW w:w="2223" w:type="pct"/>
            <w:tcBorders>
              <w:bottom w:val="single" w:sz="6" w:space="0" w:color="000000"/>
            </w:tcBorders>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b/>
                <w:bCs/>
                <w:sz w:val="16"/>
                <w:szCs w:val="16"/>
              </w:rPr>
              <w:t>As of September 30, 2020</w:t>
            </w:r>
          </w:p>
        </w:tc>
        <w:tc>
          <w:tcPr>
            <w:tcW w:w="97"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    </w:t>
            </w:r>
          </w:p>
        </w:tc>
        <w:tc>
          <w:tcPr>
            <w:tcW w:w="453"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Cost</w:t>
            </w:r>
          </w:p>
        </w:tc>
        <w:tc>
          <w:tcPr>
            <w:tcW w:w="97"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    </w:t>
            </w:r>
          </w:p>
        </w:tc>
        <w:tc>
          <w:tcPr>
            <w:tcW w:w="473"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(Amortization)</w:t>
            </w:r>
          </w:p>
        </w:tc>
        <w:tc>
          <w:tcPr>
            <w:tcW w:w="97"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    </w:t>
            </w:r>
          </w:p>
        </w:tc>
        <w:tc>
          <w:tcPr>
            <w:tcW w:w="453"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Gains</w:t>
            </w:r>
          </w:p>
        </w:tc>
        <w:tc>
          <w:tcPr>
            <w:tcW w:w="97"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    </w:t>
            </w:r>
          </w:p>
        </w:tc>
        <w:tc>
          <w:tcPr>
            <w:tcW w:w="453"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Losses</w:t>
            </w:r>
          </w:p>
        </w:tc>
        <w:tc>
          <w:tcPr>
            <w:tcW w:w="9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    </w:t>
            </w:r>
          </w:p>
        </w:tc>
        <w:tc>
          <w:tcPr>
            <w:tcW w:w="454"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Fair Value</w:t>
            </w:r>
          </w:p>
        </w:tc>
      </w:tr>
      <w:tr w:rsidR="00000000">
        <w:trPr>
          <w:divId w:val="462308454"/>
        </w:trPr>
        <w:tc>
          <w:tcPr>
            <w:tcW w:w="2223"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U.S. treasury securities</w:t>
            </w:r>
          </w:p>
        </w:tc>
        <w:tc>
          <w:tcPr>
            <w:tcW w:w="97"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421,372</w:t>
            </w:r>
          </w:p>
        </w:tc>
        <w:tc>
          <w:tcPr>
            <w:tcW w:w="97"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07"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(322)</w:t>
            </w:r>
          </w:p>
        </w:tc>
        <w:tc>
          <w:tcPr>
            <w:tcW w:w="97"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105</w:t>
            </w:r>
          </w:p>
        </w:tc>
        <w:tc>
          <w:tcPr>
            <w:tcW w:w="97"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39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39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421,155</w:t>
            </w:r>
          </w:p>
        </w:tc>
      </w:tr>
      <w:tr w:rsidR="00000000">
        <w:trPr>
          <w:divId w:val="462308454"/>
        </w:trPr>
        <w:tc>
          <w:tcPr>
            <w:tcW w:w="2223"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U.S. government agency securities</w:t>
            </w:r>
          </w:p>
        </w:tc>
        <w:tc>
          <w:tcPr>
            <w:tcW w:w="97"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391"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224,757</w:t>
            </w:r>
          </w:p>
        </w:tc>
        <w:tc>
          <w:tcPr>
            <w:tcW w:w="97"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407"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(124)</w:t>
            </w:r>
          </w:p>
        </w:tc>
        <w:tc>
          <w:tcPr>
            <w:tcW w:w="97"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391"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50</w:t>
            </w:r>
          </w:p>
        </w:tc>
        <w:tc>
          <w:tcPr>
            <w:tcW w:w="97"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392"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392"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224,683</w:t>
            </w:r>
          </w:p>
        </w:tc>
      </w:tr>
      <w:tr w:rsidR="00000000">
        <w:trPr>
          <w:divId w:val="462308454"/>
        </w:trPr>
        <w:tc>
          <w:tcPr>
            <w:tcW w:w="2223"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ind w:left="120"/>
              <w:rPr>
                <w:sz w:val="20"/>
                <w:szCs w:val="20"/>
              </w:rPr>
            </w:pPr>
            <w:r>
              <w:rPr>
                <w:sz w:val="20"/>
                <w:szCs w:val="20"/>
              </w:rPr>
              <w:t>Total</w:t>
            </w:r>
          </w:p>
        </w:tc>
        <w:tc>
          <w:tcPr>
            <w:tcW w:w="97"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3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646,129</w:t>
            </w:r>
          </w:p>
        </w:tc>
        <w:tc>
          <w:tcPr>
            <w:tcW w:w="97"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0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(446)</w:t>
            </w:r>
          </w:p>
        </w:tc>
        <w:tc>
          <w:tcPr>
            <w:tcW w:w="97"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3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155</w:t>
            </w:r>
          </w:p>
        </w:tc>
        <w:tc>
          <w:tcPr>
            <w:tcW w:w="97"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3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3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645,838</w:t>
            </w:r>
          </w:p>
        </w:tc>
      </w:tr>
    </w:tbl>
    <w:p w:rsidR="00000000" w:rsidRDefault="00FF2C06">
      <w:pPr>
        <w:pStyle w:val="a3"/>
        <w:spacing w:before="0" w:beforeAutospacing="0" w:after="0" w:afterAutospacing="0"/>
        <w:divId w:val="462308454"/>
        <w:rPr>
          <w:sz w:val="20"/>
          <w:szCs w:val="20"/>
        </w:rPr>
      </w:pPr>
      <w:r>
        <w:rPr>
          <w:sz w:val="20"/>
          <w:szCs w:val="20"/>
        </w:rPr>
        <w:t>​</w:t>
      </w:r>
    </w:p>
    <w:tbl>
      <w:tblPr>
        <w:tblW w:w="5001" w:type="pct"/>
        <w:tblCellMar>
          <w:top w:w="15" w:type="dxa"/>
          <w:left w:w="0" w:type="dxa"/>
          <w:bottom w:w="15" w:type="dxa"/>
          <w:right w:w="0" w:type="dxa"/>
        </w:tblCellMar>
        <w:tblLook w:val="04A0" w:firstRow="1" w:lastRow="0" w:firstColumn="1" w:lastColumn="0" w:noHBand="0" w:noVBand="1"/>
      </w:tblPr>
      <w:tblGrid>
        <w:gridCol w:w="3679"/>
        <w:gridCol w:w="160"/>
        <w:gridCol w:w="100"/>
        <w:gridCol w:w="710"/>
        <w:gridCol w:w="160"/>
        <w:gridCol w:w="101"/>
        <w:gridCol w:w="614"/>
        <w:gridCol w:w="160"/>
        <w:gridCol w:w="102"/>
        <w:gridCol w:w="645"/>
        <w:gridCol w:w="160"/>
        <w:gridCol w:w="102"/>
        <w:gridCol w:w="645"/>
        <w:gridCol w:w="160"/>
        <w:gridCol w:w="100"/>
        <w:gridCol w:w="710"/>
      </w:tblGrid>
      <w:tr w:rsidR="00000000">
        <w:trPr>
          <w:divId w:val="462308454"/>
          <w:trHeight w:val="20"/>
        </w:trPr>
        <w:tc>
          <w:tcPr>
            <w:tcW w:w="2225" w:type="pct"/>
            <w:tcMar>
              <w:top w:w="0" w:type="dxa"/>
              <w:left w:w="0" w:type="dxa"/>
              <w:bottom w:w="0" w:type="dxa"/>
              <w:right w:w="0" w:type="dxa"/>
            </w:tcMar>
            <w:vAlign w:val="bottom"/>
            <w:hideMark/>
          </w:tcPr>
          <w:p w:rsidR="00000000" w:rsidRDefault="00FF2C06">
            <w:pPr>
              <w:pStyle w:val="a3"/>
              <w:spacing w:before="0" w:beforeAutospacing="0" w:after="1" w:afterAutospacing="0"/>
              <w:divId w:val="1659311324"/>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828912341"/>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011175720"/>
              <w:rPr>
                <w:sz w:val="20"/>
                <w:szCs w:val="20"/>
              </w:rPr>
            </w:pPr>
            <w:r>
              <w:rPr>
                <w:sz w:val="2"/>
                <w:szCs w:val="2"/>
              </w:rPr>
              <w:t>​</w:t>
            </w:r>
          </w:p>
        </w:tc>
        <w:tc>
          <w:tcPr>
            <w:tcW w:w="392"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049525544"/>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480655607"/>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219482676"/>
              <w:rPr>
                <w:sz w:val="20"/>
                <w:szCs w:val="20"/>
              </w:rPr>
            </w:pPr>
            <w:r>
              <w:rPr>
                <w:sz w:val="2"/>
                <w:szCs w:val="2"/>
              </w:rPr>
              <w:t>​</w:t>
            </w:r>
          </w:p>
        </w:tc>
        <w:tc>
          <w:tcPr>
            <w:tcW w:w="392"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982199464"/>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667441506"/>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594820524"/>
              <w:rPr>
                <w:sz w:val="20"/>
                <w:szCs w:val="20"/>
              </w:rPr>
            </w:pPr>
            <w:r>
              <w:rPr>
                <w:sz w:val="2"/>
                <w:szCs w:val="2"/>
              </w:rPr>
              <w:t>​</w:t>
            </w:r>
          </w:p>
        </w:tc>
        <w:tc>
          <w:tcPr>
            <w:tcW w:w="392"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567765417"/>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209994502"/>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765150908"/>
              <w:rPr>
                <w:sz w:val="20"/>
                <w:szCs w:val="20"/>
              </w:rPr>
            </w:pPr>
            <w:r>
              <w:rPr>
                <w:sz w:val="2"/>
                <w:szCs w:val="2"/>
              </w:rPr>
              <w:t>​</w:t>
            </w:r>
          </w:p>
        </w:tc>
        <w:tc>
          <w:tcPr>
            <w:tcW w:w="392"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848252371"/>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254558732"/>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211189249"/>
              <w:rPr>
                <w:sz w:val="20"/>
                <w:szCs w:val="20"/>
              </w:rPr>
            </w:pPr>
            <w:r>
              <w:rPr>
                <w:sz w:val="2"/>
                <w:szCs w:val="2"/>
              </w:rPr>
              <w:t>​</w:t>
            </w:r>
          </w:p>
        </w:tc>
        <w:tc>
          <w:tcPr>
            <w:tcW w:w="392"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404911732"/>
              <w:rPr>
                <w:sz w:val="20"/>
                <w:szCs w:val="20"/>
              </w:rPr>
            </w:pPr>
            <w:r>
              <w:rPr>
                <w:sz w:val="2"/>
                <w:szCs w:val="2"/>
              </w:rPr>
              <w:t>​</w:t>
            </w:r>
          </w:p>
        </w:tc>
      </w:tr>
      <w:tr w:rsidR="00000000">
        <w:trPr>
          <w:divId w:val="462308454"/>
        </w:trPr>
        <w:tc>
          <w:tcPr>
            <w:tcW w:w="2225" w:type="pct"/>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w:t>
            </w:r>
          </w:p>
        </w:tc>
        <w:tc>
          <w:tcPr>
            <w:tcW w:w="9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92"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sz w:val="16"/>
                <w:szCs w:val="16"/>
              </w:rPr>
              <w:t>​</w:t>
            </w:r>
          </w:p>
        </w:tc>
        <w:tc>
          <w:tcPr>
            <w:tcW w:w="9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92"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sz w:val="16"/>
                <w:szCs w:val="16"/>
              </w:rPr>
              <w:t>​</w:t>
            </w:r>
          </w:p>
        </w:tc>
        <w:tc>
          <w:tcPr>
            <w:tcW w:w="9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16"/>
                <w:szCs w:val="16"/>
              </w:rPr>
              <w:t>​</w:t>
            </w:r>
          </w:p>
        </w:tc>
        <w:tc>
          <w:tcPr>
            <w:tcW w:w="455" w:type="pct"/>
            <w:gridSpan w:val="2"/>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Gross</w:t>
            </w:r>
          </w:p>
        </w:tc>
        <w:tc>
          <w:tcPr>
            <w:tcW w:w="9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16"/>
                <w:szCs w:val="16"/>
              </w:rPr>
              <w:t>​</w:t>
            </w:r>
          </w:p>
        </w:tc>
        <w:tc>
          <w:tcPr>
            <w:tcW w:w="455" w:type="pct"/>
            <w:gridSpan w:val="2"/>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Gross</w:t>
            </w:r>
          </w:p>
        </w:tc>
        <w:tc>
          <w:tcPr>
            <w:tcW w:w="9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92"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sz w:val="16"/>
                <w:szCs w:val="16"/>
              </w:rPr>
              <w:t>​</w:t>
            </w:r>
          </w:p>
        </w:tc>
      </w:tr>
      <w:tr w:rsidR="00000000">
        <w:trPr>
          <w:divId w:val="462308454"/>
        </w:trPr>
        <w:tc>
          <w:tcPr>
            <w:tcW w:w="2225" w:type="pct"/>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w:t>
            </w:r>
          </w:p>
        </w:tc>
        <w:tc>
          <w:tcPr>
            <w:tcW w:w="9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92"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sz w:val="16"/>
                <w:szCs w:val="16"/>
              </w:rPr>
              <w:t>​</w:t>
            </w:r>
          </w:p>
        </w:tc>
        <w:tc>
          <w:tcPr>
            <w:tcW w:w="9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92"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sz w:val="16"/>
                <w:szCs w:val="16"/>
              </w:rPr>
              <w:t>​</w:t>
            </w:r>
          </w:p>
        </w:tc>
        <w:tc>
          <w:tcPr>
            <w:tcW w:w="9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16"/>
                <w:szCs w:val="16"/>
              </w:rPr>
              <w:t>​</w:t>
            </w:r>
          </w:p>
        </w:tc>
        <w:tc>
          <w:tcPr>
            <w:tcW w:w="455" w:type="pct"/>
            <w:gridSpan w:val="2"/>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Unrealized</w:t>
            </w:r>
          </w:p>
        </w:tc>
        <w:tc>
          <w:tcPr>
            <w:tcW w:w="9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16"/>
                <w:szCs w:val="16"/>
              </w:rPr>
              <w:t>​</w:t>
            </w:r>
          </w:p>
        </w:tc>
        <w:tc>
          <w:tcPr>
            <w:tcW w:w="455" w:type="pct"/>
            <w:gridSpan w:val="2"/>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Unrealized</w:t>
            </w:r>
          </w:p>
        </w:tc>
        <w:tc>
          <w:tcPr>
            <w:tcW w:w="9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392"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sz w:val="16"/>
                <w:szCs w:val="16"/>
              </w:rPr>
              <w:t>​</w:t>
            </w:r>
          </w:p>
        </w:tc>
      </w:tr>
      <w:tr w:rsidR="00000000">
        <w:trPr>
          <w:divId w:val="462308454"/>
        </w:trPr>
        <w:tc>
          <w:tcPr>
            <w:tcW w:w="2225" w:type="pct"/>
            <w:tcBorders>
              <w:bottom w:val="single" w:sz="6" w:space="0" w:color="000000"/>
            </w:tcBorders>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b/>
                <w:bCs/>
                <w:sz w:val="16"/>
                <w:szCs w:val="16"/>
              </w:rPr>
              <w:t>As of December 31, 2019</w:t>
            </w:r>
          </w:p>
        </w:tc>
        <w:tc>
          <w:tcPr>
            <w:tcW w:w="9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    </w:t>
            </w:r>
          </w:p>
        </w:tc>
        <w:tc>
          <w:tcPr>
            <w:tcW w:w="455"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Cost</w:t>
            </w:r>
          </w:p>
        </w:tc>
        <w:tc>
          <w:tcPr>
            <w:tcW w:w="9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    </w:t>
            </w:r>
          </w:p>
        </w:tc>
        <w:tc>
          <w:tcPr>
            <w:tcW w:w="455"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Accretion</w:t>
            </w:r>
          </w:p>
        </w:tc>
        <w:tc>
          <w:tcPr>
            <w:tcW w:w="9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    </w:t>
            </w:r>
          </w:p>
        </w:tc>
        <w:tc>
          <w:tcPr>
            <w:tcW w:w="455"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Gains</w:t>
            </w:r>
          </w:p>
        </w:tc>
        <w:tc>
          <w:tcPr>
            <w:tcW w:w="9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    </w:t>
            </w:r>
          </w:p>
        </w:tc>
        <w:tc>
          <w:tcPr>
            <w:tcW w:w="455"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Losses</w:t>
            </w:r>
          </w:p>
        </w:tc>
        <w:tc>
          <w:tcPr>
            <w:tcW w:w="9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    </w:t>
            </w:r>
          </w:p>
        </w:tc>
        <w:tc>
          <w:tcPr>
            <w:tcW w:w="455"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Fair Value</w:t>
            </w:r>
          </w:p>
        </w:tc>
      </w:tr>
      <w:tr w:rsidR="00000000">
        <w:trPr>
          <w:divId w:val="462308454"/>
        </w:trPr>
        <w:tc>
          <w:tcPr>
            <w:tcW w:w="2225"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U.S. treasury securities</w:t>
            </w:r>
          </w:p>
        </w:tc>
        <w:tc>
          <w:tcPr>
            <w:tcW w:w="9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39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241,709</w:t>
            </w:r>
          </w:p>
        </w:tc>
        <w:tc>
          <w:tcPr>
            <w:tcW w:w="9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39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364</w:t>
            </w:r>
          </w:p>
        </w:tc>
        <w:tc>
          <w:tcPr>
            <w:tcW w:w="9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39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179</w:t>
            </w:r>
          </w:p>
        </w:tc>
        <w:tc>
          <w:tcPr>
            <w:tcW w:w="9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39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(3)</w:t>
            </w:r>
          </w:p>
        </w:tc>
        <w:tc>
          <w:tcPr>
            <w:tcW w:w="9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39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242,249</w:t>
            </w:r>
          </w:p>
        </w:tc>
      </w:tr>
      <w:tr w:rsidR="00000000">
        <w:trPr>
          <w:divId w:val="462308454"/>
        </w:trPr>
        <w:tc>
          <w:tcPr>
            <w:tcW w:w="2225"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U.S. government agency securities</w:t>
            </w:r>
          </w:p>
        </w:tc>
        <w:tc>
          <w:tcPr>
            <w:tcW w:w="9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392"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50,712</w:t>
            </w:r>
          </w:p>
        </w:tc>
        <w:tc>
          <w:tcPr>
            <w:tcW w:w="9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392"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107</w:t>
            </w:r>
          </w:p>
        </w:tc>
        <w:tc>
          <w:tcPr>
            <w:tcW w:w="9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392"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44</w:t>
            </w:r>
          </w:p>
        </w:tc>
        <w:tc>
          <w:tcPr>
            <w:tcW w:w="9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392"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w:t>
            </w:r>
          </w:p>
        </w:tc>
        <w:tc>
          <w:tcPr>
            <w:tcW w:w="9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392"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50,863</w:t>
            </w:r>
          </w:p>
        </w:tc>
      </w:tr>
      <w:tr w:rsidR="00000000">
        <w:trPr>
          <w:divId w:val="462308454"/>
        </w:trPr>
        <w:tc>
          <w:tcPr>
            <w:tcW w:w="2225"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ind w:left="120"/>
              <w:rPr>
                <w:sz w:val="20"/>
                <w:szCs w:val="20"/>
              </w:rPr>
            </w:pPr>
            <w:r>
              <w:rPr>
                <w:sz w:val="20"/>
                <w:szCs w:val="20"/>
              </w:rPr>
              <w:t>Total</w:t>
            </w:r>
          </w:p>
        </w:tc>
        <w:tc>
          <w:tcPr>
            <w:tcW w:w="9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3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292,421</w:t>
            </w:r>
          </w:p>
        </w:tc>
        <w:tc>
          <w:tcPr>
            <w:tcW w:w="9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3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471</w:t>
            </w:r>
          </w:p>
        </w:tc>
        <w:tc>
          <w:tcPr>
            <w:tcW w:w="9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3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223</w:t>
            </w:r>
          </w:p>
        </w:tc>
        <w:tc>
          <w:tcPr>
            <w:tcW w:w="9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3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(3)</w:t>
            </w:r>
          </w:p>
        </w:tc>
        <w:tc>
          <w:tcPr>
            <w:tcW w:w="9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3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60"/>
              <w:jc w:val="right"/>
              <w:rPr>
                <w:sz w:val="20"/>
                <w:szCs w:val="20"/>
              </w:rPr>
            </w:pPr>
            <w:r>
              <w:rPr>
                <w:sz w:val="20"/>
                <w:szCs w:val="20"/>
              </w:rPr>
              <w:t>293,112</w:t>
            </w:r>
          </w:p>
        </w:tc>
      </w:tr>
    </w:tbl>
    <w:p w:rsidR="00000000" w:rsidRDefault="00FF2C06">
      <w:pPr>
        <w:pStyle w:val="a3"/>
        <w:spacing w:before="0" w:beforeAutospacing="0" w:after="0" w:afterAutospacing="0"/>
        <w:divId w:val="462308454"/>
        <w:rPr>
          <w:sz w:val="20"/>
          <w:szCs w:val="20"/>
        </w:rPr>
      </w:pPr>
      <w:r>
        <w:rPr>
          <w:sz w:val="20"/>
          <w:szCs w:val="20"/>
        </w:rPr>
        <w:t>​</w:t>
      </w:r>
    </w:p>
    <w:p w:rsidR="00000000" w:rsidRDefault="00FF2C06">
      <w:pPr>
        <w:pStyle w:val="a3"/>
        <w:spacing w:before="0" w:beforeAutospacing="0" w:after="0" w:afterAutospacing="0"/>
        <w:ind w:firstLine="547"/>
        <w:divId w:val="462308454"/>
        <w:rPr>
          <w:sz w:val="20"/>
          <w:szCs w:val="20"/>
        </w:rPr>
      </w:pPr>
      <w:r>
        <w:rPr>
          <w:sz w:val="20"/>
          <w:szCs w:val="20"/>
        </w:rPr>
        <w:t>Upon adoption of Topic 326 on January 1, 2020, the Company is required to assess and estimate CECL on AFS debt securities only when the fair value is below the amortized cost of the asset and is no longer based on an impairment being “other-than-temporary”</w:t>
      </w:r>
      <w:r>
        <w:rPr>
          <w:sz w:val="20"/>
          <w:szCs w:val="20"/>
        </w:rPr>
        <w:t>. The credit-related losses are required to be recognized through the statements of operations and non-credit related losses are reported in other comprehensive income. For the three and nine months ended September 30, 2020, no CECL was recognized in the c</w:t>
      </w:r>
      <w:r>
        <w:rPr>
          <w:sz w:val="20"/>
          <w:szCs w:val="20"/>
        </w:rPr>
        <w:t xml:space="preserve">ondensed consolidated statement of operations and all unrealized gains and losses are included in accumulated other comprehensive income. All short-term investments held by the Company as of September 30, 2020 and December 31, 2019 have a maturity of less </w:t>
      </w:r>
      <w:r>
        <w:rPr>
          <w:sz w:val="20"/>
          <w:szCs w:val="20"/>
        </w:rPr>
        <w:t>than one year.</w:t>
      </w:r>
    </w:p>
    <w:p w:rsidR="00000000" w:rsidRDefault="00FF2C06">
      <w:pPr>
        <w:pStyle w:val="a3"/>
        <w:spacing w:before="0" w:beforeAutospacing="0" w:after="0" w:afterAutospacing="0"/>
        <w:ind w:firstLine="547"/>
        <w:divId w:val="462308454"/>
        <w:rPr>
          <w:sz w:val="20"/>
          <w:szCs w:val="20"/>
        </w:rPr>
      </w:pPr>
      <w:r>
        <w:rPr>
          <w:sz w:val="20"/>
          <w:szCs w:val="20"/>
        </w:rPr>
        <w:t>​</w:t>
      </w:r>
    </w:p>
    <w:p w:rsidR="00000000" w:rsidRDefault="00FF2C06">
      <w:pPr>
        <w:pStyle w:val="a3"/>
        <w:spacing w:before="0" w:beforeAutospacing="0" w:after="200" w:afterAutospacing="0"/>
        <w:divId w:val="462308454"/>
        <w:rPr>
          <w:b/>
          <w:bCs/>
          <w:sz w:val="20"/>
          <w:szCs w:val="20"/>
        </w:rPr>
      </w:pPr>
      <w:r>
        <w:rPr>
          <w:b/>
          <w:bCs/>
          <w:sz w:val="20"/>
          <w:szCs w:val="20"/>
          <w:u w:val="single"/>
        </w:rPr>
        <w:t>NOTE 4. BALANCE SHEET COMPONENTS</w:t>
      </w:r>
    </w:p>
    <w:p w:rsidR="00000000" w:rsidRDefault="00FF2C06">
      <w:pPr>
        <w:pStyle w:val="a3"/>
        <w:spacing w:before="0" w:beforeAutospacing="0" w:after="0" w:afterAutospacing="0"/>
        <w:ind w:firstLine="547"/>
        <w:divId w:val="462308454"/>
        <w:rPr>
          <w:sz w:val="20"/>
          <w:szCs w:val="20"/>
        </w:rPr>
      </w:pPr>
      <w:r>
        <w:rPr>
          <w:sz w:val="20"/>
          <w:szCs w:val="20"/>
        </w:rPr>
        <w:t>Accrued liabilities consist of the following (in thousands):</w:t>
      </w:r>
    </w:p>
    <w:p w:rsidR="00000000" w:rsidRDefault="00FF2C06">
      <w:pPr>
        <w:pStyle w:val="a3"/>
        <w:spacing w:before="0" w:beforeAutospacing="0" w:after="0" w:afterAutospacing="0"/>
        <w:ind w:firstLine="547"/>
        <w:divId w:val="462308454"/>
        <w:rPr>
          <w:sz w:val="20"/>
          <w:szCs w:val="20"/>
        </w:rPr>
      </w:pPr>
      <w:r>
        <w:rPr>
          <w:sz w:val="20"/>
          <w:szCs w:val="20"/>
        </w:rPr>
        <w:t>​</w:t>
      </w:r>
    </w:p>
    <w:tbl>
      <w:tblPr>
        <w:tblW w:w="4000" w:type="pct"/>
        <w:tblCellMar>
          <w:top w:w="15" w:type="dxa"/>
          <w:left w:w="0" w:type="dxa"/>
          <w:bottom w:w="15" w:type="dxa"/>
          <w:right w:w="0" w:type="dxa"/>
        </w:tblCellMar>
        <w:tblLook w:val="04A0" w:firstRow="1" w:lastRow="0" w:firstColumn="1" w:lastColumn="0" w:noHBand="0" w:noVBand="1"/>
      </w:tblPr>
      <w:tblGrid>
        <w:gridCol w:w="4488"/>
        <w:gridCol w:w="6"/>
        <w:gridCol w:w="139"/>
        <w:gridCol w:w="879"/>
        <w:gridCol w:w="160"/>
        <w:gridCol w:w="132"/>
        <w:gridCol w:w="841"/>
      </w:tblGrid>
      <w:tr w:rsidR="00000000">
        <w:trPr>
          <w:divId w:val="462308454"/>
          <w:trHeight w:val="20"/>
        </w:trPr>
        <w:tc>
          <w:tcPr>
            <w:tcW w:w="3670" w:type="pct"/>
            <w:tcMar>
              <w:top w:w="0" w:type="dxa"/>
              <w:left w:w="0" w:type="dxa"/>
              <w:bottom w:w="0" w:type="dxa"/>
              <w:right w:w="0" w:type="dxa"/>
            </w:tcMar>
            <w:vAlign w:val="bottom"/>
            <w:hideMark/>
          </w:tcPr>
          <w:p w:rsidR="00000000" w:rsidRDefault="00FF2C06">
            <w:pPr>
              <w:pStyle w:val="a3"/>
              <w:spacing w:before="0" w:beforeAutospacing="0" w:after="1" w:afterAutospacing="0"/>
              <w:divId w:val="906110842"/>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586185252"/>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75970117"/>
              <w:rPr>
                <w:sz w:val="20"/>
                <w:szCs w:val="20"/>
              </w:rPr>
            </w:pPr>
            <w:r>
              <w:rPr>
                <w:sz w:val="2"/>
                <w:szCs w:val="2"/>
              </w:rPr>
              <w:t>​</w:t>
            </w:r>
          </w:p>
        </w:tc>
        <w:tc>
          <w:tcPr>
            <w:tcW w:w="509"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099906930"/>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332536730"/>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566501603"/>
              <w:rPr>
                <w:sz w:val="20"/>
                <w:szCs w:val="20"/>
              </w:rPr>
            </w:pPr>
            <w:r>
              <w:rPr>
                <w:sz w:val="2"/>
                <w:szCs w:val="2"/>
              </w:rPr>
              <w:t>​</w:t>
            </w:r>
          </w:p>
        </w:tc>
        <w:tc>
          <w:tcPr>
            <w:tcW w:w="487"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33454613"/>
              <w:rPr>
                <w:sz w:val="20"/>
                <w:szCs w:val="20"/>
              </w:rPr>
            </w:pPr>
            <w:r>
              <w:rPr>
                <w:sz w:val="2"/>
                <w:szCs w:val="2"/>
              </w:rPr>
              <w:t>​</w:t>
            </w:r>
          </w:p>
        </w:tc>
      </w:tr>
      <w:tr w:rsidR="00000000">
        <w:trPr>
          <w:divId w:val="462308454"/>
        </w:trPr>
        <w:tc>
          <w:tcPr>
            <w:tcW w:w="3670" w:type="pct"/>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w:t>
            </w:r>
          </w:p>
        </w:tc>
        <w:tc>
          <w:tcPr>
            <w:tcW w:w="82"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16"/>
                <w:szCs w:val="16"/>
              </w:rPr>
              <w:t>​</w:t>
            </w:r>
          </w:p>
        </w:tc>
        <w:tc>
          <w:tcPr>
            <w:tcW w:w="590" w:type="pct"/>
            <w:gridSpan w:val="2"/>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September 30, </w:t>
            </w:r>
          </w:p>
        </w:tc>
        <w:tc>
          <w:tcPr>
            <w:tcW w:w="9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16"/>
                <w:szCs w:val="16"/>
              </w:rPr>
              <w:t>​</w:t>
            </w:r>
          </w:p>
        </w:tc>
        <w:tc>
          <w:tcPr>
            <w:tcW w:w="564" w:type="pct"/>
            <w:gridSpan w:val="2"/>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December 31, </w:t>
            </w:r>
          </w:p>
        </w:tc>
      </w:tr>
      <w:tr w:rsidR="00000000">
        <w:trPr>
          <w:divId w:val="462308454"/>
        </w:trPr>
        <w:tc>
          <w:tcPr>
            <w:tcW w:w="3670" w:type="pct"/>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w:t>
            </w:r>
          </w:p>
        </w:tc>
        <w:tc>
          <w:tcPr>
            <w:tcW w:w="82"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16"/>
                <w:szCs w:val="16"/>
              </w:rPr>
              <w:t>​</w:t>
            </w:r>
          </w:p>
        </w:tc>
        <w:tc>
          <w:tcPr>
            <w:tcW w:w="590"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2020</w:t>
            </w:r>
          </w:p>
        </w:tc>
        <w:tc>
          <w:tcPr>
            <w:tcW w:w="9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b/>
                <w:bCs/>
                <w:sz w:val="16"/>
                <w:szCs w:val="16"/>
              </w:rPr>
              <w:t>    </w:t>
            </w:r>
          </w:p>
        </w:tc>
        <w:tc>
          <w:tcPr>
            <w:tcW w:w="564"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2019</w:t>
            </w:r>
          </w:p>
        </w:tc>
      </w:tr>
      <w:tr w:rsidR="00000000">
        <w:trPr>
          <w:divId w:val="462308454"/>
        </w:trPr>
        <w:tc>
          <w:tcPr>
            <w:tcW w:w="3670"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Clinical related</w:t>
            </w:r>
          </w:p>
        </w:tc>
        <w:tc>
          <w:tcPr>
            <w:tcW w:w="8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sz w:val="20"/>
                <w:szCs w:val="20"/>
              </w:rPr>
              <w:t>$</w:t>
            </w:r>
          </w:p>
        </w:tc>
        <w:tc>
          <w:tcPr>
            <w:tcW w:w="50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10,674</w:t>
            </w:r>
          </w:p>
        </w:tc>
        <w:tc>
          <w:tcPr>
            <w:tcW w:w="9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4,692</w:t>
            </w:r>
          </w:p>
        </w:tc>
      </w:tr>
      <w:tr w:rsidR="00000000">
        <w:trPr>
          <w:divId w:val="462308454"/>
        </w:trPr>
        <w:tc>
          <w:tcPr>
            <w:tcW w:w="3670"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Accrued payroll and employee related expenses</w:t>
            </w:r>
          </w:p>
        </w:tc>
        <w:tc>
          <w:tcPr>
            <w:tcW w:w="82"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09"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7,866</w:t>
            </w:r>
          </w:p>
        </w:tc>
        <w:tc>
          <w:tcPr>
            <w:tcW w:w="9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6,866</w:t>
            </w:r>
          </w:p>
        </w:tc>
      </w:tr>
      <w:tr w:rsidR="00000000">
        <w:trPr>
          <w:divId w:val="462308454"/>
        </w:trPr>
        <w:tc>
          <w:tcPr>
            <w:tcW w:w="3670"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Commercial manufacturing facility related</w:t>
            </w:r>
          </w:p>
        </w:tc>
        <w:tc>
          <w:tcPr>
            <w:tcW w:w="8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0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7,693</w:t>
            </w:r>
          </w:p>
        </w:tc>
        <w:tc>
          <w:tcPr>
            <w:tcW w:w="9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17</w:t>
            </w:r>
          </w:p>
        </w:tc>
      </w:tr>
      <w:tr w:rsidR="00000000">
        <w:trPr>
          <w:divId w:val="462308454"/>
        </w:trPr>
        <w:tc>
          <w:tcPr>
            <w:tcW w:w="3670"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Manufacturing related</w:t>
            </w:r>
          </w:p>
        </w:tc>
        <w:tc>
          <w:tcPr>
            <w:tcW w:w="82"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09"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2,319</w:t>
            </w:r>
          </w:p>
        </w:tc>
        <w:tc>
          <w:tcPr>
            <w:tcW w:w="9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2,184</w:t>
            </w:r>
          </w:p>
        </w:tc>
      </w:tr>
      <w:tr w:rsidR="00000000">
        <w:trPr>
          <w:divId w:val="462308454"/>
        </w:trPr>
        <w:tc>
          <w:tcPr>
            <w:tcW w:w="3670"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Legal and related services</w:t>
            </w:r>
          </w:p>
        </w:tc>
        <w:tc>
          <w:tcPr>
            <w:tcW w:w="8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0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1,534</w:t>
            </w:r>
          </w:p>
        </w:tc>
        <w:tc>
          <w:tcPr>
            <w:tcW w:w="9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866</w:t>
            </w:r>
          </w:p>
        </w:tc>
      </w:tr>
      <w:tr w:rsidR="00000000">
        <w:trPr>
          <w:divId w:val="462308454"/>
        </w:trPr>
        <w:tc>
          <w:tcPr>
            <w:tcW w:w="3670"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Accrued other</w:t>
            </w:r>
          </w:p>
        </w:tc>
        <w:tc>
          <w:tcPr>
            <w:tcW w:w="82"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509"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2,314</w:t>
            </w:r>
          </w:p>
        </w:tc>
        <w:tc>
          <w:tcPr>
            <w:tcW w:w="9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487"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1,640</w:t>
            </w:r>
          </w:p>
        </w:tc>
      </w:tr>
      <w:tr w:rsidR="00000000">
        <w:trPr>
          <w:divId w:val="462308454"/>
        </w:trPr>
        <w:tc>
          <w:tcPr>
            <w:tcW w:w="3670"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0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32,400</w:t>
            </w:r>
          </w:p>
        </w:tc>
        <w:tc>
          <w:tcPr>
            <w:tcW w:w="9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16,265</w:t>
            </w:r>
          </w:p>
        </w:tc>
      </w:tr>
    </w:tbl>
    <w:p w:rsidR="00000000" w:rsidRDefault="00FF2C06">
      <w:pPr>
        <w:pStyle w:val="a3"/>
        <w:spacing w:before="0" w:beforeAutospacing="0" w:after="0" w:afterAutospacing="0"/>
        <w:ind w:firstLine="547"/>
        <w:divId w:val="462308454"/>
        <w:rPr>
          <w:sz w:val="20"/>
          <w:szCs w:val="20"/>
        </w:rPr>
      </w:pPr>
      <w:r>
        <w:rPr>
          <w:sz w:val="2"/>
          <w:szCs w:val="2"/>
        </w:rPr>
        <w:t>​</w:t>
      </w:r>
    </w:p>
    <w:p w:rsidR="00000000" w:rsidRDefault="00FF2C06">
      <w:pPr>
        <w:pStyle w:val="a3"/>
        <w:spacing w:before="0" w:beforeAutospacing="0" w:after="0" w:afterAutospacing="0"/>
        <w:divId w:val="462308454"/>
        <w:rPr>
          <w:sz w:val="20"/>
          <w:szCs w:val="20"/>
        </w:rPr>
      </w:pPr>
      <w:r>
        <w:rPr>
          <w:sz w:val="20"/>
          <w:szCs w:val="20"/>
        </w:rPr>
        <w:t>​</w:t>
      </w:r>
    </w:p>
    <w:p w:rsidR="00000000" w:rsidRDefault="00FF2C06">
      <w:pPr>
        <w:pStyle w:val="a3"/>
        <w:spacing w:before="0" w:beforeAutospacing="0" w:after="200" w:afterAutospacing="0"/>
        <w:divId w:val="462308454"/>
        <w:rPr>
          <w:b/>
          <w:bCs/>
          <w:sz w:val="20"/>
          <w:szCs w:val="20"/>
        </w:rPr>
      </w:pPr>
      <w:r>
        <w:rPr>
          <w:b/>
          <w:bCs/>
          <w:sz w:val="20"/>
          <w:szCs w:val="20"/>
          <w:u w:val="single"/>
        </w:rPr>
        <w:t>NOTE 5. STOCKHOLDERS’ EQUITY</w:t>
      </w:r>
    </w:p>
    <w:p w:rsidR="00000000" w:rsidRDefault="00FF2C06">
      <w:pPr>
        <w:pStyle w:val="a3"/>
        <w:spacing w:before="0" w:beforeAutospacing="0" w:after="200" w:afterAutospacing="0"/>
        <w:divId w:val="462308454"/>
        <w:rPr>
          <w:sz w:val="20"/>
          <w:szCs w:val="20"/>
        </w:rPr>
      </w:pPr>
      <w:r>
        <w:rPr>
          <w:sz w:val="20"/>
          <w:szCs w:val="20"/>
          <w:u w:val="single"/>
        </w:rPr>
        <w:t>Authorized Shares of Common Stock</w:t>
      </w:r>
    </w:p>
    <w:p w:rsidR="00000000" w:rsidRDefault="00FF2C06">
      <w:pPr>
        <w:pStyle w:val="a3"/>
        <w:spacing w:before="0" w:beforeAutospacing="0" w:after="200" w:afterAutospacing="0"/>
        <w:ind w:firstLine="547"/>
        <w:divId w:val="462308454"/>
        <w:rPr>
          <w:sz w:val="20"/>
          <w:szCs w:val="20"/>
        </w:rPr>
      </w:pPr>
      <w:r>
        <w:rPr>
          <w:sz w:val="20"/>
          <w:szCs w:val="20"/>
        </w:rPr>
        <w:t>On June 10, 2019, the certificate of incorporation of the Company was amended to increase the number of authorized shares of the Company's common stock, par value $0.000041666, from 150,000,000 shares to 300,000,000 shares (the "Certificate of Amendment").</w:t>
      </w:r>
      <w:r>
        <w:rPr>
          <w:sz w:val="20"/>
          <w:szCs w:val="20"/>
        </w:rPr>
        <w:t xml:space="preserve"> The Certificate of Amendment was approved by the Company's stockholders at the Company's 2019 Annual Meeting of Stockholders held on June 10, 2019.</w:t>
      </w:r>
    </w:p>
    <w:p w:rsidR="00000000" w:rsidRDefault="00FF2C06">
      <w:pPr>
        <w:pStyle w:val="a3"/>
        <w:spacing w:before="0" w:beforeAutospacing="0" w:after="200" w:afterAutospacing="0"/>
        <w:divId w:val="462308454"/>
        <w:rPr>
          <w:sz w:val="20"/>
          <w:szCs w:val="20"/>
        </w:rPr>
      </w:pPr>
      <w:r>
        <w:rPr>
          <w:sz w:val="20"/>
          <w:szCs w:val="20"/>
          <w:u w:val="single"/>
        </w:rPr>
        <w:t xml:space="preserve">Public Offerings </w:t>
      </w:r>
    </w:p>
    <w:p w:rsidR="00000000" w:rsidRDefault="00FF2C06">
      <w:pPr>
        <w:pStyle w:val="a3"/>
        <w:spacing w:before="0" w:beforeAutospacing="0" w:after="200" w:afterAutospacing="0"/>
        <w:ind w:firstLine="547"/>
        <w:divId w:val="462308454"/>
        <w:rPr>
          <w:sz w:val="20"/>
          <w:szCs w:val="20"/>
        </w:rPr>
      </w:pPr>
      <w:r>
        <w:rPr>
          <w:sz w:val="20"/>
          <w:szCs w:val="20"/>
        </w:rPr>
        <w:t xml:space="preserve">In June 2020, the Company closed an underwritten public offering of 16,935,484 shares of </w:t>
      </w:r>
      <w:r>
        <w:rPr>
          <w:sz w:val="20"/>
          <w:szCs w:val="20"/>
        </w:rPr>
        <w:t>the Company’s common stock at a public offering price of $31.00 per share, before underwriting discounts, which included 2,540,322 shares issued upon the exercise in full by the underwriter of its option to purchase additional shares at the public offering</w:t>
      </w:r>
      <w:r>
        <w:rPr>
          <w:sz w:val="20"/>
          <w:szCs w:val="20"/>
        </w:rPr>
        <w:t xml:space="preserve"> price less the underwriting discount (the "June 2020 Public Offering"). The gross proceeds from the offering, before deducting the underwriting discounts and commissions and other offering expenses payable by the Company, were $603.7 million, with net pro</w:t>
      </w:r>
      <w:r>
        <w:rPr>
          <w:sz w:val="20"/>
          <w:szCs w:val="20"/>
        </w:rPr>
        <w:t>ceeds to the Company of $567.0 million.</w:t>
      </w:r>
    </w:p>
    <w:p w:rsidR="00000000" w:rsidRDefault="00FF2C06">
      <w:pPr>
        <w:pStyle w:val="a3"/>
        <w:spacing w:before="480" w:beforeAutospacing="0" w:after="0" w:afterAutospacing="0"/>
        <w:jc w:val="center"/>
        <w:divId w:val="472061959"/>
        <w:rPr>
          <w:sz w:val="20"/>
          <w:szCs w:val="20"/>
        </w:rPr>
      </w:pPr>
      <w:r>
        <w:rPr>
          <w:sz w:val="20"/>
          <w:szCs w:val="20"/>
        </w:rPr>
        <w:t>15</w:t>
      </w:r>
    </w:p>
    <w:p w:rsidR="00000000" w:rsidRDefault="00FF2C06">
      <w:pPr>
        <w:pStyle w:val="a3"/>
        <w:spacing w:before="0" w:beforeAutospacing="0" w:after="600" w:afterAutospacing="0"/>
        <w:divId w:val="944965982"/>
        <w:rPr>
          <w:sz w:val="20"/>
          <w:szCs w:val="20"/>
        </w:rPr>
      </w:pPr>
      <w:hyperlink w:anchor="TOC" w:history="1">
        <w:r>
          <w:rPr>
            <w:rStyle w:val="a4"/>
            <w:sz w:val="20"/>
            <w:szCs w:val="20"/>
          </w:rPr>
          <w:t>Table of Contents</w:t>
        </w:r>
      </w:hyperlink>
    </w:p>
    <w:p w:rsidR="00000000" w:rsidRDefault="00FF2C06">
      <w:pPr>
        <w:pStyle w:val="a3"/>
        <w:spacing w:before="0" w:beforeAutospacing="0" w:after="200" w:afterAutospacing="0"/>
        <w:ind w:firstLine="547"/>
        <w:divId w:val="1607612592"/>
        <w:rPr>
          <w:sz w:val="20"/>
          <w:szCs w:val="20"/>
        </w:rPr>
      </w:pPr>
      <w:r>
        <w:rPr>
          <w:sz w:val="20"/>
          <w:szCs w:val="20"/>
        </w:rPr>
        <w:t>In October 2018, the Company completed an underwritten public offering of 25,300,000 shares of the Company’</w:t>
      </w:r>
      <w:r>
        <w:rPr>
          <w:sz w:val="20"/>
          <w:szCs w:val="20"/>
        </w:rPr>
        <w:t>s common stock at a public offering price of $9.97 per share, before underwriting discounts, which included 3,300,000 shares issued upon the exercise in full by the underwriter of its option to purchase additional shares at the public offering price less t</w:t>
      </w:r>
      <w:r>
        <w:rPr>
          <w:sz w:val="20"/>
          <w:szCs w:val="20"/>
        </w:rPr>
        <w:t>he underwriting discount. The gross proceeds from the offering, before deducting the underwriting discounts and commissions and other estimated offering expenses payable by the Company, were $252.2 million, with net proceeds to the Company of $236.7 millio</w:t>
      </w:r>
      <w:r>
        <w:rPr>
          <w:sz w:val="20"/>
          <w:szCs w:val="20"/>
        </w:rPr>
        <w:t>n.</w:t>
      </w:r>
    </w:p>
    <w:p w:rsidR="00000000" w:rsidRDefault="00FF2C06">
      <w:pPr>
        <w:pStyle w:val="a3"/>
        <w:spacing w:before="0" w:beforeAutospacing="0" w:after="200" w:afterAutospacing="0"/>
        <w:ind w:firstLine="547"/>
        <w:divId w:val="1607612592"/>
        <w:rPr>
          <w:sz w:val="20"/>
          <w:szCs w:val="20"/>
        </w:rPr>
      </w:pPr>
      <w:r>
        <w:rPr>
          <w:sz w:val="20"/>
          <w:szCs w:val="20"/>
        </w:rPr>
        <w:t>In January 2018, the Company closed an underwritten public offering of 15,000,000 shares of the Company's common stock at a public offering price of $11.50 per share, before underwriting discounts, which included 1,956,521 shares issued upon the exercis</w:t>
      </w:r>
      <w:r>
        <w:rPr>
          <w:sz w:val="20"/>
          <w:szCs w:val="20"/>
        </w:rPr>
        <w:t>e in full by the underwriter of its option to purchase additional shares at the public offering price less the underwriting discount. The gross proceeds from the offering, before deducting the underwriting discounts and commissions and other offering expen</w:t>
      </w:r>
      <w:r>
        <w:rPr>
          <w:sz w:val="20"/>
          <w:szCs w:val="20"/>
        </w:rPr>
        <w:t>ses payable by the Company, were $172.5 million, with net proceeds to the Company of $162.0 million.</w:t>
      </w:r>
    </w:p>
    <w:p w:rsidR="00000000" w:rsidRDefault="00FF2C06">
      <w:pPr>
        <w:pStyle w:val="a3"/>
        <w:spacing w:before="0" w:beforeAutospacing="0" w:after="200" w:afterAutospacing="0"/>
        <w:divId w:val="1607612592"/>
        <w:rPr>
          <w:sz w:val="20"/>
          <w:szCs w:val="20"/>
        </w:rPr>
      </w:pPr>
      <w:r>
        <w:rPr>
          <w:sz w:val="20"/>
          <w:szCs w:val="20"/>
          <w:u w:val="single"/>
        </w:rPr>
        <w:t>Preferred Stock</w:t>
      </w:r>
    </w:p>
    <w:p w:rsidR="00000000" w:rsidRDefault="00FF2C06">
      <w:pPr>
        <w:pStyle w:val="a3"/>
        <w:spacing w:before="0" w:beforeAutospacing="0" w:after="200" w:afterAutospacing="0"/>
        <w:ind w:firstLine="547"/>
        <w:divId w:val="1607612592"/>
        <w:rPr>
          <w:sz w:val="20"/>
          <w:szCs w:val="20"/>
        </w:rPr>
      </w:pPr>
      <w:r>
        <w:rPr>
          <w:sz w:val="20"/>
          <w:szCs w:val="20"/>
        </w:rPr>
        <w:t>The Company’s certificate of incorporation authorizes the issuance of up to 50,000,000 shares of “blank check” preferred stock. At Septembe</w:t>
      </w:r>
      <w:r>
        <w:rPr>
          <w:sz w:val="20"/>
          <w:szCs w:val="20"/>
        </w:rPr>
        <w:t>r 30, 2020, 17,000 shares were designated as Series A Convertible Preferred Stock (“Series A Convertible Preferred Stock”) and 11,500,000 shares were designated as Series B Convertible Preferred Stock (“Series B Convertible Preferred Stock”).</w:t>
      </w:r>
    </w:p>
    <w:p w:rsidR="00000000" w:rsidRDefault="00FF2C06">
      <w:pPr>
        <w:pStyle w:val="a3"/>
        <w:spacing w:before="0" w:beforeAutospacing="0" w:after="200" w:afterAutospacing="0"/>
        <w:divId w:val="1607612592"/>
        <w:rPr>
          <w:sz w:val="20"/>
          <w:szCs w:val="20"/>
        </w:rPr>
      </w:pPr>
      <w:r>
        <w:rPr>
          <w:sz w:val="20"/>
          <w:szCs w:val="20"/>
          <w:u w:val="single"/>
        </w:rPr>
        <w:t>Series A Conv</w:t>
      </w:r>
      <w:r>
        <w:rPr>
          <w:sz w:val="20"/>
          <w:szCs w:val="20"/>
          <w:u w:val="single"/>
        </w:rPr>
        <w:t>ertible Preferred Stock</w:t>
      </w:r>
    </w:p>
    <w:p w:rsidR="00000000" w:rsidRDefault="00FF2C06">
      <w:pPr>
        <w:pStyle w:val="a3"/>
        <w:spacing w:before="0" w:beforeAutospacing="0" w:after="200" w:afterAutospacing="0"/>
        <w:ind w:firstLine="547"/>
        <w:divId w:val="1607612592"/>
        <w:rPr>
          <w:sz w:val="20"/>
          <w:szCs w:val="20"/>
        </w:rPr>
      </w:pPr>
      <w:r>
        <w:rPr>
          <w:sz w:val="20"/>
          <w:szCs w:val="20"/>
        </w:rPr>
        <w:t>A total of 17,000 shares of Series A Convertible Preferred Stock have been authorized for issuance under the Company’s Certificate of Designation of Preferences and Rights of Series A Convertible Preferred Stock. The shares of Serie</w:t>
      </w:r>
      <w:r>
        <w:rPr>
          <w:sz w:val="20"/>
          <w:szCs w:val="20"/>
        </w:rPr>
        <w:t>s A Convertible Preferred Stock have a stated value of $1,000 per share and are initially convertible into shares of common stock at a price of $2.00 per share, subject to adjustment. Each share of Series A Preferred Stock is initially convertible into 500</w:t>
      </w:r>
      <w:r>
        <w:rPr>
          <w:sz w:val="20"/>
          <w:szCs w:val="20"/>
        </w:rPr>
        <w:t xml:space="preserve"> shares of common stock.</w:t>
      </w:r>
    </w:p>
    <w:p w:rsidR="00000000" w:rsidRDefault="00FF2C06">
      <w:pPr>
        <w:pStyle w:val="a3"/>
        <w:spacing w:before="0" w:beforeAutospacing="0" w:after="200" w:afterAutospacing="0"/>
        <w:ind w:firstLine="547"/>
        <w:divId w:val="1607612592"/>
        <w:rPr>
          <w:sz w:val="20"/>
          <w:szCs w:val="20"/>
        </w:rPr>
      </w:pPr>
      <w:r>
        <w:rPr>
          <w:sz w:val="20"/>
          <w:szCs w:val="20"/>
        </w:rPr>
        <w:t>The Series A Convertible Preferred Stock may, at the option of each investor, be converted into fully paid and non-assessable shares of common stock. The holders of shares of Series A Convertible Preferred Stock do not have the rig</w:t>
      </w:r>
      <w:r>
        <w:rPr>
          <w:sz w:val="20"/>
          <w:szCs w:val="20"/>
        </w:rPr>
        <w:t>ht to vote on matters that come before the Company’s stockholders. In the event of any dissolution or winding up of the Company, proceeds shall be paid pari passu among the holders of common stock and preferred stock, pro rata based on the number of shares</w:t>
      </w:r>
      <w:r>
        <w:rPr>
          <w:sz w:val="20"/>
          <w:szCs w:val="20"/>
        </w:rPr>
        <w:t xml:space="preserve"> held by each holder. The Company may not declare, pay or set aside any dividends on shares of capital stock of the Company (other than dividends on shares of common stock payable in shares of common stock) unless the holders of the Series A Convertible Pr</w:t>
      </w:r>
      <w:r>
        <w:rPr>
          <w:sz w:val="20"/>
          <w:szCs w:val="20"/>
        </w:rPr>
        <w:t xml:space="preserve">eferred Stock shall first receive an equal dividend on each outstanding share of Series A Convertible Preferred Stock. </w:t>
      </w:r>
    </w:p>
    <w:p w:rsidR="00000000" w:rsidRDefault="00FF2C06">
      <w:pPr>
        <w:pStyle w:val="a3"/>
        <w:spacing w:before="0" w:beforeAutospacing="0" w:after="200" w:afterAutospacing="0"/>
        <w:ind w:firstLine="547"/>
        <w:divId w:val="1607612592"/>
        <w:rPr>
          <w:sz w:val="20"/>
          <w:szCs w:val="20"/>
        </w:rPr>
      </w:pPr>
      <w:r>
        <w:rPr>
          <w:sz w:val="20"/>
          <w:szCs w:val="20"/>
        </w:rPr>
        <w:t>No Shares of Series A Convertible Preferred Stock were converted during the nine months ended September 30, 2020 or 2019. At September 3</w:t>
      </w:r>
      <w:r>
        <w:rPr>
          <w:sz w:val="20"/>
          <w:szCs w:val="20"/>
        </w:rPr>
        <w:t>0, 2020 and December 31, 2019, 194 shares of Series A Convertible Preferred Stock (that are convertible into 97,000 shares of common stock) remained outstanding.</w:t>
      </w:r>
    </w:p>
    <w:p w:rsidR="00000000" w:rsidRDefault="00FF2C06">
      <w:pPr>
        <w:pStyle w:val="a3"/>
        <w:spacing w:before="0" w:beforeAutospacing="0" w:after="200" w:afterAutospacing="0"/>
        <w:divId w:val="1607612592"/>
        <w:rPr>
          <w:sz w:val="20"/>
          <w:szCs w:val="20"/>
        </w:rPr>
      </w:pPr>
      <w:r>
        <w:rPr>
          <w:sz w:val="20"/>
          <w:szCs w:val="20"/>
          <w:u w:val="single"/>
        </w:rPr>
        <w:t>Series B Convertible Preferred Stoc</w:t>
      </w:r>
      <w:r>
        <w:rPr>
          <w:sz w:val="20"/>
          <w:szCs w:val="20"/>
          <w:u w:val="single"/>
        </w:rPr>
        <w:t>k</w:t>
      </w:r>
    </w:p>
    <w:p w:rsidR="00000000" w:rsidRDefault="00FF2C06">
      <w:pPr>
        <w:pStyle w:val="a3"/>
        <w:spacing w:before="0" w:beforeAutospacing="0" w:after="200" w:afterAutospacing="0"/>
        <w:ind w:firstLine="547"/>
        <w:divId w:val="1607612592"/>
        <w:rPr>
          <w:sz w:val="20"/>
          <w:szCs w:val="20"/>
        </w:rPr>
      </w:pPr>
      <w:r>
        <w:rPr>
          <w:sz w:val="20"/>
          <w:szCs w:val="20"/>
        </w:rPr>
        <w:t>A total of 11,500,000 shares of Series B Convertible Pref</w:t>
      </w:r>
      <w:r>
        <w:rPr>
          <w:sz w:val="20"/>
          <w:szCs w:val="20"/>
        </w:rPr>
        <w:t>erred Stock are authorized for issuance under the Company’s Series B Certificate of Designation of Rights, Preferences and Privileges of Series B Convertible Preferred Stock. The shares of Series B Convertible Preferred Stock have a stated value of $4.75 p</w:t>
      </w:r>
      <w:r>
        <w:rPr>
          <w:sz w:val="20"/>
          <w:szCs w:val="20"/>
        </w:rPr>
        <w:t>er share and are convertible into shares of the Company’s common stock at an initial conversion price of $4.75 per share. Each share of Series B Preferred Stock is initially convertible into 1 share of common stock.</w:t>
      </w:r>
    </w:p>
    <w:p w:rsidR="00000000" w:rsidRDefault="00FF2C06">
      <w:pPr>
        <w:pStyle w:val="a3"/>
        <w:spacing w:before="0" w:beforeAutospacing="0" w:after="200" w:afterAutospacing="0"/>
        <w:ind w:firstLine="547"/>
        <w:divId w:val="1607612592"/>
        <w:rPr>
          <w:sz w:val="20"/>
          <w:szCs w:val="20"/>
        </w:rPr>
      </w:pPr>
      <w:r>
        <w:rPr>
          <w:sz w:val="20"/>
          <w:szCs w:val="20"/>
        </w:rPr>
        <w:t>The Series B Convertible Preferred Stock</w:t>
      </w:r>
      <w:r>
        <w:rPr>
          <w:sz w:val="20"/>
          <w:szCs w:val="20"/>
        </w:rPr>
        <w:t xml:space="preserve"> may, at the option of each investor, be converted into fully paid and non-assessable shares of common stock. The holders of shares of Series B Convertible Preferred Stock do not have the right to vote on matters that come before the Company's stockholders</w:t>
      </w:r>
      <w:r>
        <w:rPr>
          <w:sz w:val="20"/>
          <w:szCs w:val="20"/>
        </w:rPr>
        <w:t>. In the event of any dissolution or winding up of the Company, proceeds shall be paid pari passu among the holders of common stock and preferred stock, pro rata based on the number of shares held by each holder. Holders of Series B Convertible Preferred S</w:t>
      </w:r>
      <w:r>
        <w:rPr>
          <w:sz w:val="20"/>
          <w:szCs w:val="20"/>
        </w:rPr>
        <w:t>tock are entitled to dividends on an as-if-converted basis in the same form as any dividends actually paid on shares of the Series A Convertible Preferred Stock or the Company’s common stock. So long as any Series B Convertible Preferred Stock remains outs</w:t>
      </w:r>
      <w:r>
        <w:rPr>
          <w:sz w:val="20"/>
          <w:szCs w:val="20"/>
        </w:rPr>
        <w:t>tanding, the Company may not redeem, purchase or otherwise acquire any material amount of the Series A Convertible Preferred Stock or any securities junior to the Series B Convertible Preferred Stock.</w:t>
      </w:r>
    </w:p>
    <w:p w:rsidR="00000000" w:rsidRDefault="00FF2C06">
      <w:pPr>
        <w:pStyle w:val="a3"/>
        <w:spacing w:before="0" w:beforeAutospacing="0" w:after="200" w:afterAutospacing="0"/>
        <w:ind w:firstLine="547"/>
        <w:divId w:val="1607612592"/>
        <w:rPr>
          <w:sz w:val="20"/>
          <w:szCs w:val="20"/>
        </w:rPr>
      </w:pPr>
      <w:r>
        <w:rPr>
          <w:sz w:val="20"/>
          <w:szCs w:val="20"/>
        </w:rPr>
        <w:t xml:space="preserve">No shares of Series B Convertible Preferred Stock were </w:t>
      </w:r>
      <w:r>
        <w:rPr>
          <w:sz w:val="20"/>
          <w:szCs w:val="20"/>
        </w:rPr>
        <w:t xml:space="preserve">converted during the nine months ended September 30, 2020 and 2019. At September 30, 2020 and December 31, 2019, 3,581,119 shares of Series B Preferred Stock (that are convertible into 3,581,119 shares of common stock) remained outstanding. </w:t>
      </w:r>
    </w:p>
    <w:p w:rsidR="00000000" w:rsidRDefault="00FF2C06">
      <w:pPr>
        <w:pStyle w:val="a3"/>
        <w:spacing w:before="480" w:beforeAutospacing="0" w:after="0" w:afterAutospacing="0"/>
        <w:jc w:val="center"/>
        <w:divId w:val="1501434077"/>
        <w:rPr>
          <w:sz w:val="20"/>
          <w:szCs w:val="20"/>
        </w:rPr>
      </w:pPr>
      <w:r>
        <w:rPr>
          <w:sz w:val="20"/>
          <w:szCs w:val="20"/>
        </w:rPr>
        <w:t>16</w:t>
      </w:r>
    </w:p>
    <w:p w:rsidR="00000000" w:rsidRDefault="00FF2C06">
      <w:pPr>
        <w:pStyle w:val="a3"/>
        <w:spacing w:before="0" w:beforeAutospacing="0" w:after="600" w:afterAutospacing="0"/>
        <w:divId w:val="1110320524"/>
        <w:rPr>
          <w:sz w:val="20"/>
          <w:szCs w:val="20"/>
        </w:rPr>
      </w:pPr>
      <w:hyperlink w:anchor="TOC" w:history="1">
        <w:r>
          <w:rPr>
            <w:rStyle w:val="a4"/>
            <w:sz w:val="20"/>
            <w:szCs w:val="20"/>
          </w:rPr>
          <w:t>Table of Contents</w:t>
        </w:r>
      </w:hyperlink>
    </w:p>
    <w:p w:rsidR="00000000" w:rsidRDefault="00FF2C06">
      <w:pPr>
        <w:pStyle w:val="a3"/>
        <w:spacing w:before="0" w:beforeAutospacing="0" w:after="200" w:afterAutospacing="0"/>
        <w:divId w:val="1881359976"/>
        <w:rPr>
          <w:sz w:val="20"/>
          <w:szCs w:val="20"/>
        </w:rPr>
      </w:pPr>
      <w:r>
        <w:rPr>
          <w:sz w:val="20"/>
          <w:szCs w:val="20"/>
          <w:u w:val="single"/>
        </w:rPr>
        <w:t>Cancellation of Common Stock</w:t>
      </w:r>
    </w:p>
    <w:p w:rsidR="00000000" w:rsidRDefault="00FF2C06">
      <w:pPr>
        <w:pStyle w:val="a3"/>
        <w:spacing w:before="0" w:beforeAutospacing="0" w:after="0" w:afterAutospacing="0"/>
        <w:ind w:firstLine="547"/>
        <w:divId w:val="1881359976"/>
        <w:rPr>
          <w:sz w:val="20"/>
          <w:szCs w:val="20"/>
        </w:rPr>
      </w:pPr>
      <w:r>
        <w:rPr>
          <w:sz w:val="20"/>
          <w:szCs w:val="20"/>
        </w:rPr>
        <w:t>On September 30, 2013, the Company and a third party entered into an agreement under which the Company issued 50,000 shares of unregistered stock in the Company to the third party. On January 16</w:t>
      </w:r>
      <w:r>
        <w:rPr>
          <w:sz w:val="20"/>
          <w:szCs w:val="20"/>
        </w:rPr>
        <w:t>, 2019, the two parties entered into a confidential settlement agreement in connection with a dispute related to their prior relationship and activities. As part of the settlement, the third party returned 32,500 shares of common stock to the Company for c</w:t>
      </w:r>
      <w:r>
        <w:rPr>
          <w:sz w:val="20"/>
          <w:szCs w:val="20"/>
        </w:rPr>
        <w:t>ancellation and retained the remaining 17,500 shares. The Company included a gain of $335,000 on cancellation of 32,500 shares in Other income in its condensed consolidated statement of operations for the nine months ended September 30, 2019.</w:t>
      </w:r>
    </w:p>
    <w:p w:rsidR="00000000" w:rsidRDefault="00FF2C06">
      <w:pPr>
        <w:pStyle w:val="a3"/>
        <w:spacing w:before="0" w:beforeAutospacing="0" w:after="0" w:afterAutospacing="0"/>
        <w:ind w:firstLine="547"/>
        <w:divId w:val="1881359976"/>
        <w:rPr>
          <w:sz w:val="20"/>
          <w:szCs w:val="20"/>
        </w:rPr>
      </w:pPr>
      <w:r>
        <w:rPr>
          <w:sz w:val="20"/>
          <w:szCs w:val="20"/>
        </w:rPr>
        <w:t>​</w:t>
      </w:r>
    </w:p>
    <w:p w:rsidR="00000000" w:rsidRDefault="00FF2C06">
      <w:pPr>
        <w:pStyle w:val="a3"/>
        <w:spacing w:before="0" w:beforeAutospacing="0" w:after="200" w:afterAutospacing="0"/>
        <w:ind w:firstLine="547"/>
        <w:divId w:val="1881359976"/>
        <w:rPr>
          <w:sz w:val="20"/>
          <w:szCs w:val="20"/>
        </w:rPr>
      </w:pPr>
      <w:r>
        <w:rPr>
          <w:sz w:val="20"/>
          <w:szCs w:val="20"/>
        </w:rPr>
        <w:t>​</w:t>
      </w:r>
    </w:p>
    <w:p w:rsidR="00000000" w:rsidRDefault="00FF2C06">
      <w:pPr>
        <w:pStyle w:val="a3"/>
        <w:spacing w:before="0" w:beforeAutospacing="0" w:after="200" w:afterAutospacing="0"/>
        <w:divId w:val="1881359976"/>
        <w:rPr>
          <w:b/>
          <w:bCs/>
          <w:sz w:val="20"/>
          <w:szCs w:val="20"/>
        </w:rPr>
      </w:pPr>
      <w:r>
        <w:rPr>
          <w:b/>
          <w:bCs/>
          <w:sz w:val="20"/>
          <w:szCs w:val="20"/>
          <w:u w:val="single"/>
        </w:rPr>
        <w:t>NOTE </w:t>
      </w:r>
      <w:r>
        <w:rPr>
          <w:b/>
          <w:bCs/>
          <w:sz w:val="20"/>
          <w:szCs w:val="20"/>
          <w:u w:val="single"/>
        </w:rPr>
        <w:t>6. STOCK BASED COMPENSATION</w:t>
      </w:r>
    </w:p>
    <w:p w:rsidR="00000000" w:rsidRDefault="00FF2C06">
      <w:pPr>
        <w:pStyle w:val="a3"/>
        <w:spacing w:before="0" w:beforeAutospacing="0" w:after="200" w:afterAutospacing="0"/>
        <w:divId w:val="1881359976"/>
        <w:rPr>
          <w:b/>
          <w:bCs/>
          <w:i/>
          <w:iCs/>
          <w:sz w:val="20"/>
          <w:szCs w:val="20"/>
        </w:rPr>
      </w:pPr>
      <w:r>
        <w:rPr>
          <w:b/>
          <w:bCs/>
          <w:i/>
          <w:iCs/>
          <w:sz w:val="20"/>
          <w:szCs w:val="20"/>
        </w:rPr>
        <w:t>Stock Plans</w:t>
      </w:r>
    </w:p>
    <w:p w:rsidR="00000000" w:rsidRDefault="00FF2C06">
      <w:pPr>
        <w:pStyle w:val="a3"/>
        <w:spacing w:before="0" w:beforeAutospacing="0" w:after="200" w:afterAutospacing="0"/>
        <w:ind w:firstLine="547"/>
        <w:divId w:val="1881359976"/>
        <w:rPr>
          <w:sz w:val="20"/>
          <w:szCs w:val="20"/>
        </w:rPr>
      </w:pPr>
      <w:r>
        <w:rPr>
          <w:sz w:val="20"/>
          <w:szCs w:val="20"/>
        </w:rPr>
        <w:t xml:space="preserve">On October 14, 2011, the Company’s Board of Directors (the “Board”) adopted the 2011 Equity Incentive Plan (the “2011 Plan”). Employees, directors, consultants and advisors of the Company are eligible to participate </w:t>
      </w:r>
      <w:r>
        <w:rPr>
          <w:sz w:val="20"/>
          <w:szCs w:val="20"/>
        </w:rPr>
        <w:t>in the 2011 Plan. The 2011 Plan initially had 180,000 shares of common stock reserved for issuance in the form of incentive stock options, non-qualified options, common stock, and grant appreciation rights. The 2011 Plan was not approved by the Company’s s</w:t>
      </w:r>
      <w:r>
        <w:rPr>
          <w:sz w:val="20"/>
          <w:szCs w:val="20"/>
        </w:rPr>
        <w:t>tockholders within the required one-year period following its adoption and, accordingly, no incentive stock options can be granted under the 2011 Plan. In August 2013, the Board and a majority of the Company’s stockholders approved an amendment to increase</w:t>
      </w:r>
      <w:r>
        <w:rPr>
          <w:sz w:val="20"/>
          <w:szCs w:val="20"/>
        </w:rPr>
        <w:t xml:space="preserve"> the number of shares available under the 2011 Plan from 180,000 shares to 1,700,000 shares, and an amendment to increase the number options or other awards that can be granted to any one person during a twelve (12) month period from 50,000 shares to 300,0</w:t>
      </w:r>
      <w:r>
        <w:rPr>
          <w:sz w:val="20"/>
          <w:szCs w:val="20"/>
        </w:rPr>
        <w:t xml:space="preserve">00 shares. The foregoing amendment to the 2011 Plan became effective in September 2013. On August 20, 2014, the Board amended the 2011 Plan to increase the number of shares available for issuance upon the exercise of stock options under the 2011 Plan from </w:t>
      </w:r>
      <w:r>
        <w:rPr>
          <w:sz w:val="20"/>
          <w:szCs w:val="20"/>
        </w:rPr>
        <w:t>1,700,000 to 1,900,000 shares, effective immediately. At September 30, 2020, 11,240 shares were available for future grant under the 2011 Plan.</w:t>
      </w:r>
    </w:p>
    <w:p w:rsidR="00000000" w:rsidRDefault="00FF2C06">
      <w:pPr>
        <w:pStyle w:val="a3"/>
        <w:spacing w:before="0" w:beforeAutospacing="0" w:after="200" w:afterAutospacing="0"/>
        <w:ind w:firstLine="547"/>
        <w:divId w:val="1881359976"/>
        <w:rPr>
          <w:sz w:val="20"/>
          <w:szCs w:val="20"/>
        </w:rPr>
      </w:pPr>
      <w:r>
        <w:rPr>
          <w:sz w:val="20"/>
          <w:szCs w:val="20"/>
        </w:rPr>
        <w:t>On September 19, 2014, the Board adopted the Iovance Biotherapeutics, Inc. 2014 Equity Incentive Plan (the “2014</w:t>
      </w:r>
      <w:r>
        <w:rPr>
          <w:sz w:val="20"/>
          <w:szCs w:val="20"/>
        </w:rPr>
        <w:t xml:space="preserve"> Plan”). The 2014 Plan was approved by the Company’s stockholders at the Company’s 2014 Annual Meeting of Stockholders held in November 2014. The 2014 Plan, as approved by the stockholders, authorized the issuance up to an aggregate of 2,350,000 shares of </w:t>
      </w:r>
      <w:r>
        <w:rPr>
          <w:sz w:val="20"/>
          <w:szCs w:val="20"/>
        </w:rPr>
        <w:t>the Company’s common stock. On April 10, 2015, the Board amended the 2014 Plan to increase the total number of shares that can be issued under the 2014 Plan to 4,000,000 shares of the Company’s common stock. The increase in shares available for issuance un</w:t>
      </w:r>
      <w:r>
        <w:rPr>
          <w:sz w:val="20"/>
          <w:szCs w:val="20"/>
        </w:rPr>
        <w:t>der the 2014 Plan was approved by the Company’s stockholders at the Company’s 2015 Annual Meeting of Stockholders in June 2015.</w:t>
      </w:r>
    </w:p>
    <w:p w:rsidR="00000000" w:rsidRDefault="00FF2C06">
      <w:pPr>
        <w:pStyle w:val="a3"/>
        <w:spacing w:before="0" w:beforeAutospacing="0" w:after="200" w:afterAutospacing="0"/>
        <w:ind w:firstLine="547"/>
        <w:divId w:val="1881359976"/>
        <w:rPr>
          <w:sz w:val="20"/>
          <w:szCs w:val="20"/>
        </w:rPr>
      </w:pPr>
      <w:r>
        <w:rPr>
          <w:sz w:val="20"/>
          <w:szCs w:val="20"/>
        </w:rPr>
        <w:t>On August 16, 2016, the Company’s stockholders approved an increase in the total number of shares that can be issued under the 2</w:t>
      </w:r>
      <w:r>
        <w:rPr>
          <w:sz w:val="20"/>
          <w:szCs w:val="20"/>
        </w:rPr>
        <w:t>014 Plan to 9,000,000 shares of the Company’s common stock. At September 30, 2020, 15,746 shares were available for grant under the Company’s 2014 Plan.</w:t>
      </w:r>
    </w:p>
    <w:p w:rsidR="00000000" w:rsidRDefault="00FF2C06">
      <w:pPr>
        <w:pStyle w:val="a3"/>
        <w:spacing w:before="0" w:beforeAutospacing="0" w:after="200" w:afterAutospacing="0"/>
        <w:ind w:firstLine="547"/>
        <w:divId w:val="1881359976"/>
        <w:rPr>
          <w:sz w:val="20"/>
          <w:szCs w:val="20"/>
        </w:rPr>
      </w:pPr>
      <w:r>
        <w:rPr>
          <w:sz w:val="20"/>
          <w:szCs w:val="20"/>
        </w:rPr>
        <w:t xml:space="preserve">On April 22, 2018, the Board adopted the Iovance Biotherapeutics, Inc. 2018 Equity Incentive Plan (the </w:t>
      </w:r>
      <w:r>
        <w:rPr>
          <w:sz w:val="20"/>
          <w:szCs w:val="20"/>
        </w:rPr>
        <w:t>“2018 Plan”). The 2018 Plan was approved by the Company’s stockholders at the annual meeting of stockholders held in June 2018. The 2018 Plan as approved by the stockholders authorized the issuance up to an aggregate of 6,000,000 shares of common stock res</w:t>
      </w:r>
      <w:r>
        <w:rPr>
          <w:sz w:val="20"/>
          <w:szCs w:val="20"/>
        </w:rPr>
        <w:t xml:space="preserve">erved for issuance in the form of incentive (qualified) stock options, non-qualified options, common stock, stock appreciation rights, restricted stock awards, restricted stock units, other stock-based awards, other cash-based awards or any combination of </w:t>
      </w:r>
      <w:r>
        <w:rPr>
          <w:sz w:val="20"/>
          <w:szCs w:val="20"/>
        </w:rPr>
        <w:t>the foregoing. On June 8, 2020, the Company's stockholders approved an amendment to the 2018 Plan to increase the number of shares available for issuance upon the exercise of stock options under the 2018 Plan from 6,000,000 to 14,000,000 shares, which beca</w:t>
      </w:r>
      <w:r>
        <w:rPr>
          <w:sz w:val="20"/>
          <w:szCs w:val="20"/>
        </w:rPr>
        <w:t>me effective immediately. At September 30, 2020, 7,641,416 shares of common stock were available for grant under the Company’s 2018 Plan.</w:t>
      </w:r>
    </w:p>
    <w:p w:rsidR="00000000" w:rsidRDefault="00FF2C06">
      <w:pPr>
        <w:pStyle w:val="a3"/>
        <w:spacing w:before="0" w:beforeAutospacing="0" w:after="200" w:afterAutospacing="0"/>
        <w:divId w:val="1881359976"/>
        <w:rPr>
          <w:b/>
          <w:bCs/>
          <w:i/>
          <w:iCs/>
          <w:sz w:val="20"/>
          <w:szCs w:val="20"/>
        </w:rPr>
      </w:pPr>
      <w:r>
        <w:rPr>
          <w:b/>
          <w:bCs/>
          <w:i/>
          <w:iCs/>
          <w:sz w:val="20"/>
          <w:szCs w:val="20"/>
        </w:rPr>
        <w:t>Restricted Stock Units</w:t>
      </w:r>
    </w:p>
    <w:p w:rsidR="00000000" w:rsidRDefault="00FF2C06">
      <w:pPr>
        <w:pStyle w:val="a3"/>
        <w:spacing w:before="0" w:beforeAutospacing="0" w:after="200" w:afterAutospacing="0"/>
        <w:ind w:firstLine="547"/>
        <w:divId w:val="1881359976"/>
        <w:rPr>
          <w:sz w:val="20"/>
          <w:szCs w:val="20"/>
        </w:rPr>
      </w:pPr>
      <w:r>
        <w:rPr>
          <w:sz w:val="20"/>
          <w:szCs w:val="20"/>
        </w:rPr>
        <w:t>On June 1, 2016, the Company entered into an RSU agreement with the Company’s new Chief Executi</w:t>
      </w:r>
      <w:r>
        <w:rPr>
          <w:sz w:val="20"/>
          <w:szCs w:val="20"/>
        </w:rPr>
        <w:t>ve Officer, Maria Fardis, Ph.D., M.B.A., pursuant to which the Company granted Dr. Fardis 550,000 non-transferrable RSUs at a fair market value price of $5.87 per share as an inducement to her employment pursuant to the exception to The Nasdaq Global Marke</w:t>
      </w:r>
      <w:r>
        <w:rPr>
          <w:sz w:val="20"/>
          <w:szCs w:val="20"/>
        </w:rPr>
        <w:t>t rules that generally require stockholder approval of equity incentive plans. The 550,000 RSUs vested in installments as follows: (i) 137,500 restricted stock units vested upon the first anniversary of the effective date of Dr. Fardis’ employment agreemen</w:t>
      </w:r>
      <w:r>
        <w:rPr>
          <w:sz w:val="20"/>
          <w:szCs w:val="20"/>
        </w:rPr>
        <w:t>t; (ii) 275,000 restricted stock units vested upon the satisfaction of certain clinical trial milestones; and (iii) 137,500 restricted stock units vested in equal monthly installments over the</w:t>
      </w:r>
      <w:r>
        <w:rPr>
          <w:sz w:val="20"/>
          <w:szCs w:val="20"/>
        </w:rPr>
        <w:t xml:space="preserve"> </w:t>
      </w:r>
      <w:r>
        <w:rPr>
          <w:sz w:val="20"/>
          <w:szCs w:val="20"/>
        </w:rPr>
        <w:t>3</w:t>
      </w:r>
      <w:r>
        <w:rPr>
          <w:sz w:val="20"/>
          <w:szCs w:val="20"/>
        </w:rPr>
        <w:t>6</w:t>
      </w:r>
      <w:r>
        <w:rPr>
          <w:sz w:val="20"/>
          <w:szCs w:val="20"/>
        </w:rPr>
        <w:t>-month period following the first anniversary of the effectiv</w:t>
      </w:r>
      <w:r>
        <w:rPr>
          <w:sz w:val="20"/>
          <w:szCs w:val="20"/>
        </w:rPr>
        <w:t>e date of Dr. Fardis’ employment, such that the RSUs were fully vested as of June 1, 2020. At September 30, 2020, the Company had no RSUs outstanding</w:t>
      </w:r>
      <w:r>
        <w:rPr>
          <w:sz w:val="20"/>
          <w:szCs w:val="20"/>
        </w:rPr>
        <w:t>.</w:t>
      </w:r>
    </w:p>
    <w:p w:rsidR="00000000" w:rsidRDefault="00FF2C06">
      <w:pPr>
        <w:pStyle w:val="a3"/>
        <w:spacing w:before="480" w:beforeAutospacing="0" w:after="0" w:afterAutospacing="0"/>
        <w:jc w:val="center"/>
        <w:divId w:val="637800071"/>
        <w:rPr>
          <w:sz w:val="20"/>
          <w:szCs w:val="20"/>
        </w:rPr>
      </w:pPr>
      <w:r>
        <w:rPr>
          <w:sz w:val="20"/>
          <w:szCs w:val="20"/>
        </w:rPr>
        <w:t>17</w:t>
      </w:r>
    </w:p>
    <w:p w:rsidR="00000000" w:rsidRDefault="00FF2C06">
      <w:pPr>
        <w:pStyle w:val="a3"/>
        <w:spacing w:before="0" w:beforeAutospacing="0" w:after="600" w:afterAutospacing="0"/>
        <w:divId w:val="1239289599"/>
        <w:rPr>
          <w:sz w:val="20"/>
          <w:szCs w:val="20"/>
        </w:rPr>
      </w:pPr>
      <w:hyperlink w:anchor="TOC" w:history="1">
        <w:r>
          <w:rPr>
            <w:rStyle w:val="a4"/>
            <w:sz w:val="20"/>
            <w:szCs w:val="20"/>
          </w:rPr>
          <w:t>Table of Contents</w:t>
        </w:r>
      </w:hyperlink>
    </w:p>
    <w:p w:rsidR="00000000" w:rsidRDefault="00FF2C06">
      <w:pPr>
        <w:pStyle w:val="a3"/>
        <w:spacing w:before="0" w:beforeAutospacing="0" w:after="200" w:afterAutospacing="0"/>
        <w:ind w:firstLine="547"/>
        <w:divId w:val="972095562"/>
        <w:rPr>
          <w:sz w:val="20"/>
          <w:szCs w:val="20"/>
        </w:rPr>
      </w:pPr>
      <w:r>
        <w:rPr>
          <w:sz w:val="20"/>
          <w:szCs w:val="20"/>
        </w:rPr>
        <w:t>Stock-based compensation expense for RSUs are measured bas</w:t>
      </w:r>
      <w:r>
        <w:rPr>
          <w:sz w:val="20"/>
          <w:szCs w:val="20"/>
        </w:rPr>
        <w:t>ed on the closing fair market value of the Company’s common stock on the date of grant. The stock-based compensation expenses relating to RSUs were zero and $0.07 million for the three months ended September 30, 2020 and 2019, respectively, and $0.1 millio</w:t>
      </w:r>
      <w:r>
        <w:rPr>
          <w:sz w:val="20"/>
          <w:szCs w:val="20"/>
        </w:rPr>
        <w:t>n and $0.2 million for the nine months ended September 30, 2020 and 2019, respectively, recorded as part of general and administrative expenses.</w:t>
      </w:r>
    </w:p>
    <w:p w:rsidR="00000000" w:rsidRDefault="00FF2C06">
      <w:pPr>
        <w:pStyle w:val="a3"/>
        <w:spacing w:before="0" w:beforeAutospacing="0" w:after="200" w:afterAutospacing="0"/>
        <w:divId w:val="972095562"/>
        <w:rPr>
          <w:b/>
          <w:bCs/>
          <w:i/>
          <w:iCs/>
          <w:sz w:val="20"/>
          <w:szCs w:val="20"/>
        </w:rPr>
      </w:pPr>
      <w:r>
        <w:rPr>
          <w:b/>
          <w:bCs/>
          <w:i/>
          <w:iCs/>
          <w:sz w:val="20"/>
          <w:szCs w:val="20"/>
        </w:rPr>
        <w:t>Employee Stock Purchase Plan</w:t>
      </w:r>
    </w:p>
    <w:p w:rsidR="00000000" w:rsidRDefault="00FF2C06">
      <w:pPr>
        <w:pStyle w:val="a3"/>
        <w:spacing w:before="0" w:beforeAutospacing="0" w:after="200" w:afterAutospacing="0"/>
        <w:ind w:firstLine="547"/>
        <w:divId w:val="972095562"/>
        <w:rPr>
          <w:sz w:val="20"/>
          <w:szCs w:val="20"/>
        </w:rPr>
      </w:pPr>
      <w:r>
        <w:rPr>
          <w:sz w:val="20"/>
          <w:szCs w:val="20"/>
        </w:rPr>
        <w:t>In June 2020, the Company adopted the 2020 Employee Stock Purchase Plan (the "2020</w:t>
      </w:r>
      <w:r>
        <w:rPr>
          <w:sz w:val="20"/>
          <w:szCs w:val="20"/>
        </w:rPr>
        <w:t xml:space="preserve"> ESPP") upon its approval by the Company's shareholders at its Annual Stockholders Meeting on June 8, 2020. The Company reserved 500,000 shares of its common stock for issuance under the 2020 ESPP. As of September 30, 2020, no shares were issued under the </w:t>
      </w:r>
      <w:r>
        <w:rPr>
          <w:sz w:val="20"/>
          <w:szCs w:val="20"/>
        </w:rPr>
        <w:t>2020 ESPP and there was no unrecognized compensation cost related to the 2020 ESPP.</w:t>
      </w:r>
    </w:p>
    <w:p w:rsidR="00000000" w:rsidRDefault="00FF2C06">
      <w:pPr>
        <w:pStyle w:val="a3"/>
        <w:spacing w:before="0" w:beforeAutospacing="0" w:after="200" w:afterAutospacing="0"/>
        <w:divId w:val="972095562"/>
        <w:rPr>
          <w:b/>
          <w:bCs/>
          <w:i/>
          <w:iCs/>
          <w:sz w:val="20"/>
          <w:szCs w:val="20"/>
        </w:rPr>
      </w:pPr>
      <w:r>
        <w:rPr>
          <w:b/>
          <w:bCs/>
          <w:i/>
          <w:iCs/>
          <w:sz w:val="20"/>
          <w:szCs w:val="20"/>
        </w:rPr>
        <w:t>Stock Options</w:t>
      </w:r>
    </w:p>
    <w:p w:rsidR="00000000" w:rsidRDefault="00FF2C06">
      <w:pPr>
        <w:pStyle w:val="a3"/>
        <w:spacing w:before="0" w:beforeAutospacing="0" w:after="0" w:afterAutospacing="0"/>
        <w:ind w:firstLine="547"/>
        <w:divId w:val="972095562"/>
        <w:rPr>
          <w:sz w:val="20"/>
          <w:szCs w:val="20"/>
        </w:rPr>
      </w:pPr>
      <w:r>
        <w:rPr>
          <w:sz w:val="20"/>
          <w:szCs w:val="20"/>
        </w:rPr>
        <w:t>A summary of the status of stock options at September 30, 2020, and the changes during the nine months then ended, is presented in the following table:</w:t>
      </w:r>
    </w:p>
    <w:p w:rsidR="00000000" w:rsidRDefault="00FF2C06">
      <w:pPr>
        <w:pStyle w:val="a3"/>
        <w:spacing w:before="0" w:beforeAutospacing="0" w:after="0" w:afterAutospacing="0"/>
        <w:ind w:firstLine="547"/>
        <w:divId w:val="972095562"/>
        <w:rPr>
          <w:sz w:val="20"/>
          <w:szCs w:val="20"/>
        </w:rPr>
      </w:pPr>
      <w:r>
        <w:rPr>
          <w:sz w:val="20"/>
          <w:szCs w:val="20"/>
        </w:rPr>
        <w:t>​</w:t>
      </w:r>
    </w:p>
    <w:tbl>
      <w:tblPr>
        <w:tblW w:w="4000" w:type="pct"/>
        <w:tblCellMar>
          <w:top w:w="15" w:type="dxa"/>
          <w:left w:w="0" w:type="dxa"/>
          <w:bottom w:w="15" w:type="dxa"/>
          <w:right w:w="0" w:type="dxa"/>
        </w:tblCellMar>
        <w:tblLook w:val="04A0" w:firstRow="1" w:lastRow="0" w:firstColumn="1" w:lastColumn="0" w:noHBand="0" w:noVBand="1"/>
      </w:tblPr>
      <w:tblGrid>
        <w:gridCol w:w="2690"/>
        <w:gridCol w:w="145"/>
        <w:gridCol w:w="973"/>
        <w:gridCol w:w="145"/>
        <w:gridCol w:w="101"/>
        <w:gridCol w:w="580"/>
        <w:gridCol w:w="145"/>
        <w:gridCol w:w="747"/>
        <w:gridCol w:w="145"/>
        <w:gridCol w:w="132"/>
        <w:gridCol w:w="842"/>
      </w:tblGrid>
      <w:tr w:rsidR="00000000">
        <w:trPr>
          <w:divId w:val="972095562"/>
          <w:trHeight w:val="20"/>
        </w:trPr>
        <w:tc>
          <w:tcPr>
            <w:tcW w:w="2354" w:type="pct"/>
            <w:tcMar>
              <w:top w:w="0" w:type="dxa"/>
              <w:left w:w="0" w:type="dxa"/>
              <w:bottom w:w="0" w:type="dxa"/>
              <w:right w:w="0" w:type="dxa"/>
            </w:tcMar>
            <w:vAlign w:val="bottom"/>
            <w:hideMark/>
          </w:tcPr>
          <w:p w:rsidR="00000000" w:rsidRDefault="00FF2C06">
            <w:pPr>
              <w:pStyle w:val="a3"/>
              <w:spacing w:before="0" w:beforeAutospacing="0" w:after="1" w:afterAutospacing="0"/>
              <w:divId w:val="1479221458"/>
              <w:rPr>
                <w:sz w:val="20"/>
                <w:szCs w:val="20"/>
              </w:rPr>
            </w:pPr>
            <w:r>
              <w:rPr>
                <w:sz w:val="2"/>
                <w:szCs w:val="2"/>
              </w:rPr>
              <w:t>​</w:t>
            </w:r>
          </w:p>
        </w:tc>
        <w:tc>
          <w:tcPr>
            <w:tcW w:w="112" w:type="pct"/>
            <w:tcMar>
              <w:top w:w="0" w:type="dxa"/>
              <w:left w:w="0" w:type="dxa"/>
              <w:bottom w:w="0" w:type="dxa"/>
              <w:right w:w="0" w:type="dxa"/>
            </w:tcMar>
            <w:vAlign w:val="bottom"/>
            <w:hideMark/>
          </w:tcPr>
          <w:p w:rsidR="00000000" w:rsidRDefault="00FF2C06">
            <w:pPr>
              <w:pStyle w:val="a3"/>
              <w:spacing w:before="0" w:beforeAutospacing="0" w:after="1" w:afterAutospacing="0"/>
              <w:divId w:val="1893543281"/>
              <w:rPr>
                <w:sz w:val="20"/>
                <w:szCs w:val="20"/>
              </w:rPr>
            </w:pPr>
            <w:r>
              <w:rPr>
                <w:sz w:val="2"/>
                <w:szCs w:val="2"/>
              </w:rPr>
              <w:t>​</w:t>
            </w:r>
          </w:p>
        </w:tc>
        <w:tc>
          <w:tcPr>
            <w:tcW w:w="592"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958951659"/>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139957464"/>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676810383"/>
              <w:rPr>
                <w:sz w:val="20"/>
                <w:szCs w:val="20"/>
              </w:rPr>
            </w:pPr>
            <w:r>
              <w:rPr>
                <w:sz w:val="2"/>
                <w:szCs w:val="2"/>
              </w:rPr>
              <w:t>​</w:t>
            </w:r>
          </w:p>
        </w:tc>
        <w:tc>
          <w:tcPr>
            <w:tcW w:w="486"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493839406"/>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268924477"/>
              <w:rPr>
                <w:sz w:val="20"/>
                <w:szCs w:val="20"/>
              </w:rPr>
            </w:pPr>
            <w:r>
              <w:rPr>
                <w:sz w:val="2"/>
                <w:szCs w:val="2"/>
              </w:rPr>
              <w:t>​</w:t>
            </w:r>
          </w:p>
        </w:tc>
        <w:tc>
          <w:tcPr>
            <w:tcW w:w="486"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565183271"/>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329678021"/>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586693288"/>
              <w:rPr>
                <w:sz w:val="20"/>
                <w:szCs w:val="20"/>
              </w:rPr>
            </w:pPr>
            <w:r>
              <w:rPr>
                <w:sz w:val="2"/>
                <w:szCs w:val="2"/>
              </w:rPr>
              <w:t>​</w:t>
            </w:r>
          </w:p>
        </w:tc>
        <w:tc>
          <w:tcPr>
            <w:tcW w:w="487"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094015017"/>
              <w:rPr>
                <w:sz w:val="20"/>
                <w:szCs w:val="20"/>
              </w:rPr>
            </w:pPr>
            <w:r>
              <w:rPr>
                <w:sz w:val="2"/>
                <w:szCs w:val="2"/>
              </w:rPr>
              <w:t>​</w:t>
            </w:r>
          </w:p>
        </w:tc>
      </w:tr>
      <w:tr w:rsidR="00000000">
        <w:trPr>
          <w:divId w:val="972095562"/>
        </w:trPr>
        <w:tc>
          <w:tcPr>
            <w:tcW w:w="2354"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112"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592"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486"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486"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Weighted</w:t>
            </w:r>
          </w:p>
        </w:tc>
        <w:tc>
          <w:tcPr>
            <w:tcW w:w="112"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487"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sz w:val="16"/>
                <w:szCs w:val="16"/>
              </w:rPr>
              <w:t> </w:t>
            </w:r>
          </w:p>
        </w:tc>
      </w:tr>
      <w:tr w:rsidR="00000000">
        <w:trPr>
          <w:divId w:val="972095562"/>
        </w:trPr>
        <w:tc>
          <w:tcPr>
            <w:tcW w:w="2354"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112"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592"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rFonts w:ascii="Calibri" w:hAnsi="Calibri" w:cs="Calibri"/>
                <w:sz w:val="16"/>
                <w:szCs w:val="16"/>
              </w:rPr>
              <w:t>​</w:t>
            </w:r>
          </w:p>
        </w:tc>
        <w:tc>
          <w:tcPr>
            <w:tcW w:w="552" w:type="pct"/>
            <w:gridSpan w:val="2"/>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Weighted</w:t>
            </w:r>
          </w:p>
        </w:tc>
        <w:tc>
          <w:tcPr>
            <w:tcW w:w="112"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16"/>
                <w:szCs w:val="16"/>
              </w:rPr>
              <w:t>​</w:t>
            </w:r>
          </w:p>
        </w:tc>
        <w:tc>
          <w:tcPr>
            <w:tcW w:w="486"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Average</w:t>
            </w:r>
          </w:p>
        </w:tc>
        <w:tc>
          <w:tcPr>
            <w:tcW w:w="112"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rFonts w:ascii="Calibri" w:hAnsi="Calibri" w:cs="Calibri"/>
                <w:sz w:val="16"/>
                <w:szCs w:val="16"/>
              </w:rPr>
              <w:t>​</w:t>
            </w:r>
          </w:p>
        </w:tc>
        <w:tc>
          <w:tcPr>
            <w:tcW w:w="563" w:type="pct"/>
            <w:gridSpan w:val="2"/>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Aggregate</w:t>
            </w:r>
          </w:p>
        </w:tc>
      </w:tr>
      <w:tr w:rsidR="00000000">
        <w:trPr>
          <w:divId w:val="972095562"/>
        </w:trPr>
        <w:tc>
          <w:tcPr>
            <w:tcW w:w="2354"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112"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592"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Number</w:t>
            </w:r>
          </w:p>
        </w:tc>
        <w:tc>
          <w:tcPr>
            <w:tcW w:w="112"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rFonts w:ascii="Calibri" w:hAnsi="Calibri" w:cs="Calibri"/>
                <w:sz w:val="16"/>
                <w:szCs w:val="16"/>
              </w:rPr>
              <w:t>​</w:t>
            </w:r>
          </w:p>
        </w:tc>
        <w:tc>
          <w:tcPr>
            <w:tcW w:w="552" w:type="pct"/>
            <w:gridSpan w:val="2"/>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Average</w:t>
            </w:r>
          </w:p>
        </w:tc>
        <w:tc>
          <w:tcPr>
            <w:tcW w:w="112"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16"/>
                <w:szCs w:val="16"/>
              </w:rPr>
              <w:t>​</w:t>
            </w:r>
          </w:p>
        </w:tc>
        <w:tc>
          <w:tcPr>
            <w:tcW w:w="486"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Remaining</w:t>
            </w:r>
          </w:p>
        </w:tc>
        <w:tc>
          <w:tcPr>
            <w:tcW w:w="112"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rFonts w:ascii="Calibri" w:hAnsi="Calibri" w:cs="Calibri"/>
                <w:sz w:val="16"/>
                <w:szCs w:val="16"/>
              </w:rPr>
              <w:t>​</w:t>
            </w:r>
          </w:p>
        </w:tc>
        <w:tc>
          <w:tcPr>
            <w:tcW w:w="563" w:type="pct"/>
            <w:gridSpan w:val="2"/>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Intrinsic</w:t>
            </w:r>
          </w:p>
        </w:tc>
      </w:tr>
      <w:tr w:rsidR="00000000">
        <w:trPr>
          <w:divId w:val="972095562"/>
        </w:trPr>
        <w:tc>
          <w:tcPr>
            <w:tcW w:w="2354"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112"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592"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of</w:t>
            </w:r>
          </w:p>
        </w:tc>
        <w:tc>
          <w:tcPr>
            <w:tcW w:w="112"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rFonts w:ascii="Calibri" w:hAnsi="Calibri" w:cs="Calibri"/>
                <w:sz w:val="16"/>
                <w:szCs w:val="16"/>
              </w:rPr>
              <w:t>​</w:t>
            </w:r>
          </w:p>
        </w:tc>
        <w:tc>
          <w:tcPr>
            <w:tcW w:w="552" w:type="pct"/>
            <w:gridSpan w:val="2"/>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Exercise</w:t>
            </w:r>
          </w:p>
        </w:tc>
        <w:tc>
          <w:tcPr>
            <w:tcW w:w="112"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16"/>
                <w:szCs w:val="16"/>
              </w:rPr>
              <w:t>​</w:t>
            </w:r>
          </w:p>
        </w:tc>
        <w:tc>
          <w:tcPr>
            <w:tcW w:w="486"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Contract</w:t>
            </w:r>
          </w:p>
        </w:tc>
        <w:tc>
          <w:tcPr>
            <w:tcW w:w="112"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rFonts w:ascii="Calibri" w:hAnsi="Calibri" w:cs="Calibri"/>
                <w:sz w:val="16"/>
                <w:szCs w:val="16"/>
              </w:rPr>
              <w:t>​</w:t>
            </w:r>
          </w:p>
        </w:tc>
        <w:tc>
          <w:tcPr>
            <w:tcW w:w="563" w:type="pct"/>
            <w:gridSpan w:val="2"/>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Value</w:t>
            </w:r>
          </w:p>
        </w:tc>
      </w:tr>
      <w:tr w:rsidR="00000000">
        <w:trPr>
          <w:divId w:val="972095562"/>
        </w:trPr>
        <w:tc>
          <w:tcPr>
            <w:tcW w:w="2354"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112" w:type="pct"/>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rFonts w:ascii="Calibri" w:hAnsi="Calibri" w:cs="Calibri"/>
                <w:sz w:val="16"/>
                <w:szCs w:val="16"/>
              </w:rPr>
              <w:t>    </w:t>
            </w:r>
          </w:p>
        </w:tc>
        <w:tc>
          <w:tcPr>
            <w:tcW w:w="592"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Options</w:t>
            </w:r>
          </w:p>
        </w:tc>
        <w:tc>
          <w:tcPr>
            <w:tcW w:w="112" w:type="pct"/>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rFonts w:ascii="Calibri" w:hAnsi="Calibri" w:cs="Calibri"/>
                <w:sz w:val="16"/>
                <w:szCs w:val="16"/>
              </w:rPr>
              <w:t>    </w:t>
            </w:r>
          </w:p>
        </w:tc>
        <w:tc>
          <w:tcPr>
            <w:tcW w:w="552"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Price</w:t>
            </w:r>
          </w:p>
        </w:tc>
        <w:tc>
          <w:tcPr>
            <w:tcW w:w="112" w:type="pct"/>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rFonts w:ascii="Calibri" w:hAnsi="Calibri" w:cs="Calibri"/>
                <w:sz w:val="16"/>
                <w:szCs w:val="16"/>
              </w:rPr>
              <w:t>    </w:t>
            </w:r>
          </w:p>
        </w:tc>
        <w:tc>
          <w:tcPr>
            <w:tcW w:w="486"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Life</w:t>
            </w:r>
          </w:p>
        </w:tc>
        <w:tc>
          <w:tcPr>
            <w:tcW w:w="112" w:type="pct"/>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rFonts w:ascii="Calibri" w:hAnsi="Calibri" w:cs="Calibri"/>
                <w:sz w:val="16"/>
                <w:szCs w:val="16"/>
              </w:rPr>
              <w:t>    </w:t>
            </w:r>
          </w:p>
        </w:tc>
        <w:tc>
          <w:tcPr>
            <w:tcW w:w="563"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(in thousands)</w:t>
            </w:r>
          </w:p>
        </w:tc>
      </w:tr>
      <w:tr w:rsidR="00000000">
        <w:trPr>
          <w:divId w:val="972095562"/>
        </w:trPr>
        <w:tc>
          <w:tcPr>
            <w:tcW w:w="2354"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Outstanding at December 31, 2019</w:t>
            </w:r>
          </w:p>
        </w:tc>
        <w:tc>
          <w:tcPr>
            <w:tcW w:w="112"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92"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9,494,712</w:t>
            </w:r>
          </w:p>
        </w:tc>
        <w:tc>
          <w:tcPr>
            <w:tcW w:w="11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6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12.00</w:t>
            </w:r>
          </w:p>
        </w:tc>
        <w:tc>
          <w:tcPr>
            <w:tcW w:w="11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972095562"/>
        </w:trPr>
        <w:tc>
          <w:tcPr>
            <w:tcW w:w="2354"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Granted</w:t>
            </w:r>
          </w:p>
        </w:tc>
        <w:tc>
          <w:tcPr>
            <w:tcW w:w="112"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592"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4,531,651</w:t>
            </w:r>
          </w:p>
        </w:tc>
        <w:tc>
          <w:tcPr>
            <w:tcW w:w="112"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26.41</w:t>
            </w:r>
          </w:p>
        </w:tc>
        <w:tc>
          <w:tcPr>
            <w:tcW w:w="112"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w:t>
            </w:r>
          </w:p>
        </w:tc>
        <w:tc>
          <w:tcPr>
            <w:tcW w:w="112"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76"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w:t>
            </w:r>
          </w:p>
        </w:tc>
      </w:tr>
      <w:tr w:rsidR="00000000">
        <w:trPr>
          <w:divId w:val="972095562"/>
        </w:trPr>
        <w:tc>
          <w:tcPr>
            <w:tcW w:w="2354"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Exercised</w:t>
            </w:r>
          </w:p>
        </w:tc>
        <w:tc>
          <w:tcPr>
            <w:tcW w:w="11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59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(680,561)</w:t>
            </w:r>
          </w:p>
        </w:tc>
        <w:tc>
          <w:tcPr>
            <w:tcW w:w="11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9.85</w:t>
            </w:r>
          </w:p>
        </w:tc>
        <w:tc>
          <w:tcPr>
            <w:tcW w:w="11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7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w:t>
            </w:r>
          </w:p>
        </w:tc>
      </w:tr>
      <w:tr w:rsidR="00000000">
        <w:trPr>
          <w:divId w:val="972095562"/>
        </w:trPr>
        <w:tc>
          <w:tcPr>
            <w:tcW w:w="2354"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Expired/Forfeited</w:t>
            </w:r>
          </w:p>
        </w:tc>
        <w:tc>
          <w:tcPr>
            <w:tcW w:w="112"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592"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(576,921)</w:t>
            </w:r>
          </w:p>
        </w:tc>
        <w:tc>
          <w:tcPr>
            <w:tcW w:w="112"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486"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16.18</w:t>
            </w:r>
          </w:p>
        </w:tc>
        <w:tc>
          <w:tcPr>
            <w:tcW w:w="112"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486"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w:t>
            </w:r>
          </w:p>
        </w:tc>
        <w:tc>
          <w:tcPr>
            <w:tcW w:w="112"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76"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87"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w:t>
            </w:r>
          </w:p>
        </w:tc>
      </w:tr>
      <w:tr w:rsidR="00000000">
        <w:trPr>
          <w:divId w:val="972095562"/>
        </w:trPr>
        <w:tc>
          <w:tcPr>
            <w:tcW w:w="2354"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Outstanding at September 30, 2020</w:t>
            </w:r>
          </w:p>
        </w:tc>
        <w:tc>
          <w:tcPr>
            <w:tcW w:w="11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5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12,768,881</w:t>
            </w:r>
          </w:p>
        </w:tc>
        <w:tc>
          <w:tcPr>
            <w:tcW w:w="11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17.04</w:t>
            </w:r>
          </w:p>
        </w:tc>
        <w:tc>
          <w:tcPr>
            <w:tcW w:w="11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4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7.95</w:t>
            </w:r>
          </w:p>
        </w:tc>
        <w:tc>
          <w:tcPr>
            <w:tcW w:w="11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203,957</w:t>
            </w:r>
          </w:p>
        </w:tc>
      </w:tr>
      <w:tr w:rsidR="00000000">
        <w:trPr>
          <w:divId w:val="972095562"/>
        </w:trPr>
        <w:tc>
          <w:tcPr>
            <w:tcW w:w="2354"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112"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592"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w:t>
            </w:r>
          </w:p>
        </w:tc>
        <w:tc>
          <w:tcPr>
            <w:tcW w:w="112"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w:t>
            </w:r>
          </w:p>
        </w:tc>
        <w:tc>
          <w:tcPr>
            <w:tcW w:w="112"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w:t>
            </w:r>
          </w:p>
        </w:tc>
        <w:tc>
          <w:tcPr>
            <w:tcW w:w="112"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487"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w:t>
            </w:r>
          </w:p>
        </w:tc>
      </w:tr>
      <w:tr w:rsidR="00000000">
        <w:trPr>
          <w:divId w:val="972095562"/>
        </w:trPr>
        <w:tc>
          <w:tcPr>
            <w:tcW w:w="2354"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Options exercisable at September 30, 2020</w:t>
            </w:r>
          </w:p>
        </w:tc>
        <w:tc>
          <w:tcPr>
            <w:tcW w:w="11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5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6,123,984</w:t>
            </w:r>
          </w:p>
        </w:tc>
        <w:tc>
          <w:tcPr>
            <w:tcW w:w="11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11.08</w:t>
            </w:r>
          </w:p>
        </w:tc>
        <w:tc>
          <w:tcPr>
            <w:tcW w:w="11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4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6.69</w:t>
            </w:r>
          </w:p>
        </w:tc>
        <w:tc>
          <w:tcPr>
            <w:tcW w:w="11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134,353</w:t>
            </w:r>
          </w:p>
        </w:tc>
      </w:tr>
    </w:tbl>
    <w:p w:rsidR="00000000" w:rsidRDefault="00FF2C06">
      <w:pPr>
        <w:pStyle w:val="a3"/>
        <w:spacing w:before="0" w:beforeAutospacing="0" w:after="0" w:afterAutospacing="0"/>
        <w:divId w:val="972095562"/>
        <w:rPr>
          <w:sz w:val="20"/>
          <w:szCs w:val="20"/>
        </w:rPr>
      </w:pPr>
      <w:r>
        <w:rPr>
          <w:sz w:val="20"/>
          <w:szCs w:val="20"/>
        </w:rPr>
        <w:t>​</w:t>
      </w:r>
    </w:p>
    <w:p w:rsidR="00000000" w:rsidRDefault="00FF2C06">
      <w:pPr>
        <w:pStyle w:val="a3"/>
        <w:spacing w:before="0" w:beforeAutospacing="0" w:after="200" w:afterAutospacing="0"/>
        <w:ind w:firstLine="547"/>
        <w:divId w:val="972095562"/>
        <w:rPr>
          <w:sz w:val="20"/>
          <w:szCs w:val="20"/>
        </w:rPr>
      </w:pPr>
      <w:r>
        <w:rPr>
          <w:sz w:val="20"/>
          <w:szCs w:val="20"/>
        </w:rPr>
        <w:t>The Company recorded stock-based compensation expenses related to stock options of $10.7 million and $6.5 million for the three months ended September 30, 2020 and 2019 respectively, and $30.5 million and $18.7 million for the nine months ended September 3</w:t>
      </w:r>
      <w:r>
        <w:rPr>
          <w:sz w:val="20"/>
          <w:szCs w:val="20"/>
        </w:rPr>
        <w:t>0, 2020 and 2019, respectively. As of September 30, 2020, there was $78.4 million of total unrecognized compensation expense related to the options to be recognized over a weighted average period of</w:t>
      </w:r>
      <w:r>
        <w:rPr>
          <w:sz w:val="20"/>
          <w:szCs w:val="20"/>
        </w:rPr>
        <w:t> </w:t>
      </w:r>
      <w:r>
        <w:rPr>
          <w:sz w:val="20"/>
          <w:szCs w:val="20"/>
        </w:rPr>
        <w:t>2.0</w:t>
      </w:r>
      <w:r>
        <w:rPr>
          <w:sz w:val="20"/>
          <w:szCs w:val="20"/>
        </w:rPr>
        <w:t xml:space="preserve"> </w:t>
      </w:r>
      <w:r>
        <w:rPr>
          <w:sz w:val="20"/>
          <w:szCs w:val="20"/>
        </w:rPr>
        <w:t>years</w:t>
      </w:r>
      <w:r>
        <w:rPr>
          <w:sz w:val="20"/>
          <w:szCs w:val="20"/>
        </w:rPr>
        <w:t>.</w:t>
      </w:r>
    </w:p>
    <w:p w:rsidR="00000000" w:rsidRDefault="00FF2C06">
      <w:pPr>
        <w:pStyle w:val="a3"/>
        <w:spacing w:before="0" w:beforeAutospacing="0" w:after="200" w:afterAutospacing="0"/>
        <w:ind w:firstLine="547"/>
        <w:divId w:val="972095562"/>
        <w:rPr>
          <w:sz w:val="20"/>
          <w:szCs w:val="20"/>
        </w:rPr>
      </w:pPr>
      <w:r>
        <w:rPr>
          <w:sz w:val="20"/>
          <w:szCs w:val="20"/>
        </w:rPr>
        <w:t>The weighted average grant date fair value for</w:t>
      </w:r>
      <w:r>
        <w:rPr>
          <w:sz w:val="20"/>
          <w:szCs w:val="20"/>
        </w:rPr>
        <w:t xml:space="preserve"> employee options granted under the Company’s stock option plans during the nine months ended September 30, 2020 and 2019 was $16.37 and $8.90 per option, respectively.</w:t>
      </w:r>
    </w:p>
    <w:p w:rsidR="00000000" w:rsidRDefault="00FF2C06">
      <w:pPr>
        <w:pStyle w:val="a3"/>
        <w:spacing w:before="0" w:beforeAutospacing="0" w:after="240" w:afterAutospacing="0"/>
        <w:ind w:firstLine="547"/>
        <w:divId w:val="972095562"/>
        <w:rPr>
          <w:sz w:val="20"/>
          <w:szCs w:val="20"/>
        </w:rPr>
      </w:pPr>
      <w:r>
        <w:rPr>
          <w:sz w:val="20"/>
          <w:szCs w:val="20"/>
        </w:rPr>
        <w:t>The aggregate intrinsic value in the table above reflects the total pre-tax intrinsic v</w:t>
      </w:r>
      <w:r>
        <w:rPr>
          <w:sz w:val="20"/>
          <w:szCs w:val="20"/>
        </w:rPr>
        <w:t>alue (the difference between the Company’s closing stock price on the last trading day of the quarter ended September 30, 2020 and the exercise price of the options, multiplied by the number of in-the-money stock options) that would have been received by t</w:t>
      </w:r>
      <w:r>
        <w:rPr>
          <w:sz w:val="20"/>
          <w:szCs w:val="20"/>
        </w:rPr>
        <w:t xml:space="preserve">he option holders had all option holders exercised their options on September 30, 2020. The intrinsic value of the Company’s stock options changes based on the closing price of the Company’s common stock. </w:t>
      </w:r>
    </w:p>
    <w:p w:rsidR="00000000" w:rsidRDefault="00FF2C06">
      <w:pPr>
        <w:pStyle w:val="a3"/>
        <w:spacing w:before="0" w:beforeAutospacing="0" w:after="0" w:afterAutospacing="0"/>
        <w:ind w:firstLine="547"/>
        <w:divId w:val="972095562"/>
        <w:rPr>
          <w:sz w:val="20"/>
          <w:szCs w:val="20"/>
        </w:rPr>
      </w:pPr>
      <w:r>
        <w:rPr>
          <w:sz w:val="20"/>
          <w:szCs w:val="20"/>
        </w:rPr>
        <w:t>The following table summarizes the assumptions rel</w:t>
      </w:r>
      <w:r>
        <w:rPr>
          <w:sz w:val="20"/>
          <w:szCs w:val="20"/>
        </w:rPr>
        <w:t>ating to options granted pursuant to the Company’s equity incentive plans for the nine months ended September 30, 2020 and 2019:</w:t>
      </w:r>
    </w:p>
    <w:p w:rsidR="00000000" w:rsidRDefault="00FF2C06">
      <w:pPr>
        <w:pStyle w:val="a3"/>
        <w:spacing w:before="0" w:beforeAutospacing="0" w:after="0" w:afterAutospacing="0"/>
        <w:ind w:firstLine="547"/>
        <w:divId w:val="972095562"/>
        <w:rPr>
          <w:sz w:val="20"/>
          <w:szCs w:val="20"/>
        </w:rPr>
      </w:pPr>
      <w:r>
        <w:rPr>
          <w:sz w:val="20"/>
          <w:szCs w:val="20"/>
        </w:rPr>
        <w:t>​</w:t>
      </w:r>
    </w:p>
    <w:tbl>
      <w:tblPr>
        <w:tblW w:w="4018" w:type="pct"/>
        <w:tblCellMar>
          <w:top w:w="15" w:type="dxa"/>
          <w:left w:w="0" w:type="dxa"/>
          <w:bottom w:w="15" w:type="dxa"/>
          <w:right w:w="0" w:type="dxa"/>
        </w:tblCellMar>
        <w:tblLook w:val="04A0" w:firstRow="1" w:lastRow="0" w:firstColumn="1" w:lastColumn="0" w:noHBand="0" w:noVBand="1"/>
      </w:tblPr>
      <w:tblGrid>
        <w:gridCol w:w="3549"/>
        <w:gridCol w:w="160"/>
        <w:gridCol w:w="1400"/>
        <w:gridCol w:w="160"/>
        <w:gridCol w:w="1400"/>
        <w:gridCol w:w="6"/>
      </w:tblGrid>
      <w:tr w:rsidR="00000000">
        <w:trPr>
          <w:divId w:val="972095562"/>
          <w:trHeight w:val="20"/>
        </w:trPr>
        <w:tc>
          <w:tcPr>
            <w:tcW w:w="3190" w:type="pct"/>
            <w:tcMar>
              <w:top w:w="0" w:type="dxa"/>
              <w:left w:w="0" w:type="dxa"/>
              <w:bottom w:w="0" w:type="dxa"/>
              <w:right w:w="0" w:type="dxa"/>
            </w:tcMar>
            <w:vAlign w:val="bottom"/>
            <w:hideMark/>
          </w:tcPr>
          <w:p w:rsidR="00000000" w:rsidRDefault="00FF2C06">
            <w:pPr>
              <w:pStyle w:val="a3"/>
              <w:spacing w:before="0" w:beforeAutospacing="0" w:after="1" w:afterAutospacing="0"/>
              <w:divId w:val="944653315"/>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279266996"/>
              <w:rPr>
                <w:sz w:val="20"/>
                <w:szCs w:val="20"/>
              </w:rPr>
            </w:pPr>
            <w:r>
              <w:rPr>
                <w:sz w:val="2"/>
                <w:szCs w:val="2"/>
              </w:rPr>
              <w:t>​</w:t>
            </w:r>
          </w:p>
        </w:tc>
        <w:tc>
          <w:tcPr>
            <w:tcW w:w="806"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2088574920"/>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640643397"/>
              <w:rPr>
                <w:sz w:val="20"/>
                <w:szCs w:val="20"/>
              </w:rPr>
            </w:pPr>
            <w:r>
              <w:rPr>
                <w:sz w:val="2"/>
                <w:szCs w:val="2"/>
              </w:rPr>
              <w:t>​</w:t>
            </w:r>
          </w:p>
        </w:tc>
        <w:tc>
          <w:tcPr>
            <w:tcW w:w="806"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357585278"/>
              <w:rPr>
                <w:sz w:val="20"/>
                <w:szCs w:val="20"/>
              </w:rPr>
            </w:pPr>
            <w:r>
              <w:rPr>
                <w:sz w:val="2"/>
                <w:szCs w:val="2"/>
              </w:rPr>
              <w:t>​</w:t>
            </w:r>
          </w:p>
        </w:tc>
        <w:tc>
          <w:tcPr>
            <w:tcW w:w="12"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886647387"/>
              <w:rPr>
                <w:sz w:val="20"/>
                <w:szCs w:val="20"/>
              </w:rPr>
            </w:pPr>
            <w:r>
              <w:rPr>
                <w:sz w:val="2"/>
                <w:szCs w:val="2"/>
              </w:rPr>
              <w:t>​</w:t>
            </w:r>
          </w:p>
        </w:tc>
      </w:tr>
      <w:tr w:rsidR="00000000">
        <w:trPr>
          <w:divId w:val="972095562"/>
        </w:trPr>
        <w:tc>
          <w:tcPr>
            <w:tcW w:w="3190"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16"/>
                <w:szCs w:val="16"/>
              </w:rPr>
              <w:t>​</w:t>
            </w:r>
          </w:p>
        </w:tc>
        <w:tc>
          <w:tcPr>
            <w:tcW w:w="92"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b/>
                <w:bCs/>
                <w:sz w:val="16"/>
                <w:szCs w:val="16"/>
              </w:rPr>
              <w:t>​</w:t>
            </w:r>
          </w:p>
        </w:tc>
        <w:tc>
          <w:tcPr>
            <w:tcW w:w="1705" w:type="pct"/>
            <w:gridSpan w:val="3"/>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Nine Months Ended September 30, </w:t>
            </w:r>
          </w:p>
        </w:tc>
        <w:tc>
          <w:tcPr>
            <w:tcW w:w="12"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b/>
                <w:bCs/>
                <w:sz w:val="16"/>
                <w:szCs w:val="16"/>
              </w:rPr>
              <w:t>​</w:t>
            </w:r>
          </w:p>
        </w:tc>
      </w:tr>
      <w:tr w:rsidR="00000000">
        <w:trPr>
          <w:divId w:val="972095562"/>
        </w:trPr>
        <w:tc>
          <w:tcPr>
            <w:tcW w:w="3190" w:type="pct"/>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b/>
                <w:bCs/>
                <w:sz w:val="16"/>
                <w:szCs w:val="16"/>
              </w:rPr>
              <w:t>Assumptions:</w:t>
            </w:r>
          </w:p>
        </w:tc>
        <w:tc>
          <w:tcPr>
            <w:tcW w:w="92"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    </w:t>
            </w:r>
          </w:p>
        </w:tc>
        <w:tc>
          <w:tcPr>
            <w:tcW w:w="806"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2020</w:t>
            </w:r>
          </w:p>
        </w:tc>
        <w:tc>
          <w:tcPr>
            <w:tcW w:w="92"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b/>
                <w:bCs/>
                <w:sz w:val="16"/>
                <w:szCs w:val="16"/>
              </w:rPr>
              <w:t>    </w:t>
            </w:r>
          </w:p>
        </w:tc>
        <w:tc>
          <w:tcPr>
            <w:tcW w:w="806"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2019</w:t>
            </w:r>
          </w:p>
        </w:tc>
        <w:tc>
          <w:tcPr>
            <w:tcW w:w="12"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b/>
                <w:bCs/>
                <w:sz w:val="16"/>
                <w:szCs w:val="16"/>
              </w:rPr>
              <w:t>​</w:t>
            </w:r>
          </w:p>
        </w:tc>
      </w:tr>
      <w:tr w:rsidR="00000000">
        <w:trPr>
          <w:divId w:val="972095562"/>
        </w:trPr>
        <w:tc>
          <w:tcPr>
            <w:tcW w:w="3190"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Expected term (years)</w:t>
            </w:r>
          </w:p>
        </w:tc>
        <w:tc>
          <w:tcPr>
            <w:tcW w:w="9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80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sz w:val="20"/>
                <w:szCs w:val="20"/>
              </w:rPr>
              <w:t>5.18 - 6.19</w:t>
            </w:r>
          </w:p>
        </w:tc>
        <w:tc>
          <w:tcPr>
            <w:tcW w:w="9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80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sz w:val="20"/>
                <w:szCs w:val="20"/>
              </w:rPr>
              <w:t>6.06 – 6.08</w:t>
            </w:r>
          </w:p>
        </w:tc>
        <w:tc>
          <w:tcPr>
            <w:tcW w:w="1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972095562"/>
        </w:trPr>
        <w:tc>
          <w:tcPr>
            <w:tcW w:w="3190"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Expected volatility</w:t>
            </w:r>
          </w:p>
        </w:tc>
        <w:tc>
          <w:tcPr>
            <w:tcW w:w="92"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806"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sz w:val="20"/>
                <w:szCs w:val="20"/>
              </w:rPr>
              <w:t>69.99% - 70.96%</w:t>
            </w:r>
          </w:p>
        </w:tc>
        <w:tc>
          <w:tcPr>
            <w:tcW w:w="92"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06"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sz w:val="20"/>
                <w:szCs w:val="20"/>
              </w:rPr>
              <w:t>70.78% - 71.62%</w:t>
            </w:r>
          </w:p>
        </w:tc>
        <w:tc>
          <w:tcPr>
            <w:tcW w:w="12"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972095562"/>
        </w:trPr>
        <w:tc>
          <w:tcPr>
            <w:tcW w:w="3190"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Risk-free interest rate</w:t>
            </w:r>
          </w:p>
        </w:tc>
        <w:tc>
          <w:tcPr>
            <w:tcW w:w="9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rFonts w:ascii="Calibri" w:hAnsi="Calibri" w:cs="Calibri"/>
                <w:sz w:val="22"/>
                <w:szCs w:val="22"/>
              </w:rPr>
              <w:t>​</w:t>
            </w:r>
          </w:p>
        </w:tc>
        <w:tc>
          <w:tcPr>
            <w:tcW w:w="80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sz w:val="20"/>
                <w:szCs w:val="20"/>
              </w:rPr>
              <w:t>0.29% - 1.83%</w:t>
            </w:r>
          </w:p>
        </w:tc>
        <w:tc>
          <w:tcPr>
            <w:tcW w:w="9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0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sz w:val="20"/>
                <w:szCs w:val="20"/>
              </w:rPr>
              <w:t>1.87% - 2.59%</w:t>
            </w:r>
          </w:p>
        </w:tc>
        <w:tc>
          <w:tcPr>
            <w:tcW w:w="1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rFonts w:ascii="Calibri" w:hAnsi="Calibri" w:cs="Calibri"/>
                <w:sz w:val="22"/>
                <w:szCs w:val="22"/>
              </w:rPr>
              <w:t>​</w:t>
            </w:r>
          </w:p>
        </w:tc>
      </w:tr>
      <w:tr w:rsidR="00000000">
        <w:trPr>
          <w:divId w:val="972095562"/>
        </w:trPr>
        <w:tc>
          <w:tcPr>
            <w:tcW w:w="3190"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Expected dividend yield</w:t>
            </w:r>
          </w:p>
        </w:tc>
        <w:tc>
          <w:tcPr>
            <w:tcW w:w="92"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rFonts w:ascii="Calibri" w:hAnsi="Calibri" w:cs="Calibri"/>
                <w:sz w:val="22"/>
                <w:szCs w:val="22"/>
              </w:rPr>
              <w:t>​</w:t>
            </w:r>
          </w:p>
        </w:tc>
        <w:tc>
          <w:tcPr>
            <w:tcW w:w="806"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sz w:val="20"/>
                <w:szCs w:val="20"/>
              </w:rPr>
              <w:t>0%</w:t>
            </w:r>
          </w:p>
        </w:tc>
        <w:tc>
          <w:tcPr>
            <w:tcW w:w="92"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806"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sz w:val="20"/>
                <w:szCs w:val="20"/>
              </w:rPr>
              <w:t>0%</w:t>
            </w:r>
          </w:p>
        </w:tc>
        <w:tc>
          <w:tcPr>
            <w:tcW w:w="12"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rFonts w:ascii="Calibri" w:hAnsi="Calibri" w:cs="Calibri"/>
                <w:sz w:val="22"/>
                <w:szCs w:val="22"/>
              </w:rPr>
              <w:t>​</w:t>
            </w:r>
          </w:p>
        </w:tc>
      </w:tr>
    </w:tbl>
    <w:p w:rsidR="00000000" w:rsidRDefault="00FF2C06">
      <w:pPr>
        <w:pStyle w:val="a3"/>
        <w:spacing w:before="0" w:beforeAutospacing="0" w:after="0" w:afterAutospacing="0"/>
        <w:divId w:val="972095562"/>
        <w:rPr>
          <w:sz w:val="20"/>
          <w:szCs w:val="20"/>
        </w:rPr>
      </w:pPr>
      <w:r>
        <w:rPr>
          <w:sz w:val="20"/>
          <w:szCs w:val="20"/>
        </w:rPr>
        <w:t>​</w:t>
      </w:r>
    </w:p>
    <w:p w:rsidR="00000000" w:rsidRDefault="00FF2C06">
      <w:pPr>
        <w:pStyle w:val="a3"/>
        <w:spacing w:before="0" w:beforeAutospacing="0" w:after="200" w:afterAutospacing="0"/>
        <w:ind w:firstLine="547"/>
        <w:divId w:val="972095562"/>
        <w:rPr>
          <w:sz w:val="20"/>
          <w:szCs w:val="20"/>
        </w:rPr>
      </w:pPr>
      <w:r>
        <w:rPr>
          <w:sz w:val="20"/>
          <w:szCs w:val="20"/>
        </w:rPr>
        <w:t>Expected Dividend Yield —The Company has never paid dividends and does not expect to pay dividends in the foreseeable future.</w:t>
      </w:r>
    </w:p>
    <w:p w:rsidR="00000000" w:rsidRDefault="00FF2C06">
      <w:pPr>
        <w:pStyle w:val="a3"/>
        <w:spacing w:before="480" w:beforeAutospacing="0" w:after="0" w:afterAutospacing="0"/>
        <w:jc w:val="center"/>
        <w:divId w:val="630020287"/>
        <w:rPr>
          <w:sz w:val="20"/>
          <w:szCs w:val="20"/>
        </w:rPr>
      </w:pPr>
      <w:r>
        <w:rPr>
          <w:sz w:val="20"/>
          <w:szCs w:val="20"/>
        </w:rPr>
        <w:t>18</w:t>
      </w:r>
    </w:p>
    <w:p w:rsidR="00000000" w:rsidRDefault="00FF2C06">
      <w:pPr>
        <w:pStyle w:val="a3"/>
        <w:spacing w:before="0" w:beforeAutospacing="0" w:after="600" w:afterAutospacing="0"/>
        <w:divId w:val="972322405"/>
        <w:rPr>
          <w:sz w:val="20"/>
          <w:szCs w:val="20"/>
        </w:rPr>
      </w:pPr>
      <w:hyperlink w:anchor="TOC" w:history="1">
        <w:r>
          <w:rPr>
            <w:rStyle w:val="a4"/>
            <w:sz w:val="20"/>
            <w:szCs w:val="20"/>
          </w:rPr>
          <w:t>Table of Contents</w:t>
        </w:r>
      </w:hyperlink>
    </w:p>
    <w:p w:rsidR="00000000" w:rsidRDefault="00FF2C06">
      <w:pPr>
        <w:pStyle w:val="a3"/>
        <w:spacing w:before="0" w:beforeAutospacing="0" w:after="200" w:afterAutospacing="0"/>
        <w:ind w:firstLine="547"/>
        <w:divId w:val="961422085"/>
        <w:rPr>
          <w:sz w:val="20"/>
          <w:szCs w:val="20"/>
        </w:rPr>
      </w:pPr>
      <w:r>
        <w:rPr>
          <w:sz w:val="20"/>
          <w:szCs w:val="20"/>
        </w:rPr>
        <w:t>Risk-Free Interest Rate —</w:t>
      </w:r>
      <w:r>
        <w:rPr>
          <w:sz w:val="20"/>
          <w:szCs w:val="20"/>
        </w:rPr>
        <w:t>The risk-free interest rate was based on the market yield currently available on United States Treasury securities with maturities approximately equal to the option’s expected term.</w:t>
      </w:r>
    </w:p>
    <w:p w:rsidR="00000000" w:rsidRDefault="00FF2C06">
      <w:pPr>
        <w:pStyle w:val="a3"/>
        <w:spacing w:before="0" w:beforeAutospacing="0" w:after="200" w:afterAutospacing="0"/>
        <w:ind w:firstLine="547"/>
        <w:divId w:val="961422085"/>
        <w:rPr>
          <w:sz w:val="20"/>
          <w:szCs w:val="20"/>
        </w:rPr>
      </w:pPr>
      <w:r>
        <w:rPr>
          <w:sz w:val="20"/>
          <w:szCs w:val="20"/>
        </w:rPr>
        <w:t>Expected Term —The expected term of the stock option grants was calculated</w:t>
      </w:r>
      <w:r>
        <w:rPr>
          <w:sz w:val="20"/>
          <w:szCs w:val="20"/>
        </w:rPr>
        <w:t xml:space="preserve"> based on historical exercises, cancellations, and forfeitures of stock options and outstanding option shares</w:t>
      </w:r>
    </w:p>
    <w:p w:rsidR="00000000" w:rsidRDefault="00FF2C06">
      <w:pPr>
        <w:pStyle w:val="a3"/>
        <w:spacing w:before="0" w:beforeAutospacing="0" w:after="200" w:afterAutospacing="0"/>
        <w:ind w:firstLine="547"/>
        <w:divId w:val="961422085"/>
        <w:rPr>
          <w:sz w:val="20"/>
          <w:szCs w:val="20"/>
        </w:rPr>
      </w:pPr>
      <w:r>
        <w:rPr>
          <w:sz w:val="20"/>
          <w:szCs w:val="20"/>
        </w:rPr>
        <w:t>Expected Volatility —The expected volatility is based on the historical volatility for the Company’s stock over a period equal to the expected ter</w:t>
      </w:r>
      <w:r>
        <w:rPr>
          <w:sz w:val="20"/>
          <w:szCs w:val="20"/>
        </w:rPr>
        <w:t>ms of the options.</w:t>
      </w:r>
    </w:p>
    <w:p w:rsidR="00000000" w:rsidRDefault="00FF2C06">
      <w:pPr>
        <w:pStyle w:val="a3"/>
        <w:spacing w:before="0" w:beforeAutospacing="0" w:after="200" w:afterAutospacing="0"/>
        <w:ind w:firstLine="547"/>
        <w:divId w:val="961422085"/>
        <w:rPr>
          <w:sz w:val="20"/>
          <w:szCs w:val="20"/>
        </w:rPr>
      </w:pPr>
      <w:r>
        <w:rPr>
          <w:sz w:val="20"/>
          <w:szCs w:val="20"/>
        </w:rPr>
        <w:t>Forfeiture Rate —The Company recognizes forfeitures as they occur.</w:t>
      </w:r>
    </w:p>
    <w:p w:rsidR="00000000" w:rsidRDefault="00FF2C06">
      <w:pPr>
        <w:pStyle w:val="a3"/>
        <w:spacing w:before="0" w:beforeAutospacing="0" w:after="0" w:afterAutospacing="0"/>
        <w:ind w:firstLine="547"/>
        <w:divId w:val="961422085"/>
        <w:rPr>
          <w:sz w:val="20"/>
          <w:szCs w:val="20"/>
        </w:rPr>
      </w:pPr>
      <w:r>
        <w:rPr>
          <w:sz w:val="20"/>
          <w:szCs w:val="20"/>
        </w:rPr>
        <w:t>Each of the inputs discussed above is subjective and generally requires significant management judgment.</w:t>
      </w:r>
    </w:p>
    <w:p w:rsidR="00000000" w:rsidRDefault="00FF2C06">
      <w:pPr>
        <w:pStyle w:val="a3"/>
        <w:spacing w:before="0" w:beforeAutospacing="0" w:after="0" w:afterAutospacing="0"/>
        <w:ind w:firstLine="547"/>
        <w:divId w:val="961422085"/>
        <w:rPr>
          <w:sz w:val="20"/>
          <w:szCs w:val="20"/>
        </w:rPr>
      </w:pPr>
      <w:r>
        <w:rPr>
          <w:sz w:val="20"/>
          <w:szCs w:val="20"/>
        </w:rPr>
        <w:t>​</w:t>
      </w:r>
    </w:p>
    <w:p w:rsidR="00000000" w:rsidRDefault="00FF2C06">
      <w:pPr>
        <w:pStyle w:val="a3"/>
        <w:spacing w:before="0" w:beforeAutospacing="0" w:after="200" w:afterAutospacing="0"/>
        <w:divId w:val="961422085"/>
        <w:rPr>
          <w:b/>
          <w:bCs/>
          <w:sz w:val="20"/>
          <w:szCs w:val="20"/>
        </w:rPr>
      </w:pPr>
      <w:r>
        <w:rPr>
          <w:b/>
          <w:bCs/>
          <w:sz w:val="20"/>
          <w:szCs w:val="20"/>
          <w:u w:val="single"/>
        </w:rPr>
        <w:t>NOTE 7. LICENSES AND AGREEMENTS</w:t>
      </w:r>
    </w:p>
    <w:p w:rsidR="00000000" w:rsidRDefault="00FF2C06">
      <w:pPr>
        <w:pStyle w:val="a3"/>
        <w:spacing w:before="0" w:beforeAutospacing="0" w:after="200" w:afterAutospacing="0"/>
        <w:divId w:val="961422085"/>
        <w:rPr>
          <w:b/>
          <w:bCs/>
          <w:sz w:val="20"/>
          <w:szCs w:val="20"/>
        </w:rPr>
      </w:pPr>
      <w:r>
        <w:rPr>
          <w:b/>
          <w:bCs/>
          <w:sz w:val="20"/>
          <w:szCs w:val="20"/>
        </w:rPr>
        <w:t>National Institutes of Health (</w:t>
      </w:r>
      <w:r>
        <w:rPr>
          <w:b/>
          <w:bCs/>
          <w:sz w:val="20"/>
          <w:szCs w:val="20"/>
        </w:rPr>
        <w:t>NIH) and the National Cancer Institute (NCI)</w:t>
      </w:r>
    </w:p>
    <w:p w:rsidR="00000000" w:rsidRDefault="00FF2C06">
      <w:pPr>
        <w:pStyle w:val="a3"/>
        <w:spacing w:before="0" w:beforeAutospacing="0" w:after="200" w:afterAutospacing="0"/>
        <w:divId w:val="961422085"/>
        <w:rPr>
          <w:i/>
          <w:iCs/>
          <w:sz w:val="20"/>
          <w:szCs w:val="20"/>
        </w:rPr>
      </w:pPr>
      <w:r>
        <w:rPr>
          <w:i/>
          <w:iCs/>
          <w:sz w:val="20"/>
          <w:szCs w:val="20"/>
        </w:rPr>
        <w:t>Cooperative Research and Development Agreement (CRADA)</w:t>
      </w:r>
    </w:p>
    <w:p w:rsidR="00000000" w:rsidRDefault="00FF2C06">
      <w:pPr>
        <w:pStyle w:val="a3"/>
        <w:spacing w:before="0" w:beforeAutospacing="0" w:after="200" w:afterAutospacing="0"/>
        <w:ind w:firstLine="547"/>
        <w:divId w:val="961422085"/>
        <w:rPr>
          <w:sz w:val="20"/>
          <w:szCs w:val="20"/>
        </w:rPr>
      </w:pPr>
      <w:r>
        <w:rPr>
          <w:sz w:val="20"/>
          <w:szCs w:val="20"/>
        </w:rPr>
        <w:t>In August 2011, the Company signed a five-year CRADA with the NCI to work with Dr. </w:t>
      </w:r>
      <w:r>
        <w:rPr>
          <w:sz w:val="20"/>
          <w:szCs w:val="20"/>
        </w:rPr>
        <w:t>Steven Rosenberg on developing adoptive cell immunotherapies that are designed to destroy metastatic melanoma cells using a patient’s tumor infiltrating lymphocytes.</w:t>
      </w:r>
    </w:p>
    <w:p w:rsidR="00000000" w:rsidRDefault="00FF2C06">
      <w:pPr>
        <w:pStyle w:val="a3"/>
        <w:spacing w:before="0" w:beforeAutospacing="0" w:after="200" w:afterAutospacing="0"/>
        <w:ind w:firstLine="547"/>
        <w:divId w:val="961422085"/>
        <w:rPr>
          <w:sz w:val="20"/>
          <w:szCs w:val="20"/>
        </w:rPr>
      </w:pPr>
      <w:r>
        <w:rPr>
          <w:sz w:val="20"/>
          <w:szCs w:val="20"/>
        </w:rPr>
        <w:t>In January 2015, the Company executed an amendment to the CRADA to include four new indica</w:t>
      </w:r>
      <w:r>
        <w:rPr>
          <w:sz w:val="20"/>
          <w:szCs w:val="20"/>
        </w:rPr>
        <w:t>tions. As amended, in addition to metastatic melanoma, the CRADA included the development of TIL therapy for the treatment of patients with bladder, lung, triple-negative breast, and Human Papilloma Virus (“HPV”)-associated cancers.</w:t>
      </w:r>
    </w:p>
    <w:p w:rsidR="00000000" w:rsidRDefault="00FF2C06">
      <w:pPr>
        <w:pStyle w:val="a3"/>
        <w:spacing w:before="0" w:beforeAutospacing="0" w:after="200" w:afterAutospacing="0"/>
        <w:ind w:firstLine="547"/>
        <w:divId w:val="961422085"/>
        <w:rPr>
          <w:sz w:val="20"/>
          <w:szCs w:val="20"/>
        </w:rPr>
      </w:pPr>
      <w:r>
        <w:rPr>
          <w:sz w:val="20"/>
          <w:szCs w:val="20"/>
        </w:rPr>
        <w:t>In August 2016, the NCI</w:t>
      </w:r>
      <w:r>
        <w:rPr>
          <w:sz w:val="20"/>
          <w:szCs w:val="20"/>
        </w:rPr>
        <w:t xml:space="preserve"> and the Company entered a second amendment to the CRADA. The principal changes effected by the second amendment included (i) extending the term of the CRADA by another five years to August 2021, and (ii) modifying the focus on the development of unmodifie</w:t>
      </w:r>
      <w:r>
        <w:rPr>
          <w:sz w:val="20"/>
          <w:szCs w:val="20"/>
        </w:rPr>
        <w:t xml:space="preserve">d TIL as a stand-alone therapy or in combination with U.S. Food and Drug Administration ("FDA") - licensed products and commercially available reagents routinely used for adoptive cell therapy. The parties will continue the development of improved methods </w:t>
      </w:r>
      <w:r>
        <w:rPr>
          <w:sz w:val="20"/>
          <w:szCs w:val="20"/>
        </w:rPr>
        <w:t>for the generation and selection of TIL with anti-tumor reactivity in metastatic melanoma, bladder, lung, breast, and HPV-associated cancers.</w:t>
      </w:r>
    </w:p>
    <w:p w:rsidR="00000000" w:rsidRDefault="00FF2C06">
      <w:pPr>
        <w:pStyle w:val="a3"/>
        <w:spacing w:before="0" w:beforeAutospacing="0" w:after="200" w:afterAutospacing="0"/>
        <w:ind w:firstLine="547"/>
        <w:divId w:val="961422085"/>
        <w:rPr>
          <w:sz w:val="20"/>
          <w:szCs w:val="20"/>
        </w:rPr>
      </w:pPr>
      <w:r>
        <w:rPr>
          <w:sz w:val="20"/>
          <w:szCs w:val="20"/>
        </w:rPr>
        <w:t>Pursuant to the terms of the CRADA, as amended, the Company is required to make quarterly payments of $0.5 million</w:t>
      </w:r>
      <w:r>
        <w:rPr>
          <w:sz w:val="20"/>
          <w:szCs w:val="20"/>
        </w:rPr>
        <w:t xml:space="preserve"> to the NCI for support of research activities. To the extent the Company licenses patent rights relating to a TIL-based product candidate, the Company will be responsible for all patent-related expenses and fees, past and future, relating to the TIL-based</w:t>
      </w:r>
      <w:r>
        <w:rPr>
          <w:sz w:val="20"/>
          <w:szCs w:val="20"/>
        </w:rPr>
        <w:t xml:space="preserve"> product candidate. In addition, the Company may be required to supply certain test articles, including TIL, grown and processed under cGMP conditions, suitable for use in clinical trials, where the Company holds the investigational new drug application fo</w:t>
      </w:r>
      <w:r>
        <w:rPr>
          <w:sz w:val="20"/>
          <w:szCs w:val="20"/>
        </w:rPr>
        <w:t xml:space="preserve">r such clinical trial. The extended CRADA has a five-year term expiring in August 2021. The Company or the NCI may unilaterally terminate the CRADA for any reason or for no reason at any time by providing written notice at least 60 days before the desired </w:t>
      </w:r>
      <w:r>
        <w:rPr>
          <w:sz w:val="20"/>
          <w:szCs w:val="20"/>
        </w:rPr>
        <w:t>termination date. The Company recorded costs associated with the CRADA of $0.5 million for the three months ended September 30, 2020 and 2019, and $1.5 million for the nine months ended September 30, 2020 and 2019 as research and development expenses.</w:t>
      </w:r>
    </w:p>
    <w:p w:rsidR="00000000" w:rsidRDefault="00FF2C06">
      <w:pPr>
        <w:pStyle w:val="a3"/>
        <w:spacing w:before="0" w:beforeAutospacing="0" w:after="200" w:afterAutospacing="0"/>
        <w:divId w:val="961422085"/>
        <w:rPr>
          <w:i/>
          <w:iCs/>
          <w:sz w:val="20"/>
          <w:szCs w:val="20"/>
        </w:rPr>
      </w:pPr>
      <w:r>
        <w:rPr>
          <w:i/>
          <w:iCs/>
          <w:sz w:val="20"/>
          <w:szCs w:val="20"/>
        </w:rPr>
        <w:t>Pate</w:t>
      </w:r>
      <w:r>
        <w:rPr>
          <w:i/>
          <w:iCs/>
          <w:sz w:val="20"/>
          <w:szCs w:val="20"/>
        </w:rPr>
        <w:t>nt License Agreement Related to the Development and Manufacture of TIL</w:t>
      </w:r>
    </w:p>
    <w:p w:rsidR="00000000" w:rsidRDefault="00FF2C06">
      <w:pPr>
        <w:pStyle w:val="a3"/>
        <w:spacing w:before="0" w:beforeAutospacing="0" w:after="200" w:afterAutospacing="0"/>
        <w:ind w:firstLine="547"/>
        <w:divId w:val="961422085"/>
        <w:rPr>
          <w:sz w:val="20"/>
          <w:szCs w:val="20"/>
        </w:rPr>
      </w:pPr>
      <w:r>
        <w:rPr>
          <w:sz w:val="20"/>
          <w:szCs w:val="20"/>
        </w:rPr>
        <w:t>Effective October 5, 2011, the Company entered into an Exclusive Patent License Agreement (the “Patent License Agreement”) with the NIH, an agency of the United States Public Health Ser</w:t>
      </w:r>
      <w:r>
        <w:rPr>
          <w:sz w:val="20"/>
          <w:szCs w:val="20"/>
        </w:rPr>
        <w:t>vice within the Department of Health and Human Services (NIH), which was subsequently amended on February 9, 2015 and October 2, 2015. Pursuant to the Patent License Agreement, as amended, the NIH granted the Company licenses, including exclusive, co-exclu</w:t>
      </w:r>
      <w:r>
        <w:rPr>
          <w:sz w:val="20"/>
          <w:szCs w:val="20"/>
        </w:rPr>
        <w:t>sive, and non-exclusive licenses, to certain technologies relating to autologous tumor infiltrating lymphocyte adoptive cell therapy products for the treatment of metastatic melanoma, lung, breast, bladder and HPV-positive cancers. The Patent License Agree</w:t>
      </w:r>
      <w:r>
        <w:rPr>
          <w:sz w:val="20"/>
          <w:szCs w:val="20"/>
        </w:rPr>
        <w:t>ment requires the Company to pay royalties based on a percentage of net sales (which percentage is in the mid-single digits), a percentage of revenues from sublicensing arrangements, and lump sum benchmark royalty payments on the achievement of certain cli</w:t>
      </w:r>
      <w:r>
        <w:rPr>
          <w:sz w:val="20"/>
          <w:szCs w:val="20"/>
        </w:rPr>
        <w:t>nical and regulatory milestones for each of the various indications and other direct costs incurred by the NIH pursuant to the agreement. The Company anticipates making a milestone payment in conjunction with the submission of a Biologics License Applicati</w:t>
      </w:r>
      <w:r>
        <w:rPr>
          <w:sz w:val="20"/>
          <w:szCs w:val="20"/>
        </w:rPr>
        <w:t>on for any of its product candidates covered by the Patent License Agreement.</w:t>
      </w:r>
    </w:p>
    <w:p w:rsidR="00000000" w:rsidRDefault="00FF2C06">
      <w:pPr>
        <w:pStyle w:val="a3"/>
        <w:spacing w:before="480" w:beforeAutospacing="0" w:after="0" w:afterAutospacing="0"/>
        <w:jc w:val="center"/>
        <w:divId w:val="40521693"/>
        <w:rPr>
          <w:sz w:val="20"/>
          <w:szCs w:val="20"/>
        </w:rPr>
      </w:pPr>
      <w:r>
        <w:rPr>
          <w:sz w:val="20"/>
          <w:szCs w:val="20"/>
        </w:rPr>
        <w:t>19</w:t>
      </w:r>
    </w:p>
    <w:p w:rsidR="00000000" w:rsidRDefault="00FF2C06">
      <w:pPr>
        <w:pStyle w:val="a3"/>
        <w:spacing w:before="0" w:beforeAutospacing="0" w:after="600" w:afterAutospacing="0"/>
        <w:divId w:val="1662925113"/>
        <w:rPr>
          <w:sz w:val="20"/>
          <w:szCs w:val="20"/>
        </w:rPr>
      </w:pPr>
      <w:hyperlink w:anchor="TOC" w:history="1">
        <w:r>
          <w:rPr>
            <w:rStyle w:val="a4"/>
            <w:sz w:val="20"/>
            <w:szCs w:val="20"/>
          </w:rPr>
          <w:t>Table of Contents</w:t>
        </w:r>
      </w:hyperlink>
    </w:p>
    <w:p w:rsidR="00000000" w:rsidRDefault="00FF2C06">
      <w:pPr>
        <w:pStyle w:val="a3"/>
        <w:spacing w:before="0" w:beforeAutospacing="0" w:after="200" w:afterAutospacing="0"/>
        <w:divId w:val="1245336403"/>
        <w:rPr>
          <w:i/>
          <w:iCs/>
          <w:sz w:val="20"/>
          <w:szCs w:val="20"/>
        </w:rPr>
      </w:pPr>
      <w:r>
        <w:rPr>
          <w:i/>
          <w:iCs/>
          <w:sz w:val="20"/>
          <w:szCs w:val="20"/>
        </w:rPr>
        <w:t>Exclusive Patent License Agreement Related to TIL Selection</w:t>
      </w:r>
    </w:p>
    <w:p w:rsidR="00000000" w:rsidRDefault="00FF2C06">
      <w:pPr>
        <w:pStyle w:val="a3"/>
        <w:spacing w:before="0" w:beforeAutospacing="0" w:after="200" w:afterAutospacing="0"/>
        <w:ind w:firstLine="547"/>
        <w:divId w:val="1245336403"/>
        <w:rPr>
          <w:sz w:val="20"/>
          <w:szCs w:val="20"/>
        </w:rPr>
      </w:pPr>
      <w:r>
        <w:rPr>
          <w:sz w:val="20"/>
          <w:szCs w:val="20"/>
        </w:rPr>
        <w:t>On February 10, 2015, the Company entered into an exclusive patent lice</w:t>
      </w:r>
      <w:r>
        <w:rPr>
          <w:sz w:val="20"/>
          <w:szCs w:val="20"/>
        </w:rPr>
        <w:t>nse agreement (the “Exclusive Patent License Agreement”) with the NIH under which the Company received an exclusive license to the NIH’s rights to patent-pending technologies related to methods for improving adoptive cell therapy through more potent and ef</w:t>
      </w:r>
      <w:r>
        <w:rPr>
          <w:sz w:val="20"/>
          <w:szCs w:val="20"/>
        </w:rPr>
        <w:t>ficient production of TIL from melanoma tumors by selecting for T cell populations that express various inhibitory receptors. Unless terminated sooner, the license shall remain in effect until the last licensed patent right expires.</w:t>
      </w:r>
    </w:p>
    <w:p w:rsidR="00000000" w:rsidRDefault="00FF2C06">
      <w:pPr>
        <w:pStyle w:val="a3"/>
        <w:spacing w:before="0" w:beforeAutospacing="0" w:after="200" w:afterAutospacing="0"/>
        <w:ind w:firstLine="547"/>
        <w:divId w:val="1245336403"/>
        <w:rPr>
          <w:sz w:val="20"/>
          <w:szCs w:val="20"/>
        </w:rPr>
      </w:pPr>
      <w:r>
        <w:rPr>
          <w:sz w:val="20"/>
          <w:szCs w:val="20"/>
        </w:rPr>
        <w:t>Under the Exclusive Pat</w:t>
      </w:r>
      <w:r>
        <w:rPr>
          <w:sz w:val="20"/>
          <w:szCs w:val="20"/>
        </w:rPr>
        <w:t>ent License Agreement, the Company agreed to pay customary royalties based on a percentage of net sales of a licensed product (which percentage is in the mid-single digits), a percentage of revenues from sublicensing arrangements, and lump sum benchmark pa</w:t>
      </w:r>
      <w:r>
        <w:rPr>
          <w:sz w:val="20"/>
          <w:szCs w:val="20"/>
        </w:rPr>
        <w:t xml:space="preserve">yments upon the successful completion of clinical studies involving licensed technologies, the receipt of the first FDA approval or foreign equivalent for a licensed product or process resulting from the licensed technologies, the first commercial sale of </w:t>
      </w:r>
      <w:r>
        <w:rPr>
          <w:sz w:val="20"/>
          <w:szCs w:val="20"/>
        </w:rPr>
        <w:t>a licensed product or process in the United States, and the first commercial sale of a licensed product or process in any foreign country.</w:t>
      </w:r>
    </w:p>
    <w:p w:rsidR="00000000" w:rsidRDefault="00FF2C06">
      <w:pPr>
        <w:pStyle w:val="a3"/>
        <w:spacing w:before="0" w:beforeAutospacing="0" w:after="200" w:afterAutospacing="0"/>
        <w:divId w:val="1245336403"/>
        <w:rPr>
          <w:b/>
          <w:bCs/>
          <w:sz w:val="20"/>
          <w:szCs w:val="20"/>
        </w:rPr>
      </w:pPr>
      <w:r>
        <w:rPr>
          <w:b/>
          <w:bCs/>
          <w:sz w:val="20"/>
          <w:szCs w:val="20"/>
        </w:rPr>
        <w:t>H. Lee Moffitt Cancer Center</w:t>
      </w:r>
    </w:p>
    <w:p w:rsidR="00000000" w:rsidRDefault="00FF2C06">
      <w:pPr>
        <w:pStyle w:val="a3"/>
        <w:spacing w:before="0" w:beforeAutospacing="0" w:after="200" w:afterAutospacing="0"/>
        <w:divId w:val="1245336403"/>
        <w:rPr>
          <w:i/>
          <w:iCs/>
          <w:sz w:val="20"/>
          <w:szCs w:val="20"/>
        </w:rPr>
      </w:pPr>
      <w:r>
        <w:rPr>
          <w:i/>
          <w:iCs/>
          <w:sz w:val="20"/>
          <w:szCs w:val="20"/>
        </w:rPr>
        <w:t>Research Collaboration and Clinical Grant Agreements with Moffitt</w:t>
      </w:r>
    </w:p>
    <w:p w:rsidR="00000000" w:rsidRDefault="00FF2C06">
      <w:pPr>
        <w:pStyle w:val="a3"/>
        <w:spacing w:before="0" w:beforeAutospacing="0" w:after="200" w:afterAutospacing="0"/>
        <w:ind w:firstLine="547"/>
        <w:divId w:val="1245336403"/>
        <w:rPr>
          <w:sz w:val="20"/>
          <w:szCs w:val="20"/>
        </w:rPr>
      </w:pPr>
      <w:r>
        <w:rPr>
          <w:sz w:val="20"/>
          <w:szCs w:val="20"/>
        </w:rPr>
        <w:t>In December </w:t>
      </w:r>
      <w:r>
        <w:rPr>
          <w:sz w:val="20"/>
          <w:szCs w:val="20"/>
        </w:rPr>
        <w:t xml:space="preserve">2016, the Company entered into a new three-year Sponsored Research Agreement with H. Lee Moffitt Cancer Center (“Moffitt"), which expired in December 2019. In June 2020, the Company entered into a new Sponsored Research Agreement with Moffitt, with a term </w:t>
      </w:r>
      <w:r>
        <w:rPr>
          <w:sz w:val="20"/>
          <w:szCs w:val="20"/>
        </w:rPr>
        <w:t>that ends either upon completion of the research thereunder or on July 1, 2022, whichever is sooner, and under which immaterial payments will be made to Moffitt in connection with the research services thereunder. At the same time, the Company entered into</w:t>
      </w:r>
      <w:r>
        <w:rPr>
          <w:sz w:val="20"/>
          <w:szCs w:val="20"/>
        </w:rPr>
        <w:t xml:space="preserve"> a clinical grant agreement with Moffitt to support an ongoing clinical trial at Moffitt that combines TIL therapy with nivolumab for the treatment of patients with metastatic melanoma. In June 2017, the Company entered into a second clinical grant agreeme</w:t>
      </w:r>
      <w:r>
        <w:rPr>
          <w:sz w:val="20"/>
          <w:szCs w:val="20"/>
        </w:rPr>
        <w:t>nt with Moffitt to support a new clinical trial at Moffitt that combines TIL therapy with nivolumab for the treatment of patients with non-small cell lung cancer, under which the Company obtained a non-exclusive, royalty-free license to any new Moffitt inv</w:t>
      </w:r>
      <w:r>
        <w:rPr>
          <w:sz w:val="20"/>
          <w:szCs w:val="20"/>
        </w:rPr>
        <w:t>entions made in the performance of the agreement. Under both clinical grant agreements with Moffit, the Company has non-exclusive rights to clinical data arising from the respective clinical trials. The Company recorded research and development costs of $0</w:t>
      </w:r>
      <w:r>
        <w:rPr>
          <w:sz w:val="20"/>
          <w:szCs w:val="20"/>
        </w:rPr>
        <w:t>.1 million and $0.2 million for the three months ended September 30, 2020 and 2019, respectively, and $0.5 million and $0.7 million for the nine months ended September 30, 2020 and 2019, respectively, in connection with the research collaboration and clini</w:t>
      </w:r>
      <w:r>
        <w:rPr>
          <w:sz w:val="20"/>
          <w:szCs w:val="20"/>
        </w:rPr>
        <w:t>cal grant agreements with Moffitt.</w:t>
      </w:r>
    </w:p>
    <w:p w:rsidR="00000000" w:rsidRDefault="00FF2C06">
      <w:pPr>
        <w:pStyle w:val="a3"/>
        <w:spacing w:before="0" w:beforeAutospacing="0" w:after="200" w:afterAutospacing="0"/>
        <w:divId w:val="1245336403"/>
        <w:rPr>
          <w:i/>
          <w:iCs/>
          <w:sz w:val="20"/>
          <w:szCs w:val="20"/>
        </w:rPr>
      </w:pPr>
      <w:r>
        <w:rPr>
          <w:i/>
          <w:iCs/>
          <w:sz w:val="20"/>
          <w:szCs w:val="20"/>
        </w:rPr>
        <w:t>Exclusive License Agreements with Moffitt</w:t>
      </w:r>
    </w:p>
    <w:p w:rsidR="00000000" w:rsidRDefault="00FF2C06">
      <w:pPr>
        <w:pStyle w:val="a3"/>
        <w:spacing w:before="0" w:beforeAutospacing="0" w:after="200" w:afterAutospacing="0"/>
        <w:ind w:firstLine="547"/>
        <w:divId w:val="1245336403"/>
        <w:rPr>
          <w:sz w:val="20"/>
          <w:szCs w:val="20"/>
        </w:rPr>
      </w:pPr>
      <w:r>
        <w:rPr>
          <w:sz w:val="20"/>
          <w:szCs w:val="20"/>
        </w:rPr>
        <w:t>The Company entered into a license agreement with Moffitt (the “First Moffitt License”), effective as of June 28, 2014, under which the Company received a world-wide license to Mo</w:t>
      </w:r>
      <w:r>
        <w:rPr>
          <w:sz w:val="20"/>
          <w:szCs w:val="20"/>
        </w:rPr>
        <w:t>ffitt’s rights to patent-pending technologies related to methods for improving TIL for adoptive cell therapy using toll-like receptor agonists. Unless earlier terminated, the term of the license extends until the earlier of the expiration of the last issue</w:t>
      </w:r>
      <w:r>
        <w:rPr>
          <w:sz w:val="20"/>
          <w:szCs w:val="20"/>
        </w:rPr>
        <w:t>d patent related to the licensed technology or 20 years after the effective date of the license agreement.</w:t>
      </w:r>
    </w:p>
    <w:p w:rsidR="00000000" w:rsidRDefault="00FF2C06">
      <w:pPr>
        <w:pStyle w:val="a3"/>
        <w:spacing w:before="0" w:beforeAutospacing="0" w:after="200" w:afterAutospacing="0"/>
        <w:ind w:firstLine="547"/>
        <w:divId w:val="1245336403"/>
        <w:rPr>
          <w:sz w:val="20"/>
          <w:szCs w:val="20"/>
        </w:rPr>
      </w:pPr>
      <w:r>
        <w:rPr>
          <w:sz w:val="20"/>
          <w:szCs w:val="20"/>
        </w:rPr>
        <w:t>Pursuant to the First Moffitt License, the Company paid an upfront licensing fee in the amount of $0.1 million. A patent issuance fee will also be pa</w:t>
      </w:r>
      <w:r>
        <w:rPr>
          <w:sz w:val="20"/>
          <w:szCs w:val="20"/>
        </w:rPr>
        <w:t>yable under the First Moffitt License, upon the issuance of the first U.S. patent covering the subject technology. In addition, the Company agreed to pay milestone license fees upon completion of specified milestones, customary royalties based on a specifi</w:t>
      </w:r>
      <w:r>
        <w:rPr>
          <w:sz w:val="20"/>
          <w:szCs w:val="20"/>
        </w:rPr>
        <w:t>ed percentage of net sales (which percentage is in the low single digits) and sublicensing payments, as applicable, and annual minimum royalties beginning with the first sale of products based on the licensed technologies, which minimum royalties will be c</w:t>
      </w:r>
      <w:r>
        <w:rPr>
          <w:sz w:val="20"/>
          <w:szCs w:val="20"/>
        </w:rPr>
        <w:t>redited against the percentage royalty payments otherwise payable in that year. The Company will also be responsible for all costs associated with the preparation, filing, maintenance and prosecution of the patent applications and patents covered by the Fi</w:t>
      </w:r>
      <w:r>
        <w:rPr>
          <w:sz w:val="20"/>
          <w:szCs w:val="20"/>
        </w:rPr>
        <w:t>rst Moffitt License related to the treatment of any cancers in the United States, Europe and Japan and in other countries designated by the Company in agreement with Moffitt. No expenses were recorded for the First Moffitt License for the three and nine mo</w:t>
      </w:r>
      <w:r>
        <w:rPr>
          <w:sz w:val="20"/>
          <w:szCs w:val="20"/>
        </w:rPr>
        <w:t>nths ended September 30, 2020 and 2019.</w:t>
      </w:r>
    </w:p>
    <w:p w:rsidR="00000000" w:rsidRDefault="00FF2C06">
      <w:pPr>
        <w:pStyle w:val="a3"/>
        <w:spacing w:before="0" w:beforeAutospacing="0" w:after="0" w:afterAutospacing="0"/>
        <w:ind w:firstLine="547"/>
        <w:divId w:val="1245336403"/>
        <w:rPr>
          <w:sz w:val="20"/>
          <w:szCs w:val="20"/>
        </w:rPr>
      </w:pPr>
      <w:r>
        <w:rPr>
          <w:sz w:val="20"/>
          <w:szCs w:val="20"/>
        </w:rPr>
        <w:t>The Company entered into a license agreement with Moffitt effective as of May 7, 2018 (the “Second Moffitt License”), under which the Company received a license to Moffitt’s rights to patent-pending technologies rela</w:t>
      </w:r>
      <w:r>
        <w:rPr>
          <w:sz w:val="20"/>
          <w:szCs w:val="20"/>
        </w:rPr>
        <w:t>ted to the use of 4</w:t>
      </w:r>
      <w:r>
        <w:rPr>
          <w:sz w:val="20"/>
          <w:szCs w:val="20"/>
        </w:rPr>
        <w:t>-</w:t>
      </w:r>
      <w:r>
        <w:rPr>
          <w:sz w:val="20"/>
          <w:szCs w:val="20"/>
        </w:rPr>
        <w:t xml:space="preserve">1BB agonists in conjunction with TIL manufacturing processes and therapies. Pursuant to the Second Moffitt License, the Company paid an upfront licensing fee in the amount of $0.1 million in 2018. An annual license maintenance fee will </w:t>
      </w:r>
      <w:r>
        <w:rPr>
          <w:sz w:val="20"/>
          <w:szCs w:val="20"/>
        </w:rPr>
        <w:t>be also payable commencing on the first anniversary of the effective date. In addition, the Company agreed to pay an annual commercial use payment for each indication for</w:t>
      </w:r>
      <w:r>
        <w:rPr>
          <w:sz w:val="20"/>
          <w:szCs w:val="20"/>
        </w:rPr>
        <w:t xml:space="preserve"> </w:t>
      </w:r>
    </w:p>
    <w:p w:rsidR="00000000" w:rsidRDefault="00FF2C06">
      <w:pPr>
        <w:pStyle w:val="a3"/>
        <w:spacing w:before="480" w:beforeAutospacing="0" w:after="0" w:afterAutospacing="0"/>
        <w:jc w:val="center"/>
        <w:divId w:val="907417007"/>
        <w:rPr>
          <w:sz w:val="20"/>
          <w:szCs w:val="20"/>
        </w:rPr>
      </w:pPr>
      <w:r>
        <w:rPr>
          <w:sz w:val="20"/>
          <w:szCs w:val="20"/>
        </w:rPr>
        <w:t>20</w:t>
      </w:r>
    </w:p>
    <w:p w:rsidR="00000000" w:rsidRDefault="00FF2C06">
      <w:pPr>
        <w:pStyle w:val="a3"/>
        <w:spacing w:before="0" w:beforeAutospacing="0" w:after="600" w:afterAutospacing="0"/>
        <w:divId w:val="1312442087"/>
        <w:rPr>
          <w:sz w:val="20"/>
          <w:szCs w:val="20"/>
        </w:rPr>
      </w:pPr>
      <w:hyperlink w:anchor="TOC" w:history="1">
        <w:r>
          <w:rPr>
            <w:rStyle w:val="a4"/>
            <w:sz w:val="20"/>
            <w:szCs w:val="20"/>
          </w:rPr>
          <w:t>Table of Contents</w:t>
        </w:r>
      </w:hyperlink>
    </w:p>
    <w:p w:rsidR="00000000" w:rsidRDefault="00FF2C06">
      <w:pPr>
        <w:pStyle w:val="a3"/>
        <w:spacing w:before="0" w:beforeAutospacing="0" w:after="200" w:afterAutospacing="0"/>
        <w:divId w:val="668950544"/>
        <w:rPr>
          <w:sz w:val="20"/>
          <w:szCs w:val="20"/>
        </w:rPr>
      </w:pPr>
      <w:r>
        <w:rPr>
          <w:sz w:val="20"/>
          <w:szCs w:val="20"/>
        </w:rPr>
        <w:t>which a first sale has occurred, whic</w:t>
      </w:r>
      <w:r>
        <w:rPr>
          <w:sz w:val="20"/>
          <w:szCs w:val="20"/>
        </w:rPr>
        <w:t>h in the aggregate amounts to up to $0.4 million a year. The Company recorded a de minimis amount and $0.01 million for the three months ended September 30, 2020 and 2019, respectively, and a de minimis amount and $0.02 million for the nine months ended Se</w:t>
      </w:r>
      <w:r>
        <w:rPr>
          <w:sz w:val="20"/>
          <w:szCs w:val="20"/>
        </w:rPr>
        <w:t>ptember 30, 2020 and 2019, respectively, as research and development expenses in connection with the Second Moffit License</w:t>
      </w:r>
      <w:r>
        <w:rPr>
          <w:sz w:val="20"/>
          <w:szCs w:val="20"/>
        </w:rPr>
        <w:t>.</w:t>
      </w:r>
    </w:p>
    <w:p w:rsidR="00000000" w:rsidRDefault="00FF2C06">
      <w:pPr>
        <w:pStyle w:val="a3"/>
        <w:spacing w:before="0" w:beforeAutospacing="0" w:after="200" w:afterAutospacing="0"/>
        <w:divId w:val="668950544"/>
        <w:rPr>
          <w:b/>
          <w:bCs/>
          <w:sz w:val="20"/>
          <w:szCs w:val="20"/>
        </w:rPr>
      </w:pPr>
      <w:r>
        <w:rPr>
          <w:b/>
          <w:bCs/>
          <w:sz w:val="20"/>
          <w:szCs w:val="20"/>
        </w:rPr>
        <w:t>M.D. Anderson Cancer Center</w:t>
      </w:r>
    </w:p>
    <w:p w:rsidR="00000000" w:rsidRDefault="00FF2C06">
      <w:pPr>
        <w:pStyle w:val="a3"/>
        <w:spacing w:before="0" w:beforeAutospacing="0" w:after="200" w:afterAutospacing="0"/>
        <w:divId w:val="668950544"/>
        <w:rPr>
          <w:i/>
          <w:iCs/>
          <w:sz w:val="20"/>
          <w:szCs w:val="20"/>
        </w:rPr>
      </w:pPr>
      <w:r>
        <w:rPr>
          <w:i/>
          <w:iCs/>
          <w:sz w:val="20"/>
          <w:szCs w:val="20"/>
        </w:rPr>
        <w:t>Strategic Alliance Agreement</w:t>
      </w:r>
    </w:p>
    <w:p w:rsidR="00000000" w:rsidRDefault="00FF2C06">
      <w:pPr>
        <w:pStyle w:val="a3"/>
        <w:spacing w:before="0" w:beforeAutospacing="0" w:after="200" w:afterAutospacing="0"/>
        <w:ind w:firstLine="547"/>
        <w:divId w:val="668950544"/>
        <w:rPr>
          <w:sz w:val="20"/>
          <w:szCs w:val="20"/>
        </w:rPr>
      </w:pPr>
      <w:r>
        <w:rPr>
          <w:sz w:val="20"/>
          <w:szCs w:val="20"/>
        </w:rPr>
        <w:t xml:space="preserve">On April 17, 2017, the Company entered into a Strategic Alliance Agreement </w:t>
      </w:r>
      <w:r>
        <w:rPr>
          <w:sz w:val="20"/>
          <w:szCs w:val="20"/>
        </w:rPr>
        <w:t>(the “SAA”) with M.D. Anderson Cancer Center (“MDACC”) under which the Company and MDACC agreed to conduct clinical and preclinical research studies. The Company agreed in the SAA to provide total funding not to exceed approximately $14.2 million for the p</w:t>
      </w:r>
      <w:r>
        <w:rPr>
          <w:sz w:val="20"/>
          <w:szCs w:val="20"/>
        </w:rPr>
        <w:t>erformance of the multi-year studies under the SAA. In return, the Company acquired all rights to inventions resulting from the studies and has been granted a non-exclusive, sub-licensable, royalty-free, and perpetual license to specified background intell</w:t>
      </w:r>
      <w:r>
        <w:rPr>
          <w:sz w:val="20"/>
          <w:szCs w:val="20"/>
        </w:rPr>
        <w:t xml:space="preserve">ectual property of MDACC reasonably necessary to exploit, including the commercialization thereof. The Company has also been granted certain rights in clinical data generated by MDACC outside of the clinical trials to be performed under the SAA. The SAA’s </w:t>
      </w:r>
      <w:r>
        <w:rPr>
          <w:sz w:val="20"/>
          <w:szCs w:val="20"/>
        </w:rPr>
        <w:t>term shall continue in effect until the later of the fourth anniversary of the SAA or the completion or termination of the research and receipt by the Company of all deliverables due from MDACC thereunder. In May 2017, the Company made a prepayment of $1.4</w:t>
      </w:r>
      <w:r>
        <w:rPr>
          <w:sz w:val="20"/>
          <w:szCs w:val="20"/>
        </w:rPr>
        <w:t xml:space="preserve"> million under this agreement. In light of the COVID-19 Pandemic, MDACC has temporarily suspended their research programs and decommissioned their research labs, and as a result, enrollment in the Company’s MDACC-sponsored studies under the SAA was tempora</w:t>
      </w:r>
      <w:r>
        <w:rPr>
          <w:sz w:val="20"/>
          <w:szCs w:val="20"/>
        </w:rPr>
        <w:t>rily paused, but has recently been partially restarted. The Company recorded $0.3 million and $0.7 million associated with the MDACC SAA for the three months ended September 30, 2020 and 2019, respectively, and $0.5 million and $2.3 million for the nine mo</w:t>
      </w:r>
      <w:r>
        <w:rPr>
          <w:sz w:val="20"/>
          <w:szCs w:val="20"/>
        </w:rPr>
        <w:t xml:space="preserve">nths ended September 30, 2020 and 2019, respectively as research and development expenses. </w:t>
      </w:r>
    </w:p>
    <w:p w:rsidR="00000000" w:rsidRDefault="00FF2C06">
      <w:pPr>
        <w:pStyle w:val="a3"/>
        <w:spacing w:before="0" w:beforeAutospacing="0" w:after="200" w:afterAutospacing="0"/>
        <w:divId w:val="668950544"/>
        <w:rPr>
          <w:b/>
          <w:bCs/>
          <w:sz w:val="20"/>
          <w:szCs w:val="20"/>
        </w:rPr>
      </w:pPr>
      <w:r>
        <w:rPr>
          <w:b/>
          <w:bCs/>
          <w:sz w:val="20"/>
          <w:szCs w:val="20"/>
        </w:rPr>
        <w:t>WuXi Apptech, Inc. (WuXi)</w:t>
      </w:r>
    </w:p>
    <w:p w:rsidR="00000000" w:rsidRDefault="00FF2C06">
      <w:pPr>
        <w:pStyle w:val="a3"/>
        <w:spacing w:before="0" w:beforeAutospacing="0" w:after="200" w:afterAutospacing="0"/>
        <w:ind w:firstLine="547"/>
        <w:divId w:val="668950544"/>
        <w:rPr>
          <w:sz w:val="20"/>
          <w:szCs w:val="20"/>
        </w:rPr>
      </w:pPr>
      <w:r>
        <w:rPr>
          <w:sz w:val="20"/>
          <w:szCs w:val="20"/>
        </w:rPr>
        <w:t>In November 2016, the Company entered into a three-year manufacturing and services agreement (“MSA”) with WuXi AppTech, Inc. (“WuXi”) purs</w:t>
      </w:r>
      <w:r>
        <w:rPr>
          <w:sz w:val="20"/>
          <w:szCs w:val="20"/>
        </w:rPr>
        <w:t xml:space="preserve">uant to which WuXi agreed to provide manufacturing and other services, which has since been amended and assigned to our subsidiary Iovance Biotherapeutics Manufacturing LLC. Under the agreement, the Company entered into two statements of work for two cGMP </w:t>
      </w:r>
      <w:r>
        <w:rPr>
          <w:sz w:val="20"/>
          <w:szCs w:val="20"/>
        </w:rPr>
        <w:t>manufacturing suites to be established and operated by WuXi for the Company, both of the suites are expected to be capable of being used for the commercial manufacture of its products. The statement of work for the first suite was amended in 2019 and Septe</w:t>
      </w:r>
      <w:r>
        <w:rPr>
          <w:sz w:val="20"/>
          <w:szCs w:val="20"/>
        </w:rPr>
        <w:t>mber 2020, and the second suite was amended in 2019. The statements of work for facility include a fixed component to reserve a dedicated suite and a trained work force, and a variable component, mainly materials and testing used during the manufacturing p</w:t>
      </w:r>
      <w:r>
        <w:rPr>
          <w:sz w:val="20"/>
          <w:szCs w:val="20"/>
        </w:rPr>
        <w:t>rocesses. Both statements of work provide for adjustments to the targeted production capacity levels and the corresponding fixed quarterly fees upon written notice from the Company of 30 days and 90 days for the first and second dedicated suites, respectiv</w:t>
      </w:r>
      <w:r>
        <w:rPr>
          <w:sz w:val="20"/>
          <w:szCs w:val="20"/>
        </w:rPr>
        <w:t>ely. The quarterly fixed fees payable for each of the dedicated manufacturing suites ranges from $0.6 million to $2.7 million depending on the production capacity level targeted. The terms of the related statements of work for the first and second dedicate</w:t>
      </w:r>
      <w:r>
        <w:rPr>
          <w:sz w:val="20"/>
          <w:szCs w:val="20"/>
        </w:rPr>
        <w:t>d manufacturing suites currently extend to August 2022 and June 2021, respectively. The Company recorded costs associated with agreements with WuXi of $2.8 million and $9.2 million for the three months ended September 30, 2020 and 2019 respectively, and $1</w:t>
      </w:r>
      <w:r>
        <w:rPr>
          <w:sz w:val="20"/>
          <w:szCs w:val="20"/>
        </w:rPr>
        <w:t xml:space="preserve">6.2 million and $20 million for the nine months ended September 30, 2020 and 2019, respectively, as research and development expenses. </w:t>
      </w:r>
    </w:p>
    <w:p w:rsidR="00000000" w:rsidRDefault="00FF2C06">
      <w:pPr>
        <w:pStyle w:val="a3"/>
        <w:spacing w:before="0" w:beforeAutospacing="0" w:after="200" w:afterAutospacing="0"/>
        <w:divId w:val="668950544"/>
        <w:rPr>
          <w:b/>
          <w:bCs/>
          <w:sz w:val="20"/>
          <w:szCs w:val="20"/>
        </w:rPr>
      </w:pPr>
      <w:r>
        <w:rPr>
          <w:b/>
          <w:bCs/>
          <w:sz w:val="20"/>
          <w:szCs w:val="20"/>
        </w:rPr>
        <w:t>Cellectis S.A. (Cellectis)</w:t>
      </w:r>
    </w:p>
    <w:p w:rsidR="00000000" w:rsidRDefault="00FF2C06">
      <w:pPr>
        <w:pStyle w:val="a3"/>
        <w:spacing w:before="0" w:beforeAutospacing="0" w:after="200" w:afterAutospacing="0"/>
        <w:ind w:firstLine="547"/>
        <w:divId w:val="668950544"/>
        <w:rPr>
          <w:sz w:val="20"/>
          <w:szCs w:val="20"/>
        </w:rPr>
      </w:pPr>
      <w:r>
        <w:rPr>
          <w:sz w:val="20"/>
          <w:szCs w:val="20"/>
        </w:rPr>
        <w:t>On January 12, 2020, the Company entered into a research collaboration and exclusive worldwid</w:t>
      </w:r>
      <w:r>
        <w:rPr>
          <w:sz w:val="20"/>
          <w:szCs w:val="20"/>
        </w:rPr>
        <w:t xml:space="preserve">e license agreement whereby the Company will license gene-editing technology from Cellectis S.A. ("Cellectis"), a clinical-stage biopharmaceutical company, in order to develop TIL therapies that have been genetically edited. Financial terms of the license </w:t>
      </w:r>
      <w:r>
        <w:rPr>
          <w:sz w:val="20"/>
          <w:szCs w:val="20"/>
        </w:rPr>
        <w:t>include development, regulatory and sales milestone payments from the Company to Cellectis, as well as royalty payments based on net sales of TALEN-modified TIL products. The Company recorded costs associated with the license agreement from Cellectis of $0</w:t>
      </w:r>
      <w:r>
        <w:rPr>
          <w:sz w:val="20"/>
          <w:szCs w:val="20"/>
        </w:rPr>
        <w:t>.1 million and $0.3 million for the three and nine months ended September 30, 2020, respectively.</w:t>
      </w:r>
    </w:p>
    <w:p w:rsidR="00000000" w:rsidRDefault="00FF2C06">
      <w:pPr>
        <w:pStyle w:val="a3"/>
        <w:spacing w:before="0" w:beforeAutospacing="0" w:after="200" w:afterAutospacing="0"/>
        <w:divId w:val="668950544"/>
        <w:rPr>
          <w:b/>
          <w:bCs/>
          <w:sz w:val="20"/>
          <w:szCs w:val="20"/>
        </w:rPr>
      </w:pPr>
      <w:r>
        <w:rPr>
          <w:b/>
          <w:bCs/>
          <w:sz w:val="20"/>
          <w:szCs w:val="20"/>
        </w:rPr>
        <w:t>Novartis Pharma AG (Novartis)</w:t>
      </w:r>
    </w:p>
    <w:p w:rsidR="00000000" w:rsidRDefault="00FF2C06">
      <w:pPr>
        <w:pStyle w:val="a3"/>
        <w:spacing w:before="0" w:beforeAutospacing="0" w:after="0" w:afterAutospacing="0"/>
        <w:ind w:firstLine="547"/>
        <w:divId w:val="668950544"/>
        <w:rPr>
          <w:sz w:val="20"/>
          <w:szCs w:val="20"/>
        </w:rPr>
      </w:pPr>
      <w:r>
        <w:rPr>
          <w:sz w:val="20"/>
          <w:szCs w:val="20"/>
        </w:rPr>
        <w:t>On January 12, 2020, the Company obtained a license from Novartis Pharma AG (“Novartis”) to develop and commercialize an antibod</w:t>
      </w:r>
      <w:r>
        <w:rPr>
          <w:sz w:val="20"/>
          <w:szCs w:val="20"/>
        </w:rPr>
        <w:t xml:space="preserve">y cytokine engrafted protein, which the Company refers to as IOV-3001. Under the agreement, the Company has paid an upfront payment to Novartis and may pay future milestones related to initiation of patient dosing in various phases of clinical development </w:t>
      </w:r>
      <w:r>
        <w:rPr>
          <w:sz w:val="20"/>
          <w:szCs w:val="20"/>
        </w:rPr>
        <w:t xml:space="preserve">for IOV-3001 and approval of the product in the U.S, EU and Japan. Novartis is also entitled to low-to-mid single digit </w:t>
      </w:r>
    </w:p>
    <w:p w:rsidR="00000000" w:rsidRDefault="00FF2C06">
      <w:pPr>
        <w:pStyle w:val="a3"/>
        <w:spacing w:before="480" w:beforeAutospacing="0" w:after="0" w:afterAutospacing="0"/>
        <w:jc w:val="center"/>
        <w:divId w:val="1974679293"/>
        <w:rPr>
          <w:sz w:val="20"/>
          <w:szCs w:val="20"/>
        </w:rPr>
      </w:pPr>
      <w:r>
        <w:rPr>
          <w:sz w:val="20"/>
          <w:szCs w:val="20"/>
        </w:rPr>
        <w:t>21</w:t>
      </w:r>
    </w:p>
    <w:p w:rsidR="00000000" w:rsidRDefault="00FF2C06">
      <w:pPr>
        <w:pStyle w:val="a3"/>
        <w:spacing w:before="0" w:beforeAutospacing="0" w:after="600" w:afterAutospacing="0"/>
        <w:divId w:val="669285833"/>
        <w:rPr>
          <w:sz w:val="20"/>
          <w:szCs w:val="20"/>
        </w:rPr>
      </w:pPr>
      <w:hyperlink w:anchor="TOC" w:history="1">
        <w:r>
          <w:rPr>
            <w:rStyle w:val="a4"/>
            <w:sz w:val="20"/>
            <w:szCs w:val="20"/>
          </w:rPr>
          <w:t>Table of Contents</w:t>
        </w:r>
      </w:hyperlink>
    </w:p>
    <w:p w:rsidR="00000000" w:rsidRDefault="00FF2C06">
      <w:pPr>
        <w:pStyle w:val="a3"/>
        <w:spacing w:before="0" w:beforeAutospacing="0" w:after="0" w:afterAutospacing="0"/>
        <w:divId w:val="942499116"/>
        <w:rPr>
          <w:sz w:val="20"/>
          <w:szCs w:val="20"/>
        </w:rPr>
      </w:pPr>
      <w:r>
        <w:rPr>
          <w:sz w:val="20"/>
          <w:szCs w:val="20"/>
        </w:rPr>
        <w:t>royalties from commercial sales of the product. The Company recorded costs associated wi</w:t>
      </w:r>
      <w:r>
        <w:rPr>
          <w:sz w:val="20"/>
          <w:szCs w:val="20"/>
        </w:rPr>
        <w:t xml:space="preserve">th the license agreement from Novartis of $ 10.0 million as research and development expenses for the three months ended March 31, 2020. The Company did not record any expenses after March 31, 2020 through September 30, 2020. </w:t>
      </w:r>
    </w:p>
    <w:p w:rsidR="00000000" w:rsidRDefault="00FF2C06">
      <w:pPr>
        <w:pStyle w:val="a3"/>
        <w:spacing w:before="0" w:beforeAutospacing="0" w:after="0" w:afterAutospacing="0"/>
        <w:ind w:firstLine="547"/>
        <w:divId w:val="942499116"/>
        <w:rPr>
          <w:sz w:val="20"/>
          <w:szCs w:val="20"/>
        </w:rPr>
      </w:pPr>
      <w:r>
        <w:rPr>
          <w:sz w:val="20"/>
          <w:szCs w:val="20"/>
        </w:rPr>
        <w:t>​</w:t>
      </w:r>
    </w:p>
    <w:p w:rsidR="00000000" w:rsidRDefault="00FF2C06">
      <w:pPr>
        <w:pStyle w:val="a3"/>
        <w:spacing w:before="0" w:beforeAutospacing="0" w:after="200" w:afterAutospacing="0"/>
        <w:divId w:val="942499116"/>
        <w:rPr>
          <w:b/>
          <w:bCs/>
          <w:sz w:val="20"/>
          <w:szCs w:val="20"/>
        </w:rPr>
      </w:pPr>
      <w:r>
        <w:rPr>
          <w:b/>
          <w:bCs/>
          <w:sz w:val="20"/>
          <w:szCs w:val="20"/>
          <w:u w:val="single"/>
        </w:rPr>
        <w:t>NOTE 8. LEGAL PROCEEDINGS</w:t>
      </w:r>
    </w:p>
    <w:p w:rsidR="00000000" w:rsidRDefault="00FF2C06">
      <w:pPr>
        <w:pStyle w:val="a3"/>
        <w:spacing w:before="0" w:beforeAutospacing="0" w:after="200" w:afterAutospacing="0"/>
        <w:ind w:firstLine="547"/>
        <w:divId w:val="942499116"/>
        <w:rPr>
          <w:sz w:val="20"/>
          <w:szCs w:val="20"/>
        </w:rPr>
      </w:pPr>
      <w:r>
        <w:rPr>
          <w:sz w:val="20"/>
          <w:szCs w:val="20"/>
          <w:u w:val="single"/>
        </w:rPr>
        <w:t>Derivative Lawsuits</w:t>
      </w:r>
      <w:r>
        <w:rPr>
          <w:sz w:val="20"/>
          <w:szCs w:val="20"/>
          <w:u w:val="single"/>
        </w:rPr>
        <w:t>.</w:t>
      </w:r>
      <w:r>
        <w:rPr>
          <w:sz w:val="20"/>
          <w:szCs w:val="20"/>
        </w:rPr>
        <w:t xml:space="preserve"> On December 15, 2017, a purported stockholder derivative complaint was filed by plaintiff Kevin Fong against the Company, as nominal defendant, and certain of its current and former officers and directors, and others, as defendants, in</w:t>
      </w:r>
      <w:r>
        <w:rPr>
          <w:sz w:val="20"/>
          <w:szCs w:val="20"/>
        </w:rPr>
        <w:t xml:space="preserve"> the U.S. District Court for the District of Delaware (case no. 1:17-cv-1806). The complaint alleges breaches of fiduciary duties, unjust enrichment, and violations of Section 14(a) of the Securities Exchange Act of 1934 and Rule 14a-9 promulgated thereund</w:t>
      </w:r>
      <w:r>
        <w:rPr>
          <w:sz w:val="20"/>
          <w:szCs w:val="20"/>
        </w:rPr>
        <w:t xml:space="preserve">er arising from the SEC’s investigation in the </w:t>
      </w:r>
      <w:r>
        <w:rPr>
          <w:i/>
          <w:iCs/>
          <w:sz w:val="20"/>
          <w:szCs w:val="20"/>
        </w:rPr>
        <w:t>In the Matter of Certain Stock Promotions</w:t>
      </w:r>
      <w:r>
        <w:rPr>
          <w:sz w:val="20"/>
          <w:szCs w:val="20"/>
        </w:rPr>
        <w:t xml:space="preserve"> investigation and its April 10, 2017 settlement thereof, and seeks unspecified damages on behalf of the Company and injunctive relief. On March 28, 2018, a purported s</w:t>
      </w:r>
      <w:r>
        <w:rPr>
          <w:sz w:val="20"/>
          <w:szCs w:val="20"/>
        </w:rPr>
        <w:t>tockholder derivative complaint was filed by plaintiff Nazeer Khaleeluddin on behalf of the Company, against the Company, as nominal defendant, and certain of the Company’s current and former officers and directors, and others, as defendants, in the U.S. D</w:t>
      </w:r>
      <w:r>
        <w:rPr>
          <w:sz w:val="20"/>
          <w:szCs w:val="20"/>
        </w:rPr>
        <w:t xml:space="preserve">istrict Court for the District of Delaware (case no. 1:18-cv-00469). The complaint alleges, among other things, violations of securities law, breach of fiduciary duty, aiding and abetting, waste of corporate assets, and unjust enrichment. The complaint is </w:t>
      </w:r>
      <w:r>
        <w:rPr>
          <w:sz w:val="20"/>
          <w:szCs w:val="20"/>
        </w:rPr>
        <w:t xml:space="preserve">based on claims arising from the SEC’s investigation in the </w:t>
      </w:r>
      <w:r>
        <w:rPr>
          <w:i/>
          <w:iCs/>
          <w:sz w:val="20"/>
          <w:szCs w:val="20"/>
        </w:rPr>
        <w:t>In the Matter of Certain Stock Promotions</w:t>
      </w:r>
      <w:r>
        <w:rPr>
          <w:sz w:val="20"/>
          <w:szCs w:val="20"/>
        </w:rPr>
        <w:t xml:space="preserve"> investigation and the Company’s April 10, 2017 settlement thereof, and seeks unspecified damages on behalf of the Company and injunctive relief. On May 1,</w:t>
      </w:r>
      <w:r>
        <w:rPr>
          <w:sz w:val="20"/>
          <w:szCs w:val="20"/>
        </w:rPr>
        <w:t xml:space="preserve"> 2018, the court consolidated this case with the aforementioned purported stockholder derivative case filed by plaintiff Kevin Fong. The consolidated case is titled </w:t>
      </w:r>
      <w:r>
        <w:rPr>
          <w:i/>
          <w:iCs/>
          <w:sz w:val="20"/>
          <w:szCs w:val="20"/>
        </w:rPr>
        <w:t>In re Iovance Biotherapeutics, Inc. Stockholder Derivative Litigation</w:t>
      </w:r>
      <w:r>
        <w:rPr>
          <w:sz w:val="20"/>
          <w:szCs w:val="20"/>
        </w:rPr>
        <w:t xml:space="preserve"> (lead case no. 17-cv-</w:t>
      </w:r>
      <w:r>
        <w:rPr>
          <w:sz w:val="20"/>
          <w:szCs w:val="20"/>
        </w:rPr>
        <w:t>1806). On January 28, 2020, the parties reached a proposed settlement. On April 24, 2020, the court granted preliminary approval for the proposed settlement. The terms of the settlement were disseminated to shareholders as part of the notice process on May</w:t>
      </w:r>
      <w:r>
        <w:rPr>
          <w:sz w:val="20"/>
          <w:szCs w:val="20"/>
        </w:rPr>
        <w:t xml:space="preserve"> 8, 2020. On July 2, 2020, the court granted final approval for the settlement. The Company has not incurred any significant costs or expenses in connection with this settlement. </w:t>
      </w:r>
    </w:p>
    <w:p w:rsidR="00000000" w:rsidRDefault="00FF2C06">
      <w:pPr>
        <w:pStyle w:val="a3"/>
        <w:spacing w:before="0" w:beforeAutospacing="0" w:after="200" w:afterAutospacing="0"/>
        <w:ind w:firstLine="547"/>
        <w:divId w:val="942499116"/>
        <w:rPr>
          <w:sz w:val="20"/>
          <w:szCs w:val="20"/>
        </w:rPr>
      </w:pPr>
      <w:r>
        <w:rPr>
          <w:sz w:val="20"/>
          <w:szCs w:val="20"/>
          <w:u w:val="single"/>
        </w:rPr>
        <w:t>Solomon Capital, LLC</w:t>
      </w:r>
      <w:r>
        <w:rPr>
          <w:sz w:val="20"/>
          <w:szCs w:val="20"/>
          <w:u w:val="single"/>
        </w:rPr>
        <w:t>.</w:t>
      </w:r>
      <w:r>
        <w:rPr>
          <w:sz w:val="20"/>
          <w:szCs w:val="20"/>
        </w:rPr>
        <w:t xml:space="preserve"> On April 8, 2016, a lawsuit (“the First Solomon Suit”)</w:t>
      </w:r>
      <w:r>
        <w:rPr>
          <w:sz w:val="20"/>
          <w:szCs w:val="20"/>
        </w:rPr>
        <w:t xml:space="preserve"> titled </w:t>
      </w:r>
      <w:r>
        <w:rPr>
          <w:i/>
          <w:iCs/>
          <w:sz w:val="20"/>
          <w:szCs w:val="20"/>
        </w:rPr>
        <w:t>Solomon Capital, LLC, Solomon Capital 401(K) Trust, Solomon Sharbat and Shelhav Raff v. Lion Biotechnologies, Inc</w:t>
      </w:r>
      <w:r>
        <w:rPr>
          <w:i/>
          <w:iCs/>
          <w:sz w:val="20"/>
          <w:szCs w:val="20"/>
        </w:rPr>
        <w:t>.</w:t>
      </w:r>
      <w:r>
        <w:rPr>
          <w:sz w:val="20"/>
          <w:szCs w:val="20"/>
        </w:rPr>
        <w:t xml:space="preserve"> was filed by Solomon Capital, LLC, Solomon Capital 401(k) Trust, Solomon Sharbat and Shelhav Raff (“Solomon Plaintiffs”) against the </w:t>
      </w:r>
      <w:r>
        <w:rPr>
          <w:sz w:val="20"/>
          <w:szCs w:val="20"/>
        </w:rPr>
        <w:t>Company in the Supreme Court of the State of New York, County of New York (index no. 651881/2016). The Solomon Plaintiffs allege that, between June and November 2012, they provided to the Company $0.1 million and that they advanced and paid on behalf of th</w:t>
      </w:r>
      <w:r>
        <w:rPr>
          <w:sz w:val="20"/>
          <w:szCs w:val="20"/>
        </w:rPr>
        <w:t>e Company an additional $0.2 million. The complaint further alleges that the Company agreed to (i) provide them with promissory notes totaling $0.2 million, plus interest, (ii) issue a total of 1,110 shares to the Solomon Plaintiffs (after the 1-for-100 re</w:t>
      </w:r>
      <w:r>
        <w:rPr>
          <w:sz w:val="20"/>
          <w:szCs w:val="20"/>
        </w:rPr>
        <w:t>verse split of the Company’s common stock effected in March 2013) (the “Equity Claim”), and (iii) allow the Solomon Plaintiffs to convert the foregoing funds into its securities in the next financing of the Company on the same terms offered to other invest</w:t>
      </w:r>
      <w:r>
        <w:rPr>
          <w:sz w:val="20"/>
          <w:szCs w:val="20"/>
        </w:rPr>
        <w:t>ors, which Solomon Plaintiffs allege, should have given them the right to convert their advances and payments into shares of the Company’s common stock in the restructuring that took effect in May 2013. Based on the foregoing, the Solomon Plaintiffs allege</w:t>
      </w:r>
      <w:r>
        <w:rPr>
          <w:sz w:val="20"/>
          <w:szCs w:val="20"/>
        </w:rPr>
        <w:t xml:space="preserve"> causes for breach of contract and unjust enrichment and demand judgment against the Company in an unspecified amount exceeding $1.5 million, plus interest. On June 3, 2016, the Company filed an answer and counterclaims in the lawsuit. The Company has asse</w:t>
      </w:r>
      <w:r>
        <w:rPr>
          <w:sz w:val="20"/>
          <w:szCs w:val="20"/>
        </w:rPr>
        <w:t>rted counterclaims for fraudulent inducement, fraudulent misrepresentation, fraudulent concealment, breach of fiduciary duty, and breach of contract, alleging principally that the counterclaim defendants misrepresented their qualifications and failed to di</w:t>
      </w:r>
      <w:r>
        <w:rPr>
          <w:sz w:val="20"/>
          <w:szCs w:val="20"/>
        </w:rPr>
        <w:t>sclose that Solomon Sharbat was the subject of an investigation by the Financial Industry Regulatory Authority (“FINRA”) that resulted in the loss of his FINRA license. In its counterclaims, the Company is seeking damages in an amount exceeding $0.5 millio</w:t>
      </w:r>
      <w:r>
        <w:rPr>
          <w:sz w:val="20"/>
          <w:szCs w:val="20"/>
        </w:rPr>
        <w:t>n and an order rescinding any and all agreements that the plaintiffs contend entitled them to obtain shares of Company stock. On May 12, 2020, the court granted the Company’s motion for summary judgment limiting the Solomon Plaintiffs’ damages for the Equi</w:t>
      </w:r>
      <w:r>
        <w:rPr>
          <w:sz w:val="20"/>
          <w:szCs w:val="20"/>
        </w:rPr>
        <w:t>ty Claim to $47,42</w:t>
      </w:r>
      <w:r>
        <w:rPr>
          <w:sz w:val="20"/>
          <w:szCs w:val="20"/>
        </w:rPr>
        <w:t>0</w:t>
      </w:r>
      <w:r>
        <w:rPr>
          <w:sz w:val="20"/>
          <w:szCs w:val="20"/>
        </w:rPr>
        <w:t xml:space="preserve">. The Solomon Plaintiffs filed a notice of appeal of this summary judgment on June 9, 2020. On July 2, 2020, the court granted the Company’s motion to dismiss the First Solomon Suit for want of prosecution. On July 31, 2020, the Solomon </w:t>
      </w:r>
      <w:r>
        <w:rPr>
          <w:sz w:val="20"/>
          <w:szCs w:val="20"/>
        </w:rPr>
        <w:t>Plaintiffs, through new counsel, filed a motion for reconsideration of the dismissal of the First Solomon Suit for want of prosecution. On August 11, 2020, the Company filed an opposition brief against the Solomon Plaintiffs’ motion for reconsideration. On</w:t>
      </w:r>
      <w:r>
        <w:rPr>
          <w:sz w:val="20"/>
          <w:szCs w:val="20"/>
        </w:rPr>
        <w:t xml:space="preserve"> August 17, 2020, the Solomon Plaintiffs filed a reply brief in support of their motion for reconsideration. On September 2, 2020, the Solomon Plaintiffs filed a notice of appeal of the dismissal for want of prosecution.</w:t>
      </w:r>
      <w:r>
        <w:rPr>
          <w:sz w:val="20"/>
          <w:szCs w:val="20"/>
        </w:rPr>
        <w:t xml:space="preserve"> </w:t>
      </w:r>
    </w:p>
    <w:p w:rsidR="00000000" w:rsidRDefault="00FF2C06">
      <w:pPr>
        <w:pStyle w:val="a3"/>
        <w:spacing w:before="0" w:beforeAutospacing="0" w:after="0" w:afterAutospacing="0"/>
        <w:ind w:firstLine="547"/>
        <w:divId w:val="942499116"/>
        <w:rPr>
          <w:sz w:val="20"/>
          <w:szCs w:val="20"/>
        </w:rPr>
      </w:pPr>
      <w:r>
        <w:rPr>
          <w:sz w:val="20"/>
          <w:szCs w:val="20"/>
        </w:rPr>
        <w:t>On September 27, 2019, the Solomon</w:t>
      </w:r>
      <w:r>
        <w:rPr>
          <w:sz w:val="20"/>
          <w:szCs w:val="20"/>
        </w:rPr>
        <w:t xml:space="preserve"> Plaintiffs filed a new lawsuit (through new legal counsel) (“the Second Solomon Suit”) titled </w:t>
      </w:r>
      <w:r>
        <w:rPr>
          <w:i/>
          <w:iCs/>
          <w:sz w:val="20"/>
          <w:szCs w:val="20"/>
        </w:rPr>
        <w:t>Solomon Capital, LLC, Solomon Capital 401(K) Trust, Solomon Sharbat and Shelhav Raff v. Iovance Biotherapeutics, Inc., f/k/a/ Lion Biotechnologies Inc. f/k/a/ Ge</w:t>
      </w:r>
      <w:r>
        <w:rPr>
          <w:i/>
          <w:iCs/>
          <w:sz w:val="20"/>
          <w:szCs w:val="20"/>
        </w:rPr>
        <w:t>nesis Biopharma Inc., and Manish Singh</w:t>
      </w:r>
      <w:r>
        <w:rPr>
          <w:sz w:val="20"/>
          <w:szCs w:val="20"/>
        </w:rPr>
        <w:t xml:space="preserve"> in the Supreme Court of the State of New York, County of New York (index no. 655668/2019). In the Second Solomon Suit, the Solomon Plaintiffs allege that they are third party beneficiaries of a “finder’s fee agreement</w:t>
      </w:r>
      <w:r>
        <w:rPr>
          <w:sz w:val="20"/>
          <w:szCs w:val="20"/>
        </w:rPr>
        <w:t>” that prior management entered into with a third party unlicensed entity in 2012 in connection with seeking financing, that an agreement or understanding existed between the Company and the plaintiffs that the plaintiffs would be paid fees and commissions</w:t>
      </w:r>
      <w:r>
        <w:rPr>
          <w:sz w:val="20"/>
          <w:szCs w:val="20"/>
        </w:rPr>
        <w:t xml:space="preserve"> (in cash and stock) if they obtained financing for the Company, and that they directly </w:t>
      </w:r>
    </w:p>
    <w:p w:rsidR="00000000" w:rsidRDefault="00FF2C06">
      <w:pPr>
        <w:pStyle w:val="a3"/>
        <w:spacing w:before="480" w:beforeAutospacing="0" w:after="0" w:afterAutospacing="0"/>
        <w:jc w:val="center"/>
        <w:divId w:val="1827041295"/>
        <w:rPr>
          <w:sz w:val="20"/>
          <w:szCs w:val="20"/>
        </w:rPr>
      </w:pPr>
      <w:r>
        <w:rPr>
          <w:sz w:val="20"/>
          <w:szCs w:val="20"/>
        </w:rPr>
        <w:t>22</w:t>
      </w:r>
    </w:p>
    <w:p w:rsidR="00000000" w:rsidRDefault="00FF2C06">
      <w:pPr>
        <w:pStyle w:val="a3"/>
        <w:spacing w:before="0" w:beforeAutospacing="0" w:after="600" w:afterAutospacing="0"/>
        <w:divId w:val="473833423"/>
        <w:rPr>
          <w:sz w:val="20"/>
          <w:szCs w:val="20"/>
        </w:rPr>
      </w:pPr>
      <w:hyperlink w:anchor="TOC" w:history="1">
        <w:r>
          <w:rPr>
            <w:rStyle w:val="a4"/>
            <w:sz w:val="20"/>
            <w:szCs w:val="20"/>
          </w:rPr>
          <w:t>Table of Contents</w:t>
        </w:r>
      </w:hyperlink>
    </w:p>
    <w:p w:rsidR="00000000" w:rsidRDefault="00FF2C06">
      <w:pPr>
        <w:pStyle w:val="a3"/>
        <w:spacing w:before="0" w:beforeAutospacing="0" w:after="200" w:afterAutospacing="0"/>
        <w:divId w:val="1206018943"/>
        <w:rPr>
          <w:sz w:val="20"/>
          <w:szCs w:val="20"/>
        </w:rPr>
      </w:pPr>
      <w:r>
        <w:rPr>
          <w:sz w:val="20"/>
          <w:szCs w:val="20"/>
        </w:rPr>
        <w:t>and indirectly introduced investors to the Company who invested in the Company, or were willing to invest in the Company</w:t>
      </w:r>
      <w:r>
        <w:rPr>
          <w:sz w:val="20"/>
          <w:szCs w:val="20"/>
        </w:rPr>
        <w:t>. Finally, the Solomon Plaintiffs allege that they were promised a license to use the Company’s technology in Israel. The plaintiffs claim that the Company breached the foregoing understandings, promises and agreements and, as a result, they are entitled t</w:t>
      </w:r>
      <w:r>
        <w:rPr>
          <w:sz w:val="20"/>
          <w:szCs w:val="20"/>
        </w:rPr>
        <w:t>o certain damages. The Solomon Plaintiffs also allege that Manish Singh, the Company’s former Chief Executive Officer, committed fraud and took shares belonging to them. On February 18, 2020, the Company filed a removal petition and removed the Second Solo</w:t>
      </w:r>
      <w:r>
        <w:rPr>
          <w:sz w:val="20"/>
          <w:szCs w:val="20"/>
        </w:rPr>
        <w:t>mon Suit to the United States District Court for the Southern District of New York, where the case has been assigned case no. 1:20-cv-1391. The Company has not yet responded to the complaint in the Second Solomon Suit. On May 22, 2020, the Company moved to</w:t>
      </w:r>
      <w:r>
        <w:rPr>
          <w:sz w:val="20"/>
          <w:szCs w:val="20"/>
        </w:rPr>
        <w:t xml:space="preserve"> dismiss the Second Solomon Suit for lack of personal jurisdiction. On July 17, 2020, the Solomon Plaintiffs filed an opposition brief against the Company’s motion to dismiss for lack of personal jurisdiction. On August 7, 2020, the Company filed a reply b</w:t>
      </w:r>
      <w:r>
        <w:rPr>
          <w:sz w:val="20"/>
          <w:szCs w:val="20"/>
        </w:rPr>
        <w:t>rief in support of the Company’s motion to dismiss for lack of personal jurisdiction</w:t>
      </w:r>
      <w:r>
        <w:rPr>
          <w:sz w:val="20"/>
          <w:szCs w:val="20"/>
        </w:rPr>
        <w:t>.</w:t>
      </w:r>
    </w:p>
    <w:p w:rsidR="00000000" w:rsidRDefault="00FF2C06">
      <w:pPr>
        <w:pStyle w:val="a3"/>
        <w:spacing w:before="0" w:beforeAutospacing="0" w:after="200" w:afterAutospacing="0"/>
        <w:ind w:firstLine="547"/>
        <w:divId w:val="1206018943"/>
        <w:rPr>
          <w:sz w:val="20"/>
          <w:szCs w:val="20"/>
        </w:rPr>
      </w:pPr>
      <w:r>
        <w:rPr>
          <w:sz w:val="20"/>
          <w:szCs w:val="20"/>
        </w:rPr>
        <w:t>The Company intends to vigorously defend these complaints and pursue its counterclaims, as applicable. At the current stage of the litigation, in both the First Solomon S</w:t>
      </w:r>
      <w:r>
        <w:rPr>
          <w:sz w:val="20"/>
          <w:szCs w:val="20"/>
        </w:rPr>
        <w:t>uit and the Second Solomon Suit, it is not possible to estimate the amount or range of possible loss that might result from an adverse judgment or a settlement of these matters.</w:t>
      </w:r>
    </w:p>
    <w:p w:rsidR="00000000" w:rsidRDefault="00FF2C06">
      <w:pPr>
        <w:pStyle w:val="a3"/>
        <w:spacing w:before="0" w:beforeAutospacing="0" w:after="200" w:afterAutospacing="0"/>
        <w:ind w:firstLine="547"/>
        <w:divId w:val="1206018943"/>
        <w:rPr>
          <w:sz w:val="20"/>
          <w:szCs w:val="20"/>
        </w:rPr>
      </w:pPr>
      <w:r>
        <w:rPr>
          <w:sz w:val="20"/>
          <w:szCs w:val="20"/>
          <w:u w:val="single"/>
        </w:rPr>
        <w:t>Litigation Involving Dr. Steven Fischkof</w:t>
      </w:r>
      <w:r>
        <w:rPr>
          <w:sz w:val="20"/>
          <w:szCs w:val="20"/>
          <w:u w:val="single"/>
        </w:rPr>
        <w:t>f</w:t>
      </w:r>
      <w:r>
        <w:rPr>
          <w:sz w:val="20"/>
          <w:szCs w:val="20"/>
        </w:rPr>
        <w:t>. On June 13, 2017, in an action titl</w:t>
      </w:r>
      <w:r>
        <w:rPr>
          <w:sz w:val="20"/>
          <w:szCs w:val="20"/>
        </w:rPr>
        <w:t>ed </w:t>
      </w:r>
      <w:r>
        <w:rPr>
          <w:i/>
          <w:iCs/>
          <w:sz w:val="20"/>
          <w:szCs w:val="20"/>
        </w:rPr>
        <w:t>Steven Fischkoff v. Lion Biotechnologies, Inc. and Maria Fardis</w:t>
      </w:r>
      <w:r>
        <w:rPr>
          <w:sz w:val="20"/>
          <w:szCs w:val="20"/>
        </w:rPr>
        <w:t xml:space="preserve">, Dr. Steven Fischkoff, the Company’s former Vice President and Chief Medical Officer, filed a lawsuit against the Company in the Supreme Court of the State of New York, County of New York. </w:t>
      </w:r>
      <w:r>
        <w:rPr>
          <w:sz w:val="20"/>
          <w:szCs w:val="20"/>
        </w:rPr>
        <w:t>Dr. Fischkoff was dismissed by the Company on March 28, 2017. Dr. Fischkoff was terminated “for cause” as that term is defined in his employment agreement. In his complaint, Dr. Fischkoff alleges breaches of his employment agreement and violation of New Yo</w:t>
      </w:r>
      <w:r>
        <w:rPr>
          <w:sz w:val="20"/>
          <w:szCs w:val="20"/>
        </w:rPr>
        <w:t>rk Labor Law for failure to pay monies purportedly owed to him, and seeks to recover amounts including severance pay and retention bonus (totaling $300,000), a prorated incentive bonus, and amounts relating to unvested options to 150,000 shares of the Comp</w:t>
      </w:r>
      <w:r>
        <w:rPr>
          <w:sz w:val="20"/>
          <w:szCs w:val="20"/>
        </w:rPr>
        <w:t xml:space="preserve">any’s common stock, together with prejudgment interest, costs, expenses and attorneys’ fees. On July 5, 2017, the Company filed a removal petition and removed the lawsuit to the United States District Court for the Southern District of New York, where the </w:t>
      </w:r>
      <w:r>
        <w:rPr>
          <w:sz w:val="20"/>
          <w:szCs w:val="20"/>
        </w:rPr>
        <w:t>case has been assigned case no. 1:17-cv-05041. On July 14, 2017, the Company filed a partial answer and counterclaims against Dr. Fischkoff, denying his allegations, and alleging breach of contract and related claims, breach of fiduciary duty, and state an</w:t>
      </w:r>
      <w:r>
        <w:rPr>
          <w:sz w:val="20"/>
          <w:szCs w:val="20"/>
        </w:rPr>
        <w:t>d federal trade secret misappropriation and related claims, and sought a temporary restraining order and preliminary injunction against Dr. Fischkoff. On July 18, 2017, the court issued a temporary restraining order against Dr. Fischkoff requiring him to r</w:t>
      </w:r>
      <w:r>
        <w:rPr>
          <w:sz w:val="20"/>
          <w:szCs w:val="20"/>
        </w:rPr>
        <w:t>eturn the Company’s materials, prohibiting him from disclosing or using the Company’s materials, and granting expedited discovery. On June 25, 2018, pursuant to a stipulation between the parties, the court entered a permanent injunction prohibiting Dr. Fis</w:t>
      </w:r>
      <w:r>
        <w:rPr>
          <w:sz w:val="20"/>
          <w:szCs w:val="20"/>
        </w:rPr>
        <w:t>chkoff from disclosing, possessing, or using any of the Company’s proprietary materials or trade secrets. On July 5, 2018, the court entered an order dismissing two of Dr. Fischkoff’s claims against the Company and Dr. Fardis. On October 18, 2018, Dr. Fisc</w:t>
      </w:r>
      <w:r>
        <w:rPr>
          <w:sz w:val="20"/>
          <w:szCs w:val="20"/>
        </w:rPr>
        <w:t>hkoff amended his complaint to assert a new claim for defamation arising from SEC filings in which the Company provided the information about this litigation. On September 23, 2020, the parties reached a confidential settlement in this matter, and on Octob</w:t>
      </w:r>
      <w:r>
        <w:rPr>
          <w:sz w:val="20"/>
          <w:szCs w:val="20"/>
        </w:rPr>
        <w:t>er 13, 2020, the court approved a stipulation of dismissal with prejudice filed by the parties.</w:t>
      </w:r>
    </w:p>
    <w:p w:rsidR="00000000" w:rsidRDefault="00FF2C06">
      <w:pPr>
        <w:pStyle w:val="a3"/>
        <w:spacing w:before="0" w:beforeAutospacing="0" w:after="200" w:afterAutospacing="0"/>
        <w:ind w:firstLine="547"/>
        <w:divId w:val="1206018943"/>
        <w:rPr>
          <w:sz w:val="20"/>
          <w:szCs w:val="20"/>
        </w:rPr>
      </w:pPr>
      <w:r>
        <w:rPr>
          <w:sz w:val="20"/>
          <w:szCs w:val="20"/>
          <w:u w:val="single"/>
        </w:rPr>
        <w:t>Other Matters</w:t>
      </w:r>
      <w:r>
        <w:rPr>
          <w:sz w:val="20"/>
          <w:szCs w:val="20"/>
          <w:u w:val="single"/>
        </w:rPr>
        <w:t>.</w:t>
      </w:r>
      <w:r>
        <w:rPr>
          <w:sz w:val="20"/>
          <w:szCs w:val="20"/>
        </w:rPr>
        <w:t xml:space="preserve"> In connection with the Company’s reincorporation from Nevada to Delaware in 2017, the Company (as a Delaware corporation) untimely filed a post-e</w:t>
      </w:r>
      <w:r>
        <w:rPr>
          <w:sz w:val="20"/>
          <w:szCs w:val="20"/>
        </w:rPr>
        <w:t>ffective amendment to adopt a Form S-8 registration statement that the Company filed (as a Nevada corporation) to register the shares underlying the Company’s 2011 Equity Incentive Plan. Before the Company filed the required post-effective amendment, optio</w:t>
      </w:r>
      <w:r>
        <w:rPr>
          <w:sz w:val="20"/>
          <w:szCs w:val="20"/>
        </w:rPr>
        <w:t xml:space="preserve">ns to purchase 200,000 shares were exercised under the 2011 Equity Incentive Plan. The effect of the delayed post-effective amendment filing on the 200,000 option shares is uncertain, but the issuance and sale of the shares may not have been in compliance </w:t>
      </w:r>
      <w:r>
        <w:rPr>
          <w:sz w:val="20"/>
          <w:szCs w:val="20"/>
        </w:rPr>
        <w:t xml:space="preserve">with the Form S-8 registration statement. The existence of any liability to the Company, and the amount of any such liability to the Company, as a result of the issuance of the 200,000 shares is uncertain. Accordingly, no accrual for a potential claim has </w:t>
      </w:r>
      <w:r>
        <w:rPr>
          <w:sz w:val="20"/>
          <w:szCs w:val="20"/>
        </w:rPr>
        <w:t>been made by the Company in its condensed consolidated financial statements.</w:t>
      </w:r>
    </w:p>
    <w:p w:rsidR="00000000" w:rsidRDefault="00FF2C06">
      <w:pPr>
        <w:pStyle w:val="a3"/>
        <w:spacing w:before="0" w:beforeAutospacing="0" w:after="0" w:afterAutospacing="0"/>
        <w:ind w:firstLine="547"/>
        <w:divId w:val="1206018943"/>
        <w:rPr>
          <w:sz w:val="20"/>
          <w:szCs w:val="20"/>
        </w:rPr>
      </w:pPr>
      <w:r>
        <w:rPr>
          <w:sz w:val="20"/>
          <w:szCs w:val="20"/>
        </w:rPr>
        <w:t xml:space="preserve">The Company may be involved, from time to time, in legal proceedings and claims arising in the ordinary course of its business. Such matters are subject to many uncertainties and </w:t>
      </w:r>
      <w:r>
        <w:rPr>
          <w:sz w:val="20"/>
          <w:szCs w:val="20"/>
        </w:rPr>
        <w:t>outcomes are not predictable with assurance. The Company accrues amounts, to the extent they can be reasonably estimated, that it believes are adequate to address any liabilities related to legal proceedings and other loss contingencies that it believes wi</w:t>
      </w:r>
      <w:r>
        <w:rPr>
          <w:sz w:val="20"/>
          <w:szCs w:val="20"/>
        </w:rPr>
        <w:t>ll result in a probable loss. While there can be no assurances as to the ultimate outcome of any legal proceeding or other loss contingency involving the Company, management does not believe any pending matter will be resolved in a manner that would have a</w:t>
      </w:r>
      <w:r>
        <w:rPr>
          <w:sz w:val="20"/>
          <w:szCs w:val="20"/>
        </w:rPr>
        <w:t xml:space="preserve"> material adverse effect on its financial position, results of operations or cash flows.</w:t>
      </w:r>
    </w:p>
    <w:p w:rsidR="00000000" w:rsidRDefault="00FF2C06">
      <w:pPr>
        <w:pStyle w:val="a3"/>
        <w:spacing w:before="0" w:beforeAutospacing="0" w:after="0" w:afterAutospacing="0"/>
        <w:ind w:firstLine="547"/>
        <w:divId w:val="1206018943"/>
        <w:rPr>
          <w:sz w:val="20"/>
          <w:szCs w:val="20"/>
        </w:rPr>
      </w:pPr>
      <w:r>
        <w:rPr>
          <w:sz w:val="20"/>
          <w:szCs w:val="20"/>
        </w:rPr>
        <w:t>​</w:t>
      </w:r>
    </w:p>
    <w:p w:rsidR="00000000" w:rsidRDefault="00FF2C06">
      <w:pPr>
        <w:pStyle w:val="a3"/>
        <w:spacing w:before="480" w:beforeAutospacing="0" w:after="0" w:afterAutospacing="0"/>
        <w:jc w:val="center"/>
        <w:divId w:val="858130373"/>
        <w:rPr>
          <w:sz w:val="20"/>
          <w:szCs w:val="20"/>
        </w:rPr>
      </w:pPr>
      <w:r>
        <w:rPr>
          <w:sz w:val="20"/>
          <w:szCs w:val="20"/>
        </w:rPr>
        <w:t>23</w:t>
      </w:r>
    </w:p>
    <w:p w:rsidR="00000000" w:rsidRDefault="00FF2C06">
      <w:pPr>
        <w:pStyle w:val="a3"/>
        <w:spacing w:before="0" w:beforeAutospacing="0" w:after="600" w:afterAutospacing="0"/>
        <w:divId w:val="2030133141"/>
        <w:rPr>
          <w:sz w:val="20"/>
          <w:szCs w:val="20"/>
        </w:rPr>
      </w:pPr>
      <w:hyperlink w:anchor="TOC" w:history="1">
        <w:r>
          <w:rPr>
            <w:rStyle w:val="a4"/>
            <w:sz w:val="20"/>
            <w:szCs w:val="20"/>
          </w:rPr>
          <w:t>Table of Contents</w:t>
        </w:r>
      </w:hyperlink>
    </w:p>
    <w:p w:rsidR="00000000" w:rsidRDefault="00FF2C06">
      <w:pPr>
        <w:pStyle w:val="a3"/>
        <w:spacing w:before="0" w:beforeAutospacing="0" w:after="200" w:afterAutospacing="0"/>
        <w:divId w:val="1791895849"/>
        <w:rPr>
          <w:b/>
          <w:bCs/>
          <w:sz w:val="20"/>
          <w:szCs w:val="20"/>
        </w:rPr>
      </w:pPr>
      <w:r>
        <w:rPr>
          <w:b/>
          <w:bCs/>
          <w:sz w:val="20"/>
          <w:szCs w:val="20"/>
          <w:u w:val="single"/>
        </w:rPr>
        <w:t>NOTE 9. LEASES</w:t>
      </w:r>
    </w:p>
    <w:p w:rsidR="00000000" w:rsidRDefault="00FF2C06">
      <w:pPr>
        <w:pStyle w:val="a3"/>
        <w:spacing w:before="0" w:beforeAutospacing="0" w:after="200" w:afterAutospacing="0"/>
        <w:divId w:val="1791895849"/>
        <w:rPr>
          <w:b/>
          <w:bCs/>
          <w:sz w:val="20"/>
          <w:szCs w:val="20"/>
        </w:rPr>
      </w:pPr>
      <w:r>
        <w:rPr>
          <w:b/>
          <w:bCs/>
          <w:sz w:val="20"/>
          <w:szCs w:val="20"/>
        </w:rPr>
        <w:t>Facilities Leases</w:t>
      </w:r>
    </w:p>
    <w:p w:rsidR="00000000" w:rsidRDefault="00FF2C06">
      <w:pPr>
        <w:pStyle w:val="a3"/>
        <w:spacing w:before="0" w:beforeAutospacing="0" w:after="200" w:afterAutospacing="0"/>
        <w:ind w:firstLine="547"/>
        <w:divId w:val="1791895849"/>
        <w:rPr>
          <w:sz w:val="20"/>
          <w:szCs w:val="20"/>
        </w:rPr>
      </w:pPr>
      <w:r>
        <w:rPr>
          <w:sz w:val="20"/>
          <w:szCs w:val="20"/>
        </w:rPr>
        <w:t>The Company has evaluated the following existing facility leases and determined that,</w:t>
      </w:r>
      <w:r>
        <w:rPr>
          <w:sz w:val="20"/>
          <w:szCs w:val="20"/>
        </w:rPr>
        <w:t xml:space="preserve"> effective upon the adoption of Topic 842, they were all operating leases. Operating lease right-of-use assets and liabilities were recognized as of January 1, 2019 based on the present value of the remaining lease payments over the lease term. As the Comp</w:t>
      </w:r>
      <w:r>
        <w:rPr>
          <w:sz w:val="20"/>
          <w:szCs w:val="20"/>
        </w:rPr>
        <w:t>any’s leases do not provide an implicit rate, the Company utilized a third party in determining an incremental borrowing rate based on the information available as of the adoption date of Topic 842 to obtain the present value of lease payments. The Company</w:t>
      </w:r>
      <w:r>
        <w:rPr>
          <w:sz w:val="20"/>
          <w:szCs w:val="20"/>
        </w:rPr>
        <w:t>’s lease terms may include options to extend or terminate the lease which are included in the lease term when it is reasonably certain that it will exercise any such options. Lease expense is recognized on a straight-line basis over the expected lease term</w:t>
      </w:r>
      <w:r>
        <w:rPr>
          <w:sz w:val="20"/>
          <w:szCs w:val="20"/>
        </w:rPr>
        <w:t>. The Company elected not to apply the recognition requirements of Topic 842 for short-term leases that have a lease term of 12 months or less.</w:t>
      </w:r>
    </w:p>
    <w:p w:rsidR="00000000" w:rsidRDefault="00FF2C06">
      <w:pPr>
        <w:pStyle w:val="a3"/>
        <w:spacing w:before="0" w:beforeAutospacing="0" w:after="200" w:afterAutospacing="0"/>
        <w:divId w:val="1791895849"/>
        <w:rPr>
          <w:i/>
          <w:iCs/>
          <w:sz w:val="20"/>
          <w:szCs w:val="20"/>
        </w:rPr>
      </w:pPr>
      <w:r>
        <w:rPr>
          <w:i/>
          <w:iCs/>
          <w:sz w:val="20"/>
          <w:szCs w:val="20"/>
        </w:rPr>
        <w:t>Tampa Lease</w:t>
      </w:r>
    </w:p>
    <w:p w:rsidR="00000000" w:rsidRDefault="00FF2C06">
      <w:pPr>
        <w:pStyle w:val="a3"/>
        <w:spacing w:before="0" w:beforeAutospacing="0" w:after="200" w:afterAutospacing="0"/>
        <w:ind w:firstLine="547"/>
        <w:divId w:val="1791895849"/>
        <w:rPr>
          <w:sz w:val="20"/>
          <w:szCs w:val="20"/>
        </w:rPr>
      </w:pPr>
      <w:r>
        <w:rPr>
          <w:sz w:val="20"/>
          <w:szCs w:val="20"/>
        </w:rPr>
        <w:t>In December 2014, the Company commenced a five-year non-cancellable operating lease with the Univers</w:t>
      </w:r>
      <w:r>
        <w:rPr>
          <w:sz w:val="20"/>
          <w:szCs w:val="20"/>
        </w:rPr>
        <w:t>ity of South Florida Research Foundation for a 5,115 square foot facility located in Tampa, Florida. The facility is part of the University of South Florida research park and is used as the Company’s research and development facilities. The Company had the</w:t>
      </w:r>
      <w:r>
        <w:rPr>
          <w:sz w:val="20"/>
          <w:szCs w:val="20"/>
        </w:rPr>
        <w:t xml:space="preserve"> option to extend the lease term of this facility for an additional five-year period on the same terms and conditions, except that the base rent for the renewal term will be increased in accordance with the applicable consumer price index.</w:t>
      </w:r>
    </w:p>
    <w:p w:rsidR="00000000" w:rsidRDefault="00FF2C06">
      <w:pPr>
        <w:pStyle w:val="a3"/>
        <w:spacing w:before="0" w:beforeAutospacing="0" w:after="200" w:afterAutospacing="0"/>
        <w:ind w:firstLine="547"/>
        <w:divId w:val="1791895849"/>
        <w:rPr>
          <w:sz w:val="20"/>
          <w:szCs w:val="20"/>
        </w:rPr>
      </w:pPr>
      <w:r>
        <w:rPr>
          <w:sz w:val="20"/>
          <w:szCs w:val="20"/>
        </w:rPr>
        <w:t>In April 2015, t</w:t>
      </w:r>
      <w:r>
        <w:rPr>
          <w:sz w:val="20"/>
          <w:szCs w:val="20"/>
        </w:rPr>
        <w:t>he Company amended the original lease agreement to increase the rentable space to 6,043 square feet. In September 2016, the Company further increased the rentable space to 8,673 square feet. The per square foot cost and term of the lease were unchanged, an</w:t>
      </w:r>
      <w:r>
        <w:rPr>
          <w:sz w:val="20"/>
          <w:szCs w:val="20"/>
        </w:rPr>
        <w:t>d rent payments are approximately $20,000 per month. In December 2019, the Company entered into an agreement to extend the lease term to December 18, 2024 for approximately $20,500 a month.</w:t>
      </w:r>
    </w:p>
    <w:p w:rsidR="00000000" w:rsidRDefault="00FF2C06">
      <w:pPr>
        <w:pStyle w:val="a3"/>
        <w:spacing w:before="0" w:beforeAutospacing="0" w:after="200" w:afterAutospacing="0"/>
        <w:ind w:firstLine="547"/>
        <w:divId w:val="1791895849"/>
        <w:rPr>
          <w:sz w:val="20"/>
          <w:szCs w:val="20"/>
        </w:rPr>
      </w:pPr>
      <w:r>
        <w:rPr>
          <w:sz w:val="20"/>
          <w:szCs w:val="20"/>
        </w:rPr>
        <w:t>In June 2020, the Company amended the lease agreement to further i</w:t>
      </w:r>
      <w:r>
        <w:rPr>
          <w:sz w:val="20"/>
          <w:szCs w:val="20"/>
        </w:rPr>
        <w:t>ncrease the rentable space to 13,139 square feet and extend the lease term to June 5, 2025 for approximately $34,500 a month.</w:t>
      </w:r>
    </w:p>
    <w:p w:rsidR="00000000" w:rsidRDefault="00FF2C06">
      <w:pPr>
        <w:pStyle w:val="a3"/>
        <w:spacing w:before="0" w:beforeAutospacing="0" w:after="200" w:afterAutospacing="0"/>
        <w:divId w:val="1791895849"/>
        <w:rPr>
          <w:i/>
          <w:iCs/>
          <w:sz w:val="20"/>
          <w:szCs w:val="20"/>
        </w:rPr>
      </w:pPr>
      <w:r>
        <w:rPr>
          <w:i/>
          <w:iCs/>
          <w:sz w:val="20"/>
          <w:szCs w:val="20"/>
        </w:rPr>
        <w:t>San Carlos Lease</w:t>
      </w:r>
    </w:p>
    <w:p w:rsidR="00000000" w:rsidRDefault="00FF2C06">
      <w:pPr>
        <w:pStyle w:val="a3"/>
        <w:spacing w:before="0" w:beforeAutospacing="0" w:after="200" w:afterAutospacing="0"/>
        <w:ind w:firstLine="547"/>
        <w:divId w:val="1791895849"/>
        <w:rPr>
          <w:sz w:val="20"/>
          <w:szCs w:val="20"/>
        </w:rPr>
      </w:pPr>
      <w:r>
        <w:rPr>
          <w:sz w:val="20"/>
          <w:szCs w:val="20"/>
        </w:rPr>
        <w:t>On August 4, 2016, the Company entered into an agreement to lease 8,733 square feet in San Carlos, California. Th</w:t>
      </w:r>
      <w:r>
        <w:rPr>
          <w:sz w:val="20"/>
          <w:szCs w:val="20"/>
        </w:rPr>
        <w:t>e term of the lease is</w:t>
      </w:r>
      <w:r>
        <w:rPr>
          <w:sz w:val="20"/>
          <w:szCs w:val="20"/>
        </w:rPr>
        <w:t xml:space="preserve"> </w:t>
      </w:r>
      <w:r>
        <w:rPr>
          <w:sz w:val="20"/>
          <w:szCs w:val="20"/>
        </w:rPr>
        <w:t>54 month</w:t>
      </w:r>
      <w:r>
        <w:rPr>
          <w:sz w:val="20"/>
          <w:szCs w:val="20"/>
        </w:rPr>
        <w:t>s</w:t>
      </w:r>
      <w:r>
        <w:rPr>
          <w:sz w:val="20"/>
          <w:szCs w:val="20"/>
        </w:rPr>
        <w:t xml:space="preserve"> subsequent to the commencement date and will expire in April 2021. Monthly lease payments are approximately $38,000</w:t>
      </w:r>
      <w:r>
        <w:rPr>
          <w:sz w:val="20"/>
          <w:szCs w:val="20"/>
        </w:rPr>
        <w:t>.</w:t>
      </w:r>
    </w:p>
    <w:p w:rsidR="00000000" w:rsidRDefault="00FF2C06">
      <w:pPr>
        <w:pStyle w:val="a3"/>
        <w:spacing w:before="0" w:beforeAutospacing="0" w:after="200" w:afterAutospacing="0"/>
        <w:ind w:firstLine="547"/>
        <w:divId w:val="1791895849"/>
        <w:rPr>
          <w:sz w:val="20"/>
          <w:szCs w:val="20"/>
        </w:rPr>
      </w:pPr>
      <w:r>
        <w:rPr>
          <w:sz w:val="20"/>
          <w:szCs w:val="20"/>
        </w:rPr>
        <w:t>On April 28, 2017, the Company entered into a sublease agreement with Teradata US, Inc., pursuant to which</w:t>
      </w:r>
      <w:r>
        <w:rPr>
          <w:sz w:val="20"/>
          <w:szCs w:val="20"/>
        </w:rPr>
        <w:t xml:space="preserve"> the Company agreed to sublease certain office space located adjacent to the Company’s headquarters for approximately $26,000 per month. The space consists of approximately 11,449 rentable square feet in the building located in San Carlos, California. The </w:t>
      </w:r>
      <w:r>
        <w:rPr>
          <w:sz w:val="20"/>
          <w:szCs w:val="20"/>
        </w:rPr>
        <w:t>sublease for this space expired on October 31, 2018. Monthly lease payments were approximately $26,000.</w:t>
      </w:r>
    </w:p>
    <w:p w:rsidR="00000000" w:rsidRDefault="00FF2C06">
      <w:pPr>
        <w:pStyle w:val="a3"/>
        <w:spacing w:before="0" w:beforeAutospacing="0" w:after="200" w:afterAutospacing="0"/>
        <w:ind w:firstLine="547"/>
        <w:divId w:val="1791895849"/>
        <w:rPr>
          <w:sz w:val="20"/>
          <w:szCs w:val="20"/>
        </w:rPr>
      </w:pPr>
      <w:r>
        <w:rPr>
          <w:sz w:val="20"/>
          <w:szCs w:val="20"/>
        </w:rPr>
        <w:t xml:space="preserve">On October 19, 2018, the Company entered into an agreement to lease 12,322 square feet of office </w:t>
      </w:r>
      <w:r>
        <w:rPr>
          <w:sz w:val="20"/>
          <w:szCs w:val="20"/>
        </w:rPr>
        <w:t>space located adjacent to the Company’s headquarters in San Carlos, California. This lease replaces the sublease of 11,449 square feet of office space in the same facility that expired on October 31, 2018. The term of the lease is</w:t>
      </w:r>
      <w:r>
        <w:rPr>
          <w:sz w:val="20"/>
          <w:szCs w:val="20"/>
        </w:rPr>
        <w:t xml:space="preserve"> </w:t>
      </w:r>
      <w:r>
        <w:rPr>
          <w:sz w:val="20"/>
          <w:szCs w:val="20"/>
        </w:rPr>
        <w:t>30 month</w:t>
      </w:r>
      <w:r>
        <w:rPr>
          <w:sz w:val="20"/>
          <w:szCs w:val="20"/>
        </w:rPr>
        <w:t>s</w:t>
      </w:r>
      <w:r>
        <w:rPr>
          <w:sz w:val="20"/>
          <w:szCs w:val="20"/>
        </w:rPr>
        <w:t xml:space="preserve"> subsequent to t</w:t>
      </w:r>
      <w:r>
        <w:rPr>
          <w:sz w:val="20"/>
          <w:szCs w:val="20"/>
        </w:rPr>
        <w:t>he commencement date, November 1, 2018, and will expire in April 2021. Monthly lease payments are approximately $59,000, subject to an annual increase of 3%</w:t>
      </w:r>
      <w:r>
        <w:rPr>
          <w:sz w:val="20"/>
          <w:szCs w:val="20"/>
        </w:rPr>
        <w:t>.</w:t>
      </w:r>
    </w:p>
    <w:p w:rsidR="00000000" w:rsidRDefault="00FF2C06">
      <w:pPr>
        <w:pStyle w:val="a3"/>
        <w:spacing w:before="0" w:beforeAutospacing="0" w:after="200" w:afterAutospacing="0"/>
        <w:ind w:firstLine="547"/>
        <w:divId w:val="1791895849"/>
        <w:rPr>
          <w:sz w:val="20"/>
          <w:szCs w:val="20"/>
        </w:rPr>
      </w:pPr>
      <w:r>
        <w:rPr>
          <w:sz w:val="20"/>
          <w:szCs w:val="20"/>
        </w:rPr>
        <w:t>On June 19, 2019, the Company entered into a first amendment (the “Amended Lease”) to its previous</w:t>
      </w:r>
      <w:r>
        <w:rPr>
          <w:sz w:val="20"/>
          <w:szCs w:val="20"/>
        </w:rPr>
        <w:t>ly disclosed lease agreement with Hudson Skyway Landing, LLC (the “Lease”) for additional space at its corporate headquarters in San Carlos, California. Under the Amended Lease, the Company will lease an additional 8,110 square feet (the “Expansion Space”)</w:t>
      </w:r>
      <w:r>
        <w:rPr>
          <w:sz w:val="20"/>
          <w:szCs w:val="20"/>
        </w:rPr>
        <w:t>, for a total of approximately 20,432 square feet of space on the first floor of the building located at 999 Skyway Road, San Carlos, California, commonly known as Skyway Landing II. The term of the Amended Lease remains the same as that of the Lease and e</w:t>
      </w:r>
      <w:r>
        <w:rPr>
          <w:sz w:val="20"/>
          <w:szCs w:val="20"/>
        </w:rPr>
        <w:t>xpires on April 30, 2021, unless earlier terminated in accordance with the Amended Lease. The Company’s monthly base rent for the Expansion Space under the Amended Lease will be approximately $39,000 for the first year, and $40,000 for the second year.</w:t>
      </w:r>
    </w:p>
    <w:p w:rsidR="00000000" w:rsidRDefault="00FF2C06">
      <w:pPr>
        <w:pStyle w:val="a3"/>
        <w:spacing w:before="0" w:beforeAutospacing="0" w:after="200" w:afterAutospacing="0"/>
        <w:divId w:val="1791895849"/>
        <w:rPr>
          <w:i/>
          <w:iCs/>
          <w:sz w:val="20"/>
          <w:szCs w:val="20"/>
        </w:rPr>
      </w:pPr>
      <w:r>
        <w:rPr>
          <w:i/>
          <w:iCs/>
          <w:sz w:val="20"/>
          <w:szCs w:val="20"/>
        </w:rPr>
        <w:t>New</w:t>
      </w:r>
      <w:r>
        <w:rPr>
          <w:i/>
          <w:iCs/>
          <w:sz w:val="20"/>
          <w:szCs w:val="20"/>
        </w:rPr>
        <w:t xml:space="preserve"> York Lease</w:t>
      </w:r>
    </w:p>
    <w:p w:rsidR="00000000" w:rsidRDefault="00FF2C06">
      <w:pPr>
        <w:pStyle w:val="a3"/>
        <w:spacing w:before="0" w:beforeAutospacing="0" w:after="0" w:afterAutospacing="0"/>
        <w:ind w:firstLine="547"/>
        <w:divId w:val="1791895849"/>
        <w:rPr>
          <w:sz w:val="20"/>
          <w:szCs w:val="20"/>
        </w:rPr>
      </w:pPr>
      <w:r>
        <w:rPr>
          <w:sz w:val="20"/>
          <w:szCs w:val="20"/>
        </w:rPr>
        <w:t xml:space="preserve">The Company leased office space in New York for a monthly rental of approximately $18,000 a month from January 2017 through July 2017. On June 5, 2017, the Company entered into an agreement whereby the Company will lease office space from </w:t>
      </w:r>
    </w:p>
    <w:p w:rsidR="00000000" w:rsidRDefault="00FF2C06">
      <w:pPr>
        <w:pStyle w:val="a3"/>
        <w:spacing w:before="480" w:beforeAutospacing="0" w:after="0" w:afterAutospacing="0"/>
        <w:jc w:val="center"/>
        <w:divId w:val="784034468"/>
        <w:rPr>
          <w:sz w:val="20"/>
          <w:szCs w:val="20"/>
        </w:rPr>
      </w:pPr>
      <w:r>
        <w:rPr>
          <w:sz w:val="20"/>
          <w:szCs w:val="20"/>
        </w:rPr>
        <w:t>24</w:t>
      </w:r>
    </w:p>
    <w:p w:rsidR="00000000" w:rsidRDefault="00FF2C06">
      <w:pPr>
        <w:pStyle w:val="a3"/>
        <w:spacing w:before="0" w:beforeAutospacing="0" w:after="600" w:afterAutospacing="0"/>
        <w:divId w:val="327903619"/>
        <w:rPr>
          <w:sz w:val="20"/>
          <w:szCs w:val="20"/>
        </w:rPr>
      </w:pPr>
      <w:hyperlink w:anchor="TOC" w:history="1">
        <w:r>
          <w:rPr>
            <w:rStyle w:val="a4"/>
            <w:sz w:val="20"/>
            <w:szCs w:val="20"/>
          </w:rPr>
          <w:t>Table of Contents</w:t>
        </w:r>
      </w:hyperlink>
    </w:p>
    <w:p w:rsidR="00000000" w:rsidRDefault="00FF2C06">
      <w:pPr>
        <w:pStyle w:val="a3"/>
        <w:spacing w:before="0" w:beforeAutospacing="0" w:after="200" w:afterAutospacing="0"/>
        <w:divId w:val="1775782675"/>
        <w:rPr>
          <w:sz w:val="20"/>
          <w:szCs w:val="20"/>
        </w:rPr>
      </w:pPr>
      <w:r>
        <w:rPr>
          <w:sz w:val="20"/>
          <w:szCs w:val="20"/>
        </w:rPr>
        <w:t>August 1, 2017 to July 31, 2018, for approximately $9,000 a month. On April </w:t>
      </w:r>
      <w:r>
        <w:rPr>
          <w:sz w:val="20"/>
          <w:szCs w:val="20"/>
        </w:rPr>
        <w:t>20, 2018, the Company entered into an agreement to extend the lease term to January 31, 2019 for approximately $7,000 a month. On November 2, 2018, the Company entered into an agreement to extend the lease term to July 31, 2019 for approximately $4,000 a m</w:t>
      </w:r>
      <w:r>
        <w:rPr>
          <w:sz w:val="20"/>
          <w:szCs w:val="20"/>
        </w:rPr>
        <w:t>onth. On May 1, 2019, the Company entered into an agreement to extend the lease term to January 31, 2020 for approximately $4,000 a month. On October 24, 2019, the Company entered into an agreement to extend the lease term to April 30, 2020 for approximate</w:t>
      </w:r>
      <w:r>
        <w:rPr>
          <w:sz w:val="20"/>
          <w:szCs w:val="20"/>
        </w:rPr>
        <w:t>ly $4,000 a month. On January 23, 2020, the Company entered into an agreement to extend the lease term to July 31, 2020 for approximately $4,000 a month. On May 24, 2020, the Company entered into an agreement to extend the lease term to October 31, 2020 fo</w:t>
      </w:r>
      <w:r>
        <w:rPr>
          <w:sz w:val="20"/>
          <w:szCs w:val="20"/>
        </w:rPr>
        <w:t>r approximately $4,000 a month. On September 1, 2020, the Company entered into an agreement to extend the lease term to January 31, 2021, for approximately $4,000 a month.</w:t>
      </w:r>
      <w:r>
        <w:rPr>
          <w:sz w:val="20"/>
          <w:szCs w:val="20"/>
        </w:rPr>
        <w:t xml:space="preserve"> </w:t>
      </w:r>
    </w:p>
    <w:p w:rsidR="00000000" w:rsidRDefault="00FF2C06">
      <w:pPr>
        <w:pStyle w:val="a3"/>
        <w:spacing w:before="0" w:beforeAutospacing="0" w:after="200" w:afterAutospacing="0"/>
        <w:divId w:val="1775782675"/>
        <w:rPr>
          <w:sz w:val="20"/>
          <w:szCs w:val="20"/>
        </w:rPr>
      </w:pPr>
      <w:r>
        <w:rPr>
          <w:i/>
          <w:iCs/>
          <w:sz w:val="20"/>
          <w:szCs w:val="20"/>
        </w:rPr>
        <w:t>Philadelphia Office Lease</w:t>
      </w:r>
    </w:p>
    <w:p w:rsidR="00000000" w:rsidRDefault="00FF2C06">
      <w:pPr>
        <w:pStyle w:val="a3"/>
        <w:spacing w:before="0" w:beforeAutospacing="0" w:after="200" w:afterAutospacing="0"/>
        <w:ind w:firstLine="547"/>
        <w:divId w:val="1775782675"/>
        <w:rPr>
          <w:sz w:val="20"/>
          <w:szCs w:val="20"/>
        </w:rPr>
      </w:pPr>
      <w:r>
        <w:rPr>
          <w:sz w:val="20"/>
          <w:szCs w:val="20"/>
        </w:rPr>
        <w:t xml:space="preserve">On May 2, 2019, the Company entered into an agreement to </w:t>
      </w:r>
      <w:r>
        <w:rPr>
          <w:sz w:val="20"/>
          <w:szCs w:val="20"/>
        </w:rPr>
        <w:t>lease approximately 1,500 square feet of office space in Philadelphia, Pennsylvania until July 1, 2019 for a rate of $2,000 a month, and then approximately 4,500 square feet of office space for the remainder of a</w:t>
      </w:r>
      <w:r>
        <w:rPr>
          <w:sz w:val="20"/>
          <w:szCs w:val="20"/>
        </w:rPr>
        <w:t xml:space="preserve"> </w:t>
      </w:r>
      <w:r>
        <w:rPr>
          <w:sz w:val="20"/>
          <w:szCs w:val="20"/>
        </w:rPr>
        <w:t>three-yea</w:t>
      </w:r>
      <w:r>
        <w:rPr>
          <w:sz w:val="20"/>
          <w:szCs w:val="20"/>
        </w:rPr>
        <w:t>r</w:t>
      </w:r>
      <w:r>
        <w:rPr>
          <w:sz w:val="20"/>
          <w:szCs w:val="20"/>
        </w:rPr>
        <w:t xml:space="preserve"> term at an initial rate of $11,0</w:t>
      </w:r>
      <w:r>
        <w:rPr>
          <w:sz w:val="20"/>
          <w:szCs w:val="20"/>
        </w:rPr>
        <w:t>63 per month, subject to annual increases of 2.5%</w:t>
      </w:r>
      <w:r>
        <w:rPr>
          <w:sz w:val="20"/>
          <w:szCs w:val="20"/>
        </w:rPr>
        <w:t>.</w:t>
      </w:r>
    </w:p>
    <w:p w:rsidR="00000000" w:rsidRDefault="00FF2C06">
      <w:pPr>
        <w:pStyle w:val="a3"/>
        <w:spacing w:before="0" w:beforeAutospacing="0" w:after="200" w:afterAutospacing="0"/>
        <w:ind w:firstLine="547"/>
        <w:divId w:val="1775782675"/>
        <w:rPr>
          <w:sz w:val="20"/>
          <w:szCs w:val="20"/>
        </w:rPr>
      </w:pPr>
      <w:r>
        <w:rPr>
          <w:sz w:val="20"/>
          <w:szCs w:val="20"/>
        </w:rPr>
        <w:t>On August 1, 2020, the Company entered into an agreement to lease approximately 2,965 square feet of a training facility space in Philadelphia, Pennsylvania for a twelve month term at a rate of approximate</w:t>
      </w:r>
      <w:r>
        <w:rPr>
          <w:sz w:val="20"/>
          <w:szCs w:val="20"/>
        </w:rPr>
        <w:t>ly $6,500 per month.</w:t>
      </w:r>
    </w:p>
    <w:p w:rsidR="00000000" w:rsidRDefault="00FF2C06">
      <w:pPr>
        <w:pStyle w:val="a3"/>
        <w:spacing w:before="0" w:beforeAutospacing="0" w:after="200" w:afterAutospacing="0"/>
        <w:divId w:val="1775782675"/>
        <w:rPr>
          <w:sz w:val="20"/>
          <w:szCs w:val="20"/>
        </w:rPr>
      </w:pPr>
      <w:r>
        <w:rPr>
          <w:i/>
          <w:iCs/>
          <w:sz w:val="20"/>
          <w:szCs w:val="20"/>
        </w:rPr>
        <w:t>Commercial Manufacturing Facility Agreement</w:t>
      </w:r>
    </w:p>
    <w:p w:rsidR="00000000" w:rsidRDefault="00FF2C06">
      <w:pPr>
        <w:pStyle w:val="a3"/>
        <w:spacing w:before="0" w:beforeAutospacing="0" w:after="200" w:afterAutospacing="0"/>
        <w:ind w:firstLine="547"/>
        <w:divId w:val="1775782675"/>
        <w:rPr>
          <w:sz w:val="20"/>
          <w:szCs w:val="20"/>
        </w:rPr>
      </w:pPr>
      <w:r>
        <w:rPr>
          <w:sz w:val="20"/>
          <w:szCs w:val="20"/>
        </w:rPr>
        <w:t>On May 28, 2019, the Company entered into a lease agreement with 300 Rouse Boulevard, LLC (the “Commercial Manufacturing Facility Lease”) for a build-to-suit commercial manufacturing facility</w:t>
      </w:r>
      <w:r>
        <w:rPr>
          <w:sz w:val="20"/>
          <w:szCs w:val="20"/>
        </w:rPr>
        <w:t>, laboratories, and offices located in Philadelphia, Pennsylvania. Under the Commercial Manufacturing Facility Lease, the Company will lease approximately 136,000 rentable square feet of space in a building to be located at 300 Rouse Boulevard, Philadelphi</w:t>
      </w:r>
      <w:r>
        <w:rPr>
          <w:sz w:val="20"/>
          <w:szCs w:val="20"/>
        </w:rPr>
        <w:t>a, Pennsylvania (the “Premises”). The commercial manufacturing facility is expected to be constructed in two phases: Phase I-A, the construction of the commercial manufacturing facility, with approximately 66,000 rentable square feet of space; and Phase I-</w:t>
      </w:r>
      <w:r>
        <w:rPr>
          <w:sz w:val="20"/>
          <w:szCs w:val="20"/>
        </w:rPr>
        <w:t>B, the construction of offices and laboratories, with approximately 70,000 rentable square feet of space. The Commercial Manufacturing Facility Lease is for a term of</w:t>
      </w:r>
      <w:r>
        <w:rPr>
          <w:sz w:val="20"/>
          <w:szCs w:val="20"/>
        </w:rPr>
        <w:t xml:space="preserve"> </w:t>
      </w:r>
      <w:r>
        <w:rPr>
          <w:sz w:val="20"/>
          <w:szCs w:val="20"/>
        </w:rPr>
        <w:t>242 month</w:t>
      </w:r>
      <w:r>
        <w:rPr>
          <w:sz w:val="20"/>
          <w:szCs w:val="20"/>
        </w:rPr>
        <w:t>s</w:t>
      </w:r>
      <w:r>
        <w:rPr>
          <w:sz w:val="20"/>
          <w:szCs w:val="20"/>
        </w:rPr>
        <w:t>, commencing on the earlier of (i) the date on which the Company occupies any p</w:t>
      </w:r>
      <w:r>
        <w:rPr>
          <w:sz w:val="20"/>
          <w:szCs w:val="20"/>
        </w:rPr>
        <w:t xml:space="preserve">ortion of the Premises for the normal operation of its business or (ii) the date that is the later of (A) one hundred sixty </w:t>
      </w:r>
      <w:r>
        <w:rPr>
          <w:sz w:val="20"/>
          <w:szCs w:val="20"/>
        </w:rPr>
        <w:t>(</w:t>
      </w:r>
      <w:r>
        <w:rPr>
          <w:sz w:val="20"/>
          <w:szCs w:val="20"/>
        </w:rPr>
        <w:t>16</w:t>
      </w:r>
      <w:r>
        <w:rPr>
          <w:sz w:val="20"/>
          <w:szCs w:val="20"/>
        </w:rPr>
        <w:t>0</w:t>
      </w:r>
      <w:r>
        <w:rPr>
          <w:sz w:val="20"/>
          <w:szCs w:val="20"/>
        </w:rPr>
        <w:t>) days after the Phase I-A substantial completion date, July 16, 2020, or (B) the Phase I-B Substantial Completion Date (the “Co</w:t>
      </w:r>
      <w:r>
        <w:rPr>
          <w:sz w:val="20"/>
          <w:szCs w:val="20"/>
        </w:rPr>
        <w:t>mmencement Date”). The Commencement Date shall be extended by one day for each day of landlord delay, net of any tenant delay, as defined in the Lease. The Commercial Manufacturing Facility Lease includes an</w:t>
      </w:r>
      <w:r>
        <w:rPr>
          <w:sz w:val="20"/>
          <w:szCs w:val="20"/>
        </w:rPr>
        <w:t xml:space="preserve"> </w:t>
      </w:r>
      <w:r>
        <w:rPr>
          <w:sz w:val="20"/>
          <w:szCs w:val="20"/>
        </w:rPr>
        <w:t>option to extend</w:t>
      </w:r>
      <w:r>
        <w:rPr>
          <w:sz w:val="20"/>
          <w:szCs w:val="20"/>
        </w:rPr>
        <w:t xml:space="preserve"> </w:t>
      </w:r>
      <w:r>
        <w:rPr>
          <w:sz w:val="20"/>
          <w:szCs w:val="20"/>
        </w:rPr>
        <w:t>the term of the lease, exercisa</w:t>
      </w:r>
      <w:r>
        <w:rPr>
          <w:sz w:val="20"/>
          <w:szCs w:val="20"/>
        </w:rPr>
        <w:t>ble under certain conditions as described in the Commercial Manufacturing Facility Lease, such that the overall term, when added to the initial term, shall be</w:t>
      </w:r>
      <w:r>
        <w:rPr>
          <w:sz w:val="20"/>
          <w:szCs w:val="20"/>
        </w:rPr>
        <w:t xml:space="preserve"> </w:t>
      </w:r>
      <w:r>
        <w:rPr>
          <w:sz w:val="20"/>
          <w:szCs w:val="20"/>
        </w:rPr>
        <w:t>359 month</w:t>
      </w:r>
      <w:r>
        <w:rPr>
          <w:sz w:val="20"/>
          <w:szCs w:val="20"/>
        </w:rPr>
        <w:t>s</w:t>
      </w:r>
      <w:r>
        <w:rPr>
          <w:sz w:val="20"/>
          <w:szCs w:val="20"/>
        </w:rPr>
        <w:t>, by giving the landlord prior written notice thereof at least</w:t>
      </w:r>
      <w:r>
        <w:rPr>
          <w:sz w:val="20"/>
          <w:szCs w:val="20"/>
        </w:rPr>
        <w:t xml:space="preserve"> </w:t>
      </w:r>
      <w:r>
        <w:rPr>
          <w:sz w:val="20"/>
          <w:szCs w:val="20"/>
        </w:rPr>
        <w:t>18 month</w:t>
      </w:r>
      <w:r>
        <w:rPr>
          <w:sz w:val="20"/>
          <w:szCs w:val="20"/>
        </w:rPr>
        <w:t>s</w:t>
      </w:r>
      <w:r>
        <w:rPr>
          <w:sz w:val="20"/>
          <w:szCs w:val="20"/>
        </w:rPr>
        <w:t xml:space="preserve"> in advance of </w:t>
      </w:r>
      <w:r>
        <w:rPr>
          <w:sz w:val="20"/>
          <w:szCs w:val="20"/>
        </w:rPr>
        <w:t>the expiration date</w:t>
      </w:r>
      <w:r>
        <w:rPr>
          <w:sz w:val="20"/>
          <w:szCs w:val="20"/>
        </w:rPr>
        <w:t>.</w:t>
      </w:r>
    </w:p>
    <w:p w:rsidR="00000000" w:rsidRDefault="00FF2C06">
      <w:pPr>
        <w:pStyle w:val="a3"/>
        <w:spacing w:before="0" w:beforeAutospacing="0" w:after="200" w:afterAutospacing="0"/>
        <w:ind w:firstLine="547"/>
        <w:divId w:val="1775782675"/>
        <w:rPr>
          <w:sz w:val="20"/>
          <w:szCs w:val="20"/>
        </w:rPr>
      </w:pPr>
      <w:r>
        <w:rPr>
          <w:sz w:val="20"/>
          <w:szCs w:val="20"/>
        </w:rPr>
        <w:t xml:space="preserve">Beginning on the Commencement Date, the Company’s monthly base rent under the Lease will be approximately $320,000, subject to an annual increase of 2% for the first ten years, and an annual increase of the greater of 2% or 75% of the </w:t>
      </w:r>
      <w:r>
        <w:rPr>
          <w:sz w:val="20"/>
          <w:szCs w:val="20"/>
        </w:rPr>
        <w:t>average ten-year consumer price index. The Company will also be responsible for paying operating expenses, which are expected to be approximately $53,000 per month in 2020</w:t>
      </w:r>
      <w:r>
        <w:rPr>
          <w:sz w:val="20"/>
          <w:szCs w:val="20"/>
        </w:rPr>
        <w:t>.</w:t>
      </w:r>
    </w:p>
    <w:p w:rsidR="00000000" w:rsidRDefault="00FF2C06">
      <w:pPr>
        <w:pStyle w:val="a3"/>
        <w:spacing w:before="0" w:beforeAutospacing="0" w:after="200" w:afterAutospacing="0"/>
        <w:divId w:val="1775782675"/>
        <w:rPr>
          <w:b/>
          <w:bCs/>
          <w:sz w:val="20"/>
          <w:szCs w:val="20"/>
        </w:rPr>
      </w:pPr>
      <w:r>
        <w:rPr>
          <w:b/>
          <w:bCs/>
          <w:sz w:val="20"/>
          <w:szCs w:val="20"/>
        </w:rPr>
        <w:t>Manufacturing Contracts</w:t>
      </w:r>
    </w:p>
    <w:p w:rsidR="00000000" w:rsidRDefault="00FF2C06">
      <w:pPr>
        <w:pStyle w:val="a3"/>
        <w:spacing w:before="0" w:beforeAutospacing="0" w:after="0" w:afterAutospacing="0"/>
        <w:ind w:firstLine="547"/>
        <w:divId w:val="1775782675"/>
        <w:rPr>
          <w:sz w:val="20"/>
          <w:szCs w:val="20"/>
        </w:rPr>
      </w:pPr>
      <w:r>
        <w:rPr>
          <w:sz w:val="20"/>
          <w:szCs w:val="20"/>
        </w:rPr>
        <w:t>The Company uses contract manufacturing organizations (coll</w:t>
      </w:r>
      <w:r>
        <w:rPr>
          <w:sz w:val="20"/>
          <w:szCs w:val="20"/>
        </w:rPr>
        <w:t xml:space="preserve">ectively the “CMOs” and each a “CMO”) to manufacture and supply TILs for clinical and commercial purposes. The CMO contractual obligations consist of the use of manufacturing facilities and minimum fixed commitment fees, such as personnel, general support </w:t>
      </w:r>
      <w:r>
        <w:rPr>
          <w:sz w:val="20"/>
          <w:szCs w:val="20"/>
        </w:rPr>
        <w:t>fees, and minimum production or material fees. In addition to the minimum fixed commitment fees, the CMO contractual obligations include variable costs such as production and material costs in excess of the minimum quantity specified in each CMO agreement.</w:t>
      </w:r>
      <w:r>
        <w:rPr>
          <w:sz w:val="20"/>
          <w:szCs w:val="20"/>
        </w:rPr>
        <w:t xml:space="preserve"> During the term of each CMO agreement, the Company has access to and control of the use of a dedicated suite in each of the CMOs’ facilities for manufacturing activities. In conjunction with the adoption of Topic 842 on January 1, 2019, the Company reeval</w:t>
      </w:r>
      <w:r>
        <w:rPr>
          <w:sz w:val="20"/>
          <w:szCs w:val="20"/>
        </w:rPr>
        <w:t>uated all of its material contracts it has, to determine whether they contain a lease under Topic 840. An arrangement is considered a lease or contains a lease if an underlying asset is explicitly or implicitly identified and use of the asset is controlled</w:t>
      </w:r>
      <w:r>
        <w:rPr>
          <w:sz w:val="20"/>
          <w:szCs w:val="20"/>
        </w:rPr>
        <w:t xml:space="preserve"> by the customer. Based on this evaluation, the Company concluded that all of its contracts with CMOs contained embedded operating leases because the suites used for its production are implicitly identified, is only used by the Company exclusively during t</w:t>
      </w:r>
      <w:r>
        <w:rPr>
          <w:sz w:val="20"/>
          <w:szCs w:val="20"/>
        </w:rPr>
        <w:t>he contractual term of the arrangements, and the CMOs have no substantive contractual rights to substitute the facilities used by the Company. Further, the Company controls the use of the facilities by obtaining all of the economic benefits from the use of</w:t>
      </w:r>
      <w:r>
        <w:rPr>
          <w:sz w:val="20"/>
          <w:szCs w:val="20"/>
        </w:rPr>
        <w:t xml:space="preserve"> the facilities and direct the use of the facilities throughout the period of use. The terms of the CMO contracts include options to terminate the lease with an advance notice of five to six months. The termination clauses and extension </w:t>
      </w:r>
    </w:p>
    <w:p w:rsidR="00000000" w:rsidRDefault="00FF2C06">
      <w:pPr>
        <w:pStyle w:val="a3"/>
        <w:spacing w:before="480" w:beforeAutospacing="0" w:after="0" w:afterAutospacing="0"/>
        <w:jc w:val="center"/>
        <w:divId w:val="705640139"/>
        <w:rPr>
          <w:sz w:val="20"/>
          <w:szCs w:val="20"/>
        </w:rPr>
      </w:pPr>
      <w:r>
        <w:rPr>
          <w:sz w:val="20"/>
          <w:szCs w:val="20"/>
        </w:rPr>
        <w:t>25</w:t>
      </w:r>
    </w:p>
    <w:p w:rsidR="00000000" w:rsidRDefault="00FF2C06">
      <w:pPr>
        <w:pStyle w:val="a3"/>
        <w:spacing w:before="0" w:beforeAutospacing="0" w:after="600" w:afterAutospacing="0"/>
        <w:divId w:val="342830290"/>
        <w:rPr>
          <w:sz w:val="20"/>
          <w:szCs w:val="20"/>
        </w:rPr>
      </w:pPr>
      <w:hyperlink w:anchor="TOC" w:history="1">
        <w:r>
          <w:rPr>
            <w:rStyle w:val="a4"/>
            <w:sz w:val="20"/>
            <w:szCs w:val="20"/>
          </w:rPr>
          <w:t>Table of Contents</w:t>
        </w:r>
      </w:hyperlink>
    </w:p>
    <w:p w:rsidR="00000000" w:rsidRDefault="00FF2C06">
      <w:pPr>
        <w:pStyle w:val="a3"/>
        <w:spacing w:before="0" w:beforeAutospacing="0" w:after="200" w:afterAutospacing="0"/>
        <w:divId w:val="1815289574"/>
        <w:rPr>
          <w:sz w:val="20"/>
          <w:szCs w:val="20"/>
        </w:rPr>
      </w:pPr>
      <w:r>
        <w:rPr>
          <w:sz w:val="20"/>
          <w:szCs w:val="20"/>
        </w:rPr>
        <w:t>clauses are included in the calculation of the lease term for each of the CMOs when it is reasonably certain that it will not exercise such options.</w:t>
      </w:r>
    </w:p>
    <w:p w:rsidR="00000000" w:rsidRDefault="00FF2C06">
      <w:pPr>
        <w:pStyle w:val="a3"/>
        <w:spacing w:before="0" w:beforeAutospacing="0" w:after="200" w:afterAutospacing="0"/>
        <w:ind w:firstLine="547"/>
        <w:divId w:val="1815289574"/>
        <w:rPr>
          <w:sz w:val="20"/>
          <w:szCs w:val="20"/>
        </w:rPr>
      </w:pPr>
      <w:r>
        <w:rPr>
          <w:sz w:val="20"/>
          <w:szCs w:val="20"/>
        </w:rPr>
        <w:t>The guidance requires the Company to first identify a lease deliverable and no</w:t>
      </w:r>
      <w:r>
        <w:rPr>
          <w:sz w:val="20"/>
          <w:szCs w:val="20"/>
        </w:rPr>
        <w:t>n-lease deliverable included in the arrangements, and then allocate the fixed contractual consideration to the lease deliverable(s) and the non-lease deliverable(s) on a relative standalone selling price basis to determine the amount of operating lease rig</w:t>
      </w:r>
      <w:r>
        <w:rPr>
          <w:sz w:val="20"/>
          <w:szCs w:val="20"/>
        </w:rPr>
        <w:t>ht-of-use assets and liabilities. The Company identified the use of a dedicated suite as a single lease deliverable, and related labor services as a single non-lease deliverable in each of the CMO arrangements. Judgment is required to determine the relativ</w:t>
      </w:r>
      <w:r>
        <w:rPr>
          <w:sz w:val="20"/>
          <w:szCs w:val="20"/>
        </w:rPr>
        <w:t>e standalone selling price of each deliverable as the observable standalone selling prices are not readily available. Therefore, management used estimates and assumptions in determining relative standalone selling price of lease of a suite and labor servic</w:t>
      </w:r>
      <w:r>
        <w:rPr>
          <w:sz w:val="20"/>
          <w:szCs w:val="20"/>
        </w:rPr>
        <w:t>e using information that includes market and other observable inputs to the extent possible.</w:t>
      </w:r>
    </w:p>
    <w:p w:rsidR="00000000" w:rsidRDefault="00FF2C06">
      <w:pPr>
        <w:pStyle w:val="a3"/>
        <w:spacing w:before="0" w:beforeAutospacing="0" w:after="200" w:afterAutospacing="0"/>
        <w:ind w:firstLine="547"/>
        <w:divId w:val="1815289574"/>
        <w:rPr>
          <w:sz w:val="20"/>
          <w:szCs w:val="20"/>
        </w:rPr>
      </w:pPr>
      <w:r>
        <w:rPr>
          <w:sz w:val="20"/>
          <w:szCs w:val="20"/>
        </w:rPr>
        <w:t>The Company leases certain furniture and equipment that has a lease term of 12 months or less. Since the commencement date does not include an option to purchase t</w:t>
      </w:r>
      <w:r>
        <w:rPr>
          <w:sz w:val="20"/>
          <w:szCs w:val="20"/>
        </w:rPr>
        <w:t>he underlying asset, the Company elected not to apply the recognition requirements of Topic 842 for short-term leases, however, the lease costs that pertain to the short-term leases are disclosed in the components of lease costs table below.</w:t>
      </w:r>
    </w:p>
    <w:p w:rsidR="00000000" w:rsidRDefault="00FF2C06">
      <w:pPr>
        <w:pStyle w:val="a3"/>
        <w:spacing w:before="0" w:beforeAutospacing="0" w:after="0" w:afterAutospacing="0"/>
        <w:ind w:firstLine="547"/>
        <w:divId w:val="1815289574"/>
        <w:rPr>
          <w:sz w:val="20"/>
          <w:szCs w:val="20"/>
        </w:rPr>
      </w:pPr>
      <w:r>
        <w:rPr>
          <w:sz w:val="20"/>
          <w:szCs w:val="20"/>
        </w:rPr>
        <w:t>The balance sh</w:t>
      </w:r>
      <w:r>
        <w:rPr>
          <w:sz w:val="20"/>
          <w:szCs w:val="20"/>
        </w:rPr>
        <w:t>eet classification of the Company’s right-of-use asset and lease liabilities was as follows:</w:t>
      </w:r>
    </w:p>
    <w:p w:rsidR="00000000" w:rsidRDefault="00FF2C06">
      <w:pPr>
        <w:pStyle w:val="a3"/>
        <w:spacing w:before="0" w:beforeAutospacing="0" w:after="0" w:afterAutospacing="0"/>
        <w:ind w:firstLine="547"/>
        <w:divId w:val="1815289574"/>
        <w:rPr>
          <w:sz w:val="20"/>
          <w:szCs w:val="20"/>
        </w:rPr>
      </w:pPr>
      <w:r>
        <w:rPr>
          <w:sz w:val="20"/>
          <w:szCs w:val="20"/>
        </w:rPr>
        <w:t>​</w:t>
      </w:r>
    </w:p>
    <w:tbl>
      <w:tblPr>
        <w:tblW w:w="4006" w:type="pct"/>
        <w:tblCellMar>
          <w:top w:w="15" w:type="dxa"/>
          <w:left w:w="0" w:type="dxa"/>
          <w:bottom w:w="15" w:type="dxa"/>
          <w:right w:w="0" w:type="dxa"/>
        </w:tblCellMar>
        <w:tblLook w:val="04A0" w:firstRow="1" w:lastRow="0" w:firstColumn="1" w:lastColumn="0" w:noHBand="0" w:noVBand="1"/>
      </w:tblPr>
      <w:tblGrid>
        <w:gridCol w:w="3698"/>
        <w:gridCol w:w="160"/>
        <w:gridCol w:w="129"/>
        <w:gridCol w:w="1209"/>
        <w:gridCol w:w="160"/>
        <w:gridCol w:w="125"/>
        <w:gridCol w:w="1168"/>
        <w:gridCol w:w="6"/>
      </w:tblGrid>
      <w:tr w:rsidR="00000000">
        <w:trPr>
          <w:divId w:val="1815289574"/>
          <w:trHeight w:val="20"/>
        </w:trPr>
        <w:tc>
          <w:tcPr>
            <w:tcW w:w="3282" w:type="pct"/>
            <w:tcMar>
              <w:top w:w="0" w:type="dxa"/>
              <w:left w:w="0" w:type="dxa"/>
              <w:bottom w:w="0" w:type="dxa"/>
              <w:right w:w="0" w:type="dxa"/>
            </w:tcMar>
            <w:vAlign w:val="bottom"/>
            <w:hideMark/>
          </w:tcPr>
          <w:p w:rsidR="00000000" w:rsidRDefault="00FF2C06">
            <w:pPr>
              <w:pStyle w:val="a3"/>
              <w:spacing w:before="0" w:beforeAutospacing="0" w:after="1" w:afterAutospacing="0"/>
              <w:divId w:val="186606114"/>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860126500"/>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876497999"/>
              <w:rPr>
                <w:sz w:val="20"/>
                <w:szCs w:val="20"/>
              </w:rPr>
            </w:pPr>
            <w:r>
              <w:rPr>
                <w:sz w:val="2"/>
                <w:szCs w:val="2"/>
              </w:rPr>
              <w:t>​</w:t>
            </w:r>
          </w:p>
        </w:tc>
        <w:tc>
          <w:tcPr>
            <w:tcW w:w="698"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698266566"/>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889485267"/>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938555896"/>
              <w:rPr>
                <w:sz w:val="20"/>
                <w:szCs w:val="20"/>
              </w:rPr>
            </w:pPr>
            <w:r>
              <w:rPr>
                <w:sz w:val="2"/>
                <w:szCs w:val="2"/>
              </w:rPr>
              <w:t>​</w:t>
            </w:r>
          </w:p>
        </w:tc>
        <w:tc>
          <w:tcPr>
            <w:tcW w:w="675"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14905648"/>
              <w:rPr>
                <w:sz w:val="20"/>
                <w:szCs w:val="20"/>
              </w:rPr>
            </w:pPr>
            <w:r>
              <w:rPr>
                <w:sz w:val="2"/>
                <w:szCs w:val="2"/>
              </w:rPr>
              <w:t>​</w:t>
            </w:r>
          </w:p>
        </w:tc>
        <w:tc>
          <w:tcPr>
            <w:tcW w:w="11"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482893472"/>
              <w:rPr>
                <w:sz w:val="20"/>
                <w:szCs w:val="20"/>
              </w:rPr>
            </w:pPr>
            <w:r>
              <w:rPr>
                <w:sz w:val="2"/>
                <w:szCs w:val="2"/>
              </w:rPr>
              <w:t>​</w:t>
            </w:r>
          </w:p>
        </w:tc>
      </w:tr>
      <w:tr w:rsidR="00000000">
        <w:trPr>
          <w:divId w:val="1815289574"/>
        </w:trPr>
        <w:tc>
          <w:tcPr>
            <w:tcW w:w="3282"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92"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    </w:t>
            </w:r>
          </w:p>
        </w:tc>
        <w:tc>
          <w:tcPr>
            <w:tcW w:w="773"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September 30, 2020</w:t>
            </w:r>
          </w:p>
        </w:tc>
        <w:tc>
          <w:tcPr>
            <w:tcW w:w="92"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b/>
                <w:bCs/>
                <w:sz w:val="16"/>
                <w:szCs w:val="16"/>
              </w:rPr>
              <w:t>    </w:t>
            </w:r>
          </w:p>
        </w:tc>
        <w:tc>
          <w:tcPr>
            <w:tcW w:w="747"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December 31, 2019</w:t>
            </w:r>
          </w:p>
        </w:tc>
        <w:tc>
          <w:tcPr>
            <w:tcW w:w="11"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b/>
                <w:bCs/>
                <w:sz w:val="16"/>
                <w:szCs w:val="16"/>
              </w:rPr>
              <w:t>​</w:t>
            </w:r>
          </w:p>
        </w:tc>
      </w:tr>
      <w:tr w:rsidR="00000000">
        <w:trPr>
          <w:divId w:val="1815289574"/>
        </w:trPr>
        <w:tc>
          <w:tcPr>
            <w:tcW w:w="3282"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9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7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1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1815289574"/>
        </w:trPr>
        <w:tc>
          <w:tcPr>
            <w:tcW w:w="3282"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Operating lease right-of-use assets</w:t>
            </w:r>
          </w:p>
        </w:tc>
        <w:tc>
          <w:tcPr>
            <w:tcW w:w="9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10,682</w:t>
            </w:r>
          </w:p>
        </w:tc>
        <w:tc>
          <w:tcPr>
            <w:tcW w:w="9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10,695</w:t>
            </w:r>
          </w:p>
        </w:tc>
        <w:tc>
          <w:tcPr>
            <w:tcW w:w="1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1815289574"/>
        </w:trPr>
        <w:tc>
          <w:tcPr>
            <w:tcW w:w="3282"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Operating lease liabilities</w:t>
            </w:r>
          </w:p>
        </w:tc>
        <w:tc>
          <w:tcPr>
            <w:tcW w:w="92"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98" w:type="pct"/>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675"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w:t>
            </w:r>
          </w:p>
        </w:tc>
        <w:tc>
          <w:tcPr>
            <w:tcW w:w="1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1815289574"/>
        </w:trPr>
        <w:tc>
          <w:tcPr>
            <w:tcW w:w="3282"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ind w:left="120"/>
              <w:rPr>
                <w:sz w:val="20"/>
                <w:szCs w:val="20"/>
              </w:rPr>
            </w:pPr>
            <w:r>
              <w:rPr>
                <w:sz w:val="20"/>
                <w:szCs w:val="20"/>
              </w:rPr>
              <w:t>Current portion included in current liabilities</w:t>
            </w:r>
          </w:p>
        </w:tc>
        <w:tc>
          <w:tcPr>
            <w:tcW w:w="9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9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7,196</w:t>
            </w:r>
          </w:p>
        </w:tc>
        <w:tc>
          <w:tcPr>
            <w:tcW w:w="9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67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7,252</w:t>
            </w:r>
          </w:p>
        </w:tc>
        <w:tc>
          <w:tcPr>
            <w:tcW w:w="1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1815289574"/>
        </w:trPr>
        <w:tc>
          <w:tcPr>
            <w:tcW w:w="3282" w:type="pct"/>
            <w:tcMar>
              <w:top w:w="0" w:type="dxa"/>
              <w:left w:w="0" w:type="dxa"/>
              <w:bottom w:w="0" w:type="dxa"/>
              <w:right w:w="0" w:type="dxa"/>
            </w:tcMar>
            <w:vAlign w:val="bottom"/>
            <w:hideMark/>
          </w:tcPr>
          <w:p w:rsidR="00000000" w:rsidRDefault="00FF2C06">
            <w:pPr>
              <w:pStyle w:val="a3"/>
              <w:spacing w:before="0" w:beforeAutospacing="0" w:after="1" w:afterAutospacing="0"/>
              <w:ind w:left="120"/>
              <w:rPr>
                <w:sz w:val="20"/>
                <w:szCs w:val="20"/>
              </w:rPr>
            </w:pPr>
            <w:r>
              <w:rPr>
                <w:sz w:val="20"/>
                <w:szCs w:val="20"/>
              </w:rPr>
              <w:t>long-term portion included in non-current liabilities</w:t>
            </w:r>
          </w:p>
        </w:tc>
        <w:tc>
          <w:tcPr>
            <w:tcW w:w="92"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98"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3,711</w:t>
            </w:r>
          </w:p>
        </w:tc>
        <w:tc>
          <w:tcPr>
            <w:tcW w:w="92"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675"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4,248</w:t>
            </w:r>
          </w:p>
        </w:tc>
        <w:tc>
          <w:tcPr>
            <w:tcW w:w="11"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1815289574"/>
        </w:trPr>
        <w:tc>
          <w:tcPr>
            <w:tcW w:w="3282"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ind w:left="240"/>
              <w:rPr>
                <w:sz w:val="20"/>
                <w:szCs w:val="20"/>
              </w:rPr>
            </w:pPr>
            <w:r>
              <w:rPr>
                <w:sz w:val="20"/>
                <w:szCs w:val="20"/>
              </w:rPr>
              <w:t>Total Operating lease liabilities</w:t>
            </w:r>
          </w:p>
        </w:tc>
        <w:tc>
          <w:tcPr>
            <w:tcW w:w="9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10,907</w:t>
            </w:r>
          </w:p>
        </w:tc>
        <w:tc>
          <w:tcPr>
            <w:tcW w:w="9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6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11,500</w:t>
            </w:r>
          </w:p>
        </w:tc>
        <w:tc>
          <w:tcPr>
            <w:tcW w:w="1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bl>
    <w:p w:rsidR="00000000" w:rsidRDefault="00FF2C06">
      <w:pPr>
        <w:pStyle w:val="a3"/>
        <w:spacing w:before="0" w:beforeAutospacing="0" w:after="0" w:afterAutospacing="0"/>
        <w:divId w:val="1815289574"/>
        <w:rPr>
          <w:sz w:val="20"/>
          <w:szCs w:val="20"/>
        </w:rPr>
      </w:pPr>
      <w:r>
        <w:rPr>
          <w:sz w:val="20"/>
          <w:szCs w:val="20"/>
        </w:rPr>
        <w:t>​</w:t>
      </w:r>
    </w:p>
    <w:p w:rsidR="00000000" w:rsidRDefault="00FF2C06">
      <w:pPr>
        <w:pStyle w:val="a3"/>
        <w:spacing w:before="0" w:beforeAutospacing="0" w:after="0" w:afterAutospacing="0"/>
        <w:ind w:firstLine="547"/>
        <w:divId w:val="1815289574"/>
        <w:rPr>
          <w:sz w:val="20"/>
          <w:szCs w:val="20"/>
        </w:rPr>
      </w:pPr>
      <w:r>
        <w:rPr>
          <w:sz w:val="20"/>
          <w:szCs w:val="20"/>
        </w:rPr>
        <w:t>The following table summarizes components of lease expenses, which were included in Total expenses in the Company’s condensed consolidated statement of operations, and other information related to our operating leases as follows (in thousands except weight</w:t>
      </w:r>
      <w:r>
        <w:rPr>
          <w:sz w:val="20"/>
          <w:szCs w:val="20"/>
        </w:rPr>
        <w:t>ed-average remaining lease terms and discount rates):</w:t>
      </w:r>
    </w:p>
    <w:p w:rsidR="00000000" w:rsidRDefault="00FF2C06">
      <w:pPr>
        <w:pStyle w:val="a3"/>
        <w:spacing w:before="0" w:beforeAutospacing="0" w:after="0" w:afterAutospacing="0"/>
        <w:ind w:firstLine="547"/>
        <w:divId w:val="1815289574"/>
        <w:rPr>
          <w:sz w:val="20"/>
          <w:szCs w:val="20"/>
        </w:rPr>
      </w:pPr>
      <w:r>
        <w:rPr>
          <w:sz w:val="20"/>
          <w:szCs w:val="20"/>
        </w:rPr>
        <w:t>​</w:t>
      </w:r>
    </w:p>
    <w:tbl>
      <w:tblPr>
        <w:tblW w:w="4281" w:type="pct"/>
        <w:tblCellMar>
          <w:top w:w="15" w:type="dxa"/>
          <w:left w:w="0" w:type="dxa"/>
          <w:bottom w:w="15" w:type="dxa"/>
          <w:right w:w="0" w:type="dxa"/>
        </w:tblCellMar>
        <w:tblLook w:val="04A0" w:firstRow="1" w:lastRow="0" w:firstColumn="1" w:lastColumn="0" w:noHBand="0" w:noVBand="1"/>
      </w:tblPr>
      <w:tblGrid>
        <w:gridCol w:w="4949"/>
        <w:gridCol w:w="160"/>
        <w:gridCol w:w="101"/>
        <w:gridCol w:w="582"/>
        <w:gridCol w:w="134"/>
        <w:gridCol w:w="100"/>
        <w:gridCol w:w="585"/>
        <w:gridCol w:w="6"/>
        <w:gridCol w:w="100"/>
        <w:gridCol w:w="523"/>
        <w:gridCol w:w="143"/>
        <w:gridCol w:w="100"/>
        <w:gridCol w:w="623"/>
        <w:gridCol w:w="167"/>
      </w:tblGrid>
      <w:tr w:rsidR="00000000">
        <w:trPr>
          <w:divId w:val="1815289574"/>
          <w:trHeight w:val="20"/>
        </w:trPr>
        <w:tc>
          <w:tcPr>
            <w:tcW w:w="2676" w:type="pct"/>
            <w:tcMar>
              <w:top w:w="0" w:type="dxa"/>
              <w:left w:w="0" w:type="dxa"/>
              <w:bottom w:w="0" w:type="dxa"/>
              <w:right w:w="0" w:type="dxa"/>
            </w:tcMar>
            <w:vAlign w:val="bottom"/>
            <w:hideMark/>
          </w:tcPr>
          <w:p w:rsidR="00000000" w:rsidRDefault="00FF2C06">
            <w:pPr>
              <w:pStyle w:val="a3"/>
              <w:spacing w:before="0" w:beforeAutospacing="0" w:after="1" w:afterAutospacing="0"/>
              <w:divId w:val="1983197150"/>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584950058"/>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041200012"/>
              <w:rPr>
                <w:sz w:val="20"/>
                <w:szCs w:val="20"/>
              </w:rPr>
            </w:pPr>
            <w:r>
              <w:rPr>
                <w:sz w:val="2"/>
                <w:szCs w:val="2"/>
              </w:rPr>
              <w:t>​</w:t>
            </w:r>
          </w:p>
        </w:tc>
        <w:tc>
          <w:tcPr>
            <w:tcW w:w="408"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248589051"/>
              <w:rPr>
                <w:sz w:val="20"/>
                <w:szCs w:val="20"/>
              </w:rPr>
            </w:pPr>
            <w:r>
              <w:rPr>
                <w:sz w:val="2"/>
                <w:szCs w:val="2"/>
              </w:rPr>
              <w:t>​</w:t>
            </w:r>
          </w:p>
        </w:tc>
        <w:tc>
          <w:tcPr>
            <w:tcW w:w="94"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609585902"/>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667174474"/>
              <w:rPr>
                <w:sz w:val="20"/>
                <w:szCs w:val="20"/>
              </w:rPr>
            </w:pPr>
            <w:r>
              <w:rPr>
                <w:sz w:val="2"/>
                <w:szCs w:val="2"/>
              </w:rPr>
              <w:t>​</w:t>
            </w:r>
          </w:p>
        </w:tc>
        <w:tc>
          <w:tcPr>
            <w:tcW w:w="409"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683172155"/>
              <w:rPr>
                <w:sz w:val="20"/>
                <w:szCs w:val="20"/>
              </w:rPr>
            </w:pPr>
            <w:r>
              <w:rPr>
                <w:sz w:val="2"/>
                <w:szCs w:val="2"/>
              </w:rPr>
              <w:t>​</w:t>
            </w:r>
          </w:p>
        </w:tc>
        <w:tc>
          <w:tcPr>
            <w:tcW w:w="94"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098334593"/>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684870332"/>
              <w:rPr>
                <w:sz w:val="20"/>
                <w:szCs w:val="20"/>
              </w:rPr>
            </w:pPr>
            <w:r>
              <w:rPr>
                <w:sz w:val="2"/>
                <w:szCs w:val="2"/>
              </w:rPr>
              <w:t>​</w:t>
            </w:r>
          </w:p>
        </w:tc>
        <w:tc>
          <w:tcPr>
            <w:tcW w:w="408"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73405864"/>
              <w:rPr>
                <w:sz w:val="20"/>
                <w:szCs w:val="20"/>
              </w:rPr>
            </w:pPr>
            <w:r>
              <w:rPr>
                <w:sz w:val="2"/>
                <w:szCs w:val="2"/>
              </w:rPr>
              <w:t>​</w:t>
            </w:r>
          </w:p>
        </w:tc>
        <w:tc>
          <w:tcPr>
            <w:tcW w:w="94"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2106727072"/>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124467218"/>
              <w:rPr>
                <w:sz w:val="20"/>
                <w:szCs w:val="20"/>
              </w:rPr>
            </w:pPr>
            <w:r>
              <w:rPr>
                <w:sz w:val="2"/>
                <w:szCs w:val="2"/>
              </w:rPr>
              <w:t>​</w:t>
            </w:r>
          </w:p>
        </w:tc>
        <w:tc>
          <w:tcPr>
            <w:tcW w:w="409"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638874295"/>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638530601"/>
              <w:rPr>
                <w:sz w:val="20"/>
                <w:szCs w:val="20"/>
              </w:rPr>
            </w:pPr>
            <w:r>
              <w:rPr>
                <w:sz w:val="2"/>
                <w:szCs w:val="2"/>
              </w:rPr>
              <w:t>​</w:t>
            </w:r>
          </w:p>
        </w:tc>
      </w:tr>
      <w:tr w:rsidR="00000000">
        <w:trPr>
          <w:divId w:val="1815289574"/>
        </w:trPr>
        <w:tc>
          <w:tcPr>
            <w:tcW w:w="2676"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93"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    </w:t>
            </w:r>
          </w:p>
        </w:tc>
        <w:tc>
          <w:tcPr>
            <w:tcW w:w="1023" w:type="pct"/>
            <w:gridSpan w:val="5"/>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 xml:space="preserve">Three Months Ended </w:t>
            </w:r>
          </w:p>
        </w:tc>
        <w:tc>
          <w:tcPr>
            <w:tcW w:w="94"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b/>
                <w:bCs/>
                <w:sz w:val="16"/>
                <w:szCs w:val="16"/>
              </w:rPr>
              <w:t>​</w:t>
            </w:r>
          </w:p>
        </w:tc>
        <w:tc>
          <w:tcPr>
            <w:tcW w:w="1023" w:type="pct"/>
            <w:gridSpan w:val="5"/>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 xml:space="preserve">Nine Months Ended </w:t>
            </w:r>
          </w:p>
        </w:tc>
        <w:tc>
          <w:tcPr>
            <w:tcW w:w="90"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16"/>
                <w:szCs w:val="16"/>
              </w:rPr>
              <w:t>​</w:t>
            </w:r>
          </w:p>
        </w:tc>
      </w:tr>
      <w:tr w:rsidR="00000000">
        <w:trPr>
          <w:divId w:val="1815289574"/>
        </w:trPr>
        <w:tc>
          <w:tcPr>
            <w:tcW w:w="2676"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93"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b/>
                <w:bCs/>
                <w:sz w:val="16"/>
                <w:szCs w:val="16"/>
              </w:rPr>
              <w:t>​</w:t>
            </w:r>
          </w:p>
        </w:tc>
        <w:tc>
          <w:tcPr>
            <w:tcW w:w="1023" w:type="pct"/>
            <w:gridSpan w:val="5"/>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September 30, </w:t>
            </w:r>
          </w:p>
        </w:tc>
        <w:tc>
          <w:tcPr>
            <w:tcW w:w="94"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b/>
                <w:bCs/>
                <w:sz w:val="16"/>
                <w:szCs w:val="16"/>
              </w:rPr>
              <w:t>​</w:t>
            </w:r>
          </w:p>
        </w:tc>
        <w:tc>
          <w:tcPr>
            <w:tcW w:w="1023" w:type="pct"/>
            <w:gridSpan w:val="5"/>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September 30, </w:t>
            </w:r>
          </w:p>
        </w:tc>
        <w:tc>
          <w:tcPr>
            <w:tcW w:w="90"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16"/>
                <w:szCs w:val="16"/>
              </w:rPr>
              <w:t>​</w:t>
            </w:r>
          </w:p>
        </w:tc>
      </w:tr>
      <w:tr w:rsidR="00000000">
        <w:trPr>
          <w:divId w:val="1815289574"/>
        </w:trPr>
        <w:tc>
          <w:tcPr>
            <w:tcW w:w="2676"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93"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b/>
                <w:bCs/>
                <w:sz w:val="16"/>
                <w:szCs w:val="16"/>
              </w:rPr>
              <w:t>​</w:t>
            </w:r>
          </w:p>
        </w:tc>
        <w:tc>
          <w:tcPr>
            <w:tcW w:w="463"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2020</w:t>
            </w:r>
          </w:p>
        </w:tc>
        <w:tc>
          <w:tcPr>
            <w:tcW w:w="9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16"/>
                <w:szCs w:val="16"/>
              </w:rPr>
              <w:t>​</w:t>
            </w:r>
          </w:p>
        </w:tc>
        <w:tc>
          <w:tcPr>
            <w:tcW w:w="465"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2019</w:t>
            </w:r>
          </w:p>
        </w:tc>
        <w:tc>
          <w:tcPr>
            <w:tcW w:w="94"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b/>
                <w:bCs/>
                <w:sz w:val="16"/>
                <w:szCs w:val="16"/>
              </w:rPr>
              <w:t>​</w:t>
            </w:r>
          </w:p>
        </w:tc>
        <w:tc>
          <w:tcPr>
            <w:tcW w:w="463"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2020</w:t>
            </w:r>
          </w:p>
        </w:tc>
        <w:tc>
          <w:tcPr>
            <w:tcW w:w="9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16"/>
                <w:szCs w:val="16"/>
              </w:rPr>
              <w:t>​</w:t>
            </w:r>
          </w:p>
        </w:tc>
        <w:tc>
          <w:tcPr>
            <w:tcW w:w="465"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2019</w:t>
            </w:r>
          </w:p>
        </w:tc>
        <w:tc>
          <w:tcPr>
            <w:tcW w:w="90"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16"/>
                <w:szCs w:val="16"/>
              </w:rPr>
              <w:t>​</w:t>
            </w:r>
          </w:p>
        </w:tc>
      </w:tr>
      <w:tr w:rsidR="00000000">
        <w:trPr>
          <w:divId w:val="1815289574"/>
        </w:trPr>
        <w:tc>
          <w:tcPr>
            <w:tcW w:w="2676"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20"/>
                <w:szCs w:val="20"/>
              </w:rPr>
              <w:t>​</w:t>
            </w:r>
          </w:p>
        </w:tc>
        <w:tc>
          <w:tcPr>
            <w:tcW w:w="5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08" w:type="pct"/>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09" w:type="pct"/>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0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0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20"/>
                <w:szCs w:val="20"/>
              </w:rPr>
              <w:t>​</w:t>
            </w:r>
          </w:p>
        </w:tc>
      </w:tr>
      <w:tr w:rsidR="00000000">
        <w:trPr>
          <w:divId w:val="1815289574"/>
        </w:trPr>
        <w:tc>
          <w:tcPr>
            <w:tcW w:w="2676"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Operating lease cost</w:t>
            </w:r>
          </w:p>
        </w:tc>
        <w:tc>
          <w:tcPr>
            <w:tcW w:w="9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0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1,652</w:t>
            </w:r>
          </w:p>
        </w:tc>
        <w:tc>
          <w:tcPr>
            <w:tcW w:w="9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0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2,214</w:t>
            </w:r>
          </w:p>
        </w:tc>
        <w:tc>
          <w:tcPr>
            <w:tcW w:w="9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0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5,361</w:t>
            </w:r>
          </w:p>
        </w:tc>
        <w:tc>
          <w:tcPr>
            <w:tcW w:w="9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0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5,489</w:t>
            </w:r>
          </w:p>
        </w:tc>
        <w:tc>
          <w:tcPr>
            <w:tcW w:w="90"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1815289574"/>
        </w:trPr>
        <w:tc>
          <w:tcPr>
            <w:tcW w:w="2676"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Variable lease cost</w:t>
            </w:r>
          </w:p>
        </w:tc>
        <w:tc>
          <w:tcPr>
            <w:tcW w:w="9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408"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1,702</w:t>
            </w:r>
          </w:p>
        </w:tc>
        <w:tc>
          <w:tcPr>
            <w:tcW w:w="9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409"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1,967</w:t>
            </w:r>
          </w:p>
        </w:tc>
        <w:tc>
          <w:tcPr>
            <w:tcW w:w="94" w:type="pct"/>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w:t>
            </w:r>
          </w:p>
        </w:tc>
        <w:tc>
          <w:tcPr>
            <w:tcW w:w="408"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4,333</w:t>
            </w:r>
          </w:p>
        </w:tc>
        <w:tc>
          <w:tcPr>
            <w:tcW w:w="94" w:type="pct"/>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w:t>
            </w:r>
          </w:p>
        </w:tc>
        <w:tc>
          <w:tcPr>
            <w:tcW w:w="409"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3,908</w:t>
            </w:r>
          </w:p>
        </w:tc>
        <w:tc>
          <w:tcPr>
            <w:tcW w:w="90"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1815289574"/>
        </w:trPr>
        <w:tc>
          <w:tcPr>
            <w:tcW w:w="2676"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Short-term lease cost</w:t>
            </w:r>
          </w:p>
        </w:tc>
        <w:tc>
          <w:tcPr>
            <w:tcW w:w="9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4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26</w:t>
            </w:r>
          </w:p>
        </w:tc>
        <w:tc>
          <w:tcPr>
            <w:tcW w:w="9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4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14</w:t>
            </w:r>
          </w:p>
        </w:tc>
        <w:tc>
          <w:tcPr>
            <w:tcW w:w="9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w:t>
            </w:r>
          </w:p>
        </w:tc>
        <w:tc>
          <w:tcPr>
            <w:tcW w:w="4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57</w:t>
            </w:r>
          </w:p>
        </w:tc>
        <w:tc>
          <w:tcPr>
            <w:tcW w:w="9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w:t>
            </w:r>
          </w:p>
        </w:tc>
        <w:tc>
          <w:tcPr>
            <w:tcW w:w="4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51</w:t>
            </w:r>
          </w:p>
        </w:tc>
        <w:tc>
          <w:tcPr>
            <w:tcW w:w="90"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1815289574"/>
        </w:trPr>
        <w:tc>
          <w:tcPr>
            <w:tcW w:w="2676" w:type="pct"/>
            <w:tcMar>
              <w:top w:w="0" w:type="dxa"/>
              <w:left w:w="0" w:type="dxa"/>
              <w:bottom w:w="0" w:type="dxa"/>
              <w:right w:w="0" w:type="dxa"/>
            </w:tcMar>
            <w:vAlign w:val="bottom"/>
            <w:hideMark/>
          </w:tcPr>
          <w:p w:rsidR="00000000" w:rsidRDefault="00FF2C06">
            <w:pPr>
              <w:pStyle w:val="a3"/>
              <w:spacing w:before="0" w:beforeAutospacing="0" w:after="1" w:afterAutospacing="0"/>
              <w:ind w:left="120"/>
              <w:rPr>
                <w:sz w:val="20"/>
                <w:szCs w:val="20"/>
              </w:rPr>
            </w:pPr>
            <w:r>
              <w:rPr>
                <w:sz w:val="20"/>
                <w:szCs w:val="20"/>
              </w:rPr>
              <w:t>Total lease cost</w:t>
            </w:r>
          </w:p>
        </w:tc>
        <w:tc>
          <w:tcPr>
            <w:tcW w:w="9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 w:type="pct"/>
            <w:tcBorders>
              <w:bottom w:val="doub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08" w:type="pct"/>
            <w:tcBorders>
              <w:bottom w:val="doub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3,380</w:t>
            </w:r>
          </w:p>
        </w:tc>
        <w:tc>
          <w:tcPr>
            <w:tcW w:w="9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 w:type="pct"/>
            <w:tcBorders>
              <w:bottom w:val="doub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09" w:type="pct"/>
            <w:tcBorders>
              <w:bottom w:val="doub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4,195</w:t>
            </w:r>
          </w:p>
        </w:tc>
        <w:tc>
          <w:tcPr>
            <w:tcW w:w="94" w:type="pct"/>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w:t>
            </w:r>
          </w:p>
        </w:tc>
        <w:tc>
          <w:tcPr>
            <w:tcW w:w="55" w:type="pct"/>
            <w:tcBorders>
              <w:bottom w:val="doub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08" w:type="pct"/>
            <w:tcBorders>
              <w:bottom w:val="doub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9,751</w:t>
            </w:r>
          </w:p>
        </w:tc>
        <w:tc>
          <w:tcPr>
            <w:tcW w:w="94" w:type="pct"/>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w:t>
            </w:r>
          </w:p>
        </w:tc>
        <w:tc>
          <w:tcPr>
            <w:tcW w:w="55" w:type="pct"/>
            <w:tcBorders>
              <w:bottom w:val="doub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09" w:type="pct"/>
            <w:tcBorders>
              <w:bottom w:val="doub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9,448</w:t>
            </w:r>
          </w:p>
        </w:tc>
        <w:tc>
          <w:tcPr>
            <w:tcW w:w="90"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1815289574"/>
        </w:trPr>
        <w:tc>
          <w:tcPr>
            <w:tcW w:w="2676"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0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0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0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0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1815289574"/>
        </w:trPr>
        <w:tc>
          <w:tcPr>
            <w:tcW w:w="2676"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i/>
                <w:iCs/>
                <w:sz w:val="20"/>
                <w:szCs w:val="20"/>
              </w:rPr>
              <w:t>Other information</w:t>
            </w:r>
          </w:p>
        </w:tc>
        <w:tc>
          <w:tcPr>
            <w:tcW w:w="9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08" w:type="pct"/>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09" w:type="pct"/>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08"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0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1815289574"/>
        </w:trPr>
        <w:tc>
          <w:tcPr>
            <w:tcW w:w="267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0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0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0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0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1815289574"/>
        </w:trPr>
        <w:tc>
          <w:tcPr>
            <w:tcW w:w="2676"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Cash paid for amounts included in the measurement of lease liabilities included in Operating cashflows</w:t>
            </w:r>
          </w:p>
        </w:tc>
        <w:tc>
          <w:tcPr>
            <w:tcW w:w="9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08"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1,893</w:t>
            </w:r>
          </w:p>
        </w:tc>
        <w:tc>
          <w:tcPr>
            <w:tcW w:w="9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09"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2,463</w:t>
            </w:r>
          </w:p>
        </w:tc>
        <w:tc>
          <w:tcPr>
            <w:tcW w:w="9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08"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5,995</w:t>
            </w:r>
          </w:p>
        </w:tc>
        <w:tc>
          <w:tcPr>
            <w:tcW w:w="9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09"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5,861</w:t>
            </w:r>
          </w:p>
        </w:tc>
        <w:tc>
          <w:tcPr>
            <w:tcW w:w="90"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1815289574"/>
        </w:trPr>
        <w:tc>
          <w:tcPr>
            <w:tcW w:w="267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Increase in right-of-use assets from the adoption of Topic 842</w:t>
            </w:r>
          </w:p>
        </w:tc>
        <w:tc>
          <w:tcPr>
            <w:tcW w:w="9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0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0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0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0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10,380</w:t>
            </w:r>
          </w:p>
        </w:tc>
        <w:tc>
          <w:tcPr>
            <w:tcW w:w="90"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1815289574"/>
        </w:trPr>
        <w:tc>
          <w:tcPr>
            <w:tcW w:w="2676"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Right-of-use assets obtained from entering new leases</w:t>
            </w:r>
          </w:p>
        </w:tc>
        <w:tc>
          <w:tcPr>
            <w:tcW w:w="9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08"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4,667</w:t>
            </w:r>
          </w:p>
        </w:tc>
        <w:tc>
          <w:tcPr>
            <w:tcW w:w="9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09"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3,426</w:t>
            </w:r>
          </w:p>
        </w:tc>
        <w:tc>
          <w:tcPr>
            <w:tcW w:w="9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08"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4,667</w:t>
            </w:r>
          </w:p>
        </w:tc>
        <w:tc>
          <w:tcPr>
            <w:tcW w:w="9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09"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4,092</w:t>
            </w:r>
          </w:p>
        </w:tc>
        <w:tc>
          <w:tcPr>
            <w:tcW w:w="90"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1815289574"/>
        </w:trPr>
        <w:tc>
          <w:tcPr>
            <w:tcW w:w="267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Increase in right-of-use assets from lease modifications</w:t>
            </w:r>
          </w:p>
        </w:tc>
        <w:tc>
          <w:tcPr>
            <w:tcW w:w="9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0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206</w:t>
            </w:r>
          </w:p>
        </w:tc>
        <w:tc>
          <w:tcPr>
            <w:tcW w:w="9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0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1,056</w:t>
            </w:r>
          </w:p>
        </w:tc>
        <w:tc>
          <w:tcPr>
            <w:tcW w:w="9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0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534</w:t>
            </w:r>
          </w:p>
        </w:tc>
        <w:tc>
          <w:tcPr>
            <w:tcW w:w="9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0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4,698</w:t>
            </w:r>
          </w:p>
        </w:tc>
        <w:tc>
          <w:tcPr>
            <w:tcW w:w="90"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1815289574"/>
        </w:trPr>
        <w:tc>
          <w:tcPr>
            <w:tcW w:w="2676"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Weighted-average remaining lease terms (years)</w:t>
            </w:r>
          </w:p>
        </w:tc>
        <w:tc>
          <w:tcPr>
            <w:tcW w:w="93"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08" w:type="pct"/>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09" w:type="pct"/>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08"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1.71</w:t>
            </w:r>
          </w:p>
        </w:tc>
        <w:tc>
          <w:tcPr>
            <w:tcW w:w="94"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09"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1.74</w:t>
            </w:r>
          </w:p>
        </w:tc>
        <w:tc>
          <w:tcPr>
            <w:tcW w:w="90"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r w:rsidR="00000000">
        <w:trPr>
          <w:divId w:val="1815289574"/>
        </w:trPr>
        <w:tc>
          <w:tcPr>
            <w:tcW w:w="267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Weighted-average discount rates</w:t>
            </w:r>
          </w:p>
        </w:tc>
        <w:tc>
          <w:tcPr>
            <w:tcW w:w="9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0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0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0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7.5</w:t>
            </w:r>
          </w:p>
        </w:tc>
        <w:tc>
          <w:tcPr>
            <w:tcW w:w="9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rFonts w:ascii="Calibri" w:hAnsi="Calibri" w:cs="Calibri"/>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0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7.9</w:t>
            </w:r>
          </w:p>
        </w:tc>
        <w:tc>
          <w:tcPr>
            <w:tcW w:w="90"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r>
    </w:tbl>
    <w:p w:rsidR="00000000" w:rsidRDefault="00FF2C06">
      <w:pPr>
        <w:pStyle w:val="a3"/>
        <w:spacing w:before="0" w:beforeAutospacing="0" w:after="0" w:afterAutospacing="0"/>
        <w:divId w:val="1815289574"/>
        <w:rPr>
          <w:sz w:val="20"/>
          <w:szCs w:val="20"/>
        </w:rPr>
      </w:pPr>
      <w:r>
        <w:rPr>
          <w:sz w:val="20"/>
          <w:szCs w:val="20"/>
        </w:rPr>
        <w:t>​</w:t>
      </w:r>
    </w:p>
    <w:p w:rsidR="00000000" w:rsidRDefault="00FF2C06">
      <w:pPr>
        <w:pStyle w:val="a3"/>
        <w:spacing w:before="0" w:beforeAutospacing="0" w:after="200" w:afterAutospacing="0"/>
        <w:ind w:firstLine="547"/>
        <w:divId w:val="1815289574"/>
        <w:rPr>
          <w:sz w:val="20"/>
          <w:szCs w:val="20"/>
        </w:rPr>
      </w:pPr>
      <w:r>
        <w:rPr>
          <w:sz w:val="20"/>
          <w:szCs w:val="20"/>
        </w:rPr>
        <w:t>Variable lease cost is determined based on performance or usage in accordance with the contractual agreements, and not based on an index or rate.</w:t>
      </w:r>
    </w:p>
    <w:p w:rsidR="00000000" w:rsidRDefault="00FF2C06">
      <w:pPr>
        <w:pStyle w:val="a3"/>
        <w:spacing w:before="480" w:beforeAutospacing="0" w:after="0" w:afterAutospacing="0"/>
        <w:jc w:val="center"/>
        <w:divId w:val="4989651"/>
        <w:rPr>
          <w:sz w:val="20"/>
          <w:szCs w:val="20"/>
        </w:rPr>
      </w:pPr>
      <w:r>
        <w:rPr>
          <w:sz w:val="20"/>
          <w:szCs w:val="20"/>
        </w:rPr>
        <w:t>26</w:t>
      </w:r>
    </w:p>
    <w:p w:rsidR="00000000" w:rsidRDefault="00FF2C06">
      <w:pPr>
        <w:pStyle w:val="a3"/>
        <w:spacing w:before="0" w:beforeAutospacing="0" w:after="600" w:afterAutospacing="0"/>
        <w:divId w:val="1910264216"/>
        <w:rPr>
          <w:sz w:val="20"/>
          <w:szCs w:val="20"/>
        </w:rPr>
      </w:pPr>
      <w:hyperlink w:anchor="TOC" w:history="1">
        <w:r>
          <w:rPr>
            <w:rStyle w:val="a4"/>
            <w:sz w:val="20"/>
            <w:szCs w:val="20"/>
          </w:rPr>
          <w:t>Table of Contents</w:t>
        </w:r>
      </w:hyperlink>
    </w:p>
    <w:p w:rsidR="00000000" w:rsidRDefault="00FF2C06">
      <w:pPr>
        <w:pStyle w:val="a3"/>
        <w:spacing w:before="0" w:beforeAutospacing="0" w:after="0" w:afterAutospacing="0"/>
        <w:ind w:firstLine="547"/>
        <w:divId w:val="1155488275"/>
        <w:rPr>
          <w:sz w:val="20"/>
          <w:szCs w:val="20"/>
        </w:rPr>
      </w:pPr>
      <w:r>
        <w:rPr>
          <w:sz w:val="20"/>
          <w:szCs w:val="20"/>
        </w:rPr>
        <w:t>As of September 30, 2020, the maturities of the Company’s opera</w:t>
      </w:r>
      <w:r>
        <w:rPr>
          <w:sz w:val="20"/>
          <w:szCs w:val="20"/>
        </w:rPr>
        <w:t>ting lease liabilities were as follows (in thousands):</w:t>
      </w:r>
    </w:p>
    <w:p w:rsidR="00000000" w:rsidRDefault="00FF2C06">
      <w:pPr>
        <w:pStyle w:val="a3"/>
        <w:spacing w:before="0" w:beforeAutospacing="0" w:after="0" w:afterAutospacing="0"/>
        <w:divId w:val="1155488275"/>
        <w:rPr>
          <w:sz w:val="20"/>
          <w:szCs w:val="20"/>
        </w:rPr>
      </w:pPr>
      <w:r>
        <w:rPr>
          <w:sz w:val="20"/>
          <w:szCs w:val="20"/>
        </w:rPr>
        <w:t>​</w:t>
      </w:r>
    </w:p>
    <w:tbl>
      <w:tblPr>
        <w:tblW w:w="4000" w:type="pct"/>
        <w:tblCellMar>
          <w:top w:w="15" w:type="dxa"/>
          <w:left w:w="0" w:type="dxa"/>
          <w:bottom w:w="15" w:type="dxa"/>
          <w:right w:w="0" w:type="dxa"/>
        </w:tblCellMar>
        <w:tblLook w:val="04A0" w:firstRow="1" w:lastRow="0" w:firstColumn="1" w:lastColumn="0" w:noHBand="0" w:noVBand="1"/>
      </w:tblPr>
      <w:tblGrid>
        <w:gridCol w:w="3946"/>
        <w:gridCol w:w="157"/>
        <w:gridCol w:w="100"/>
        <w:gridCol w:w="640"/>
        <w:gridCol w:w="160"/>
        <w:gridCol w:w="101"/>
        <w:gridCol w:w="640"/>
        <w:gridCol w:w="160"/>
        <w:gridCol w:w="100"/>
        <w:gridCol w:w="641"/>
      </w:tblGrid>
      <w:tr w:rsidR="00000000">
        <w:trPr>
          <w:divId w:val="1155488275"/>
          <w:trHeight w:val="20"/>
        </w:trPr>
        <w:tc>
          <w:tcPr>
            <w:tcW w:w="2968" w:type="pct"/>
            <w:tcMar>
              <w:top w:w="0" w:type="dxa"/>
              <w:left w:w="0" w:type="dxa"/>
              <w:bottom w:w="0" w:type="dxa"/>
              <w:right w:w="0" w:type="dxa"/>
            </w:tcMar>
            <w:vAlign w:val="bottom"/>
            <w:hideMark/>
          </w:tcPr>
          <w:p w:rsidR="00000000" w:rsidRDefault="00FF2C06">
            <w:pPr>
              <w:pStyle w:val="a3"/>
              <w:spacing w:before="0" w:beforeAutospacing="0" w:after="1" w:afterAutospacing="0"/>
              <w:divId w:val="1406801664"/>
              <w:rPr>
                <w:sz w:val="20"/>
                <w:szCs w:val="20"/>
              </w:rPr>
            </w:pPr>
            <w:r>
              <w:rPr>
                <w:sz w:val="2"/>
                <w:szCs w:val="2"/>
              </w:rPr>
              <w:t>​</w:t>
            </w:r>
          </w:p>
        </w:tc>
        <w:tc>
          <w:tcPr>
            <w:tcW w:w="119"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866363496"/>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92022230"/>
              <w:rPr>
                <w:sz w:val="20"/>
                <w:szCs w:val="20"/>
              </w:rPr>
            </w:pPr>
            <w:r>
              <w:rPr>
                <w:sz w:val="2"/>
                <w:szCs w:val="2"/>
              </w:rPr>
              <w:t>​</w:t>
            </w:r>
          </w:p>
        </w:tc>
        <w:tc>
          <w:tcPr>
            <w:tcW w:w="482"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220285732"/>
              <w:rPr>
                <w:sz w:val="20"/>
                <w:szCs w:val="20"/>
              </w:rPr>
            </w:pPr>
            <w:r>
              <w:rPr>
                <w:sz w:val="2"/>
                <w:szCs w:val="2"/>
              </w:rPr>
              <w:t>​</w:t>
            </w:r>
          </w:p>
        </w:tc>
        <w:tc>
          <w:tcPr>
            <w:tcW w:w="119"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103720514"/>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688167567"/>
              <w:rPr>
                <w:sz w:val="20"/>
                <w:szCs w:val="20"/>
              </w:rPr>
            </w:pPr>
            <w:r>
              <w:rPr>
                <w:sz w:val="2"/>
                <w:szCs w:val="2"/>
              </w:rPr>
              <w:t>​</w:t>
            </w:r>
          </w:p>
        </w:tc>
        <w:tc>
          <w:tcPr>
            <w:tcW w:w="482"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243295414"/>
              <w:rPr>
                <w:sz w:val="20"/>
                <w:szCs w:val="20"/>
              </w:rPr>
            </w:pPr>
            <w:r>
              <w:rPr>
                <w:sz w:val="2"/>
                <w:szCs w:val="2"/>
              </w:rPr>
              <w:t>​</w:t>
            </w:r>
          </w:p>
        </w:tc>
        <w:tc>
          <w:tcPr>
            <w:tcW w:w="119"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1333752399"/>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2004121288"/>
              <w:rPr>
                <w:sz w:val="20"/>
                <w:szCs w:val="20"/>
              </w:rPr>
            </w:pPr>
            <w:r>
              <w:rPr>
                <w:sz w:val="2"/>
                <w:szCs w:val="2"/>
              </w:rPr>
              <w:t>​</w:t>
            </w:r>
          </w:p>
        </w:tc>
        <w:tc>
          <w:tcPr>
            <w:tcW w:w="482" w:type="pct"/>
            <w:noWrap/>
            <w:tcMar>
              <w:top w:w="0" w:type="dxa"/>
              <w:left w:w="0" w:type="dxa"/>
              <w:bottom w:w="0" w:type="dxa"/>
              <w:right w:w="0" w:type="dxa"/>
            </w:tcMar>
            <w:vAlign w:val="bottom"/>
            <w:hideMark/>
          </w:tcPr>
          <w:p w:rsidR="00000000" w:rsidRDefault="00FF2C06">
            <w:pPr>
              <w:pStyle w:val="a3"/>
              <w:spacing w:before="0" w:beforeAutospacing="0" w:after="1" w:afterAutospacing="0"/>
              <w:divId w:val="634607116"/>
              <w:rPr>
                <w:sz w:val="20"/>
                <w:szCs w:val="20"/>
              </w:rPr>
            </w:pPr>
            <w:r>
              <w:rPr>
                <w:sz w:val="2"/>
                <w:szCs w:val="2"/>
              </w:rPr>
              <w:t>​</w:t>
            </w:r>
          </w:p>
        </w:tc>
      </w:tr>
      <w:tr w:rsidR="00000000">
        <w:trPr>
          <w:divId w:val="1155488275"/>
        </w:trPr>
        <w:tc>
          <w:tcPr>
            <w:tcW w:w="2968" w:type="pct"/>
            <w:tcMar>
              <w:top w:w="0" w:type="dxa"/>
              <w:left w:w="0" w:type="dxa"/>
              <w:bottom w:w="0" w:type="dxa"/>
              <w:right w:w="0" w:type="dxa"/>
            </w:tcMar>
            <w:vAlign w:val="bottom"/>
            <w:hideMark/>
          </w:tcPr>
          <w:p w:rsidR="00000000" w:rsidRDefault="00FF2C06">
            <w:pPr>
              <w:pStyle w:val="a3"/>
              <w:spacing w:before="0" w:beforeAutospacing="0" w:after="1" w:afterAutospacing="0"/>
              <w:rPr>
                <w:sz w:val="16"/>
                <w:szCs w:val="16"/>
              </w:rPr>
            </w:pPr>
            <w:r>
              <w:rPr>
                <w:sz w:val="16"/>
                <w:szCs w:val="16"/>
              </w:rPr>
              <w:t>​</w:t>
            </w:r>
          </w:p>
        </w:tc>
        <w:tc>
          <w:tcPr>
            <w:tcW w:w="119"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b/>
                <w:bCs/>
                <w:sz w:val="16"/>
                <w:szCs w:val="16"/>
              </w:rPr>
              <w:t>​</w:t>
            </w:r>
          </w:p>
        </w:tc>
        <w:tc>
          <w:tcPr>
            <w:tcW w:w="75"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b/>
                <w:bCs/>
                <w:sz w:val="16"/>
                <w:szCs w:val="16"/>
              </w:rPr>
              <w:t>​</w:t>
            </w:r>
          </w:p>
        </w:tc>
        <w:tc>
          <w:tcPr>
            <w:tcW w:w="482"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b/>
                <w:bCs/>
                <w:sz w:val="16"/>
                <w:szCs w:val="16"/>
              </w:rPr>
              <w:t>​</w:t>
            </w:r>
          </w:p>
        </w:tc>
        <w:tc>
          <w:tcPr>
            <w:tcW w:w="119"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    </w:t>
            </w:r>
          </w:p>
        </w:tc>
        <w:tc>
          <w:tcPr>
            <w:tcW w:w="557" w:type="pct"/>
            <w:gridSpan w:val="2"/>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CMO</w:t>
            </w:r>
          </w:p>
        </w:tc>
        <w:tc>
          <w:tcPr>
            <w:tcW w:w="119"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    </w:t>
            </w:r>
          </w:p>
        </w:tc>
        <w:tc>
          <w:tcPr>
            <w:tcW w:w="75"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b/>
                <w:bCs/>
                <w:sz w:val="16"/>
                <w:szCs w:val="16"/>
              </w:rPr>
              <w:t>​</w:t>
            </w:r>
          </w:p>
        </w:tc>
        <w:tc>
          <w:tcPr>
            <w:tcW w:w="482"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b/>
                <w:bCs/>
                <w:sz w:val="16"/>
                <w:szCs w:val="16"/>
              </w:rPr>
              <w:t>​</w:t>
            </w:r>
          </w:p>
        </w:tc>
      </w:tr>
      <w:tr w:rsidR="00000000">
        <w:trPr>
          <w:divId w:val="1155488275"/>
        </w:trPr>
        <w:tc>
          <w:tcPr>
            <w:tcW w:w="2968"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119"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b/>
                <w:bCs/>
                <w:sz w:val="16"/>
                <w:szCs w:val="16"/>
              </w:rPr>
              <w:t>​</w:t>
            </w:r>
          </w:p>
        </w:tc>
        <w:tc>
          <w:tcPr>
            <w:tcW w:w="557" w:type="pct"/>
            <w:gridSpan w:val="2"/>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Facility</w:t>
            </w:r>
          </w:p>
        </w:tc>
        <w:tc>
          <w:tcPr>
            <w:tcW w:w="11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b/>
                <w:bCs/>
                <w:sz w:val="16"/>
                <w:szCs w:val="16"/>
              </w:rPr>
              <w:t>​</w:t>
            </w:r>
          </w:p>
        </w:tc>
        <w:tc>
          <w:tcPr>
            <w:tcW w:w="557" w:type="pct"/>
            <w:gridSpan w:val="2"/>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embedded</w:t>
            </w:r>
          </w:p>
        </w:tc>
        <w:tc>
          <w:tcPr>
            <w:tcW w:w="119"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b/>
                <w:bCs/>
                <w:sz w:val="16"/>
                <w:szCs w:val="16"/>
              </w:rPr>
              <w:t>​</w:t>
            </w:r>
          </w:p>
        </w:tc>
        <w:tc>
          <w:tcPr>
            <w:tcW w:w="75"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b/>
                <w:bCs/>
                <w:sz w:val="16"/>
                <w:szCs w:val="16"/>
              </w:rPr>
              <w:t>​</w:t>
            </w:r>
          </w:p>
        </w:tc>
        <w:tc>
          <w:tcPr>
            <w:tcW w:w="482"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b/>
                <w:bCs/>
                <w:sz w:val="16"/>
                <w:szCs w:val="16"/>
              </w:rPr>
              <w:t>​</w:t>
            </w:r>
          </w:p>
        </w:tc>
      </w:tr>
      <w:tr w:rsidR="00000000">
        <w:trPr>
          <w:divId w:val="1155488275"/>
        </w:trPr>
        <w:tc>
          <w:tcPr>
            <w:tcW w:w="2968"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16"/>
                <w:szCs w:val="16"/>
              </w:rPr>
              <w:t>​</w:t>
            </w:r>
          </w:p>
        </w:tc>
        <w:tc>
          <w:tcPr>
            <w:tcW w:w="119"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20"/>
                <w:szCs w:val="20"/>
              </w:rPr>
            </w:pPr>
            <w:r>
              <w:rPr>
                <w:b/>
                <w:bCs/>
                <w:sz w:val="16"/>
                <w:szCs w:val="16"/>
              </w:rPr>
              <w:t>​</w:t>
            </w:r>
          </w:p>
        </w:tc>
        <w:tc>
          <w:tcPr>
            <w:tcW w:w="557"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leases</w:t>
            </w:r>
          </w:p>
        </w:tc>
        <w:tc>
          <w:tcPr>
            <w:tcW w:w="119"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    </w:t>
            </w:r>
          </w:p>
        </w:tc>
        <w:tc>
          <w:tcPr>
            <w:tcW w:w="557"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leases</w:t>
            </w:r>
          </w:p>
        </w:tc>
        <w:tc>
          <w:tcPr>
            <w:tcW w:w="119" w:type="pct"/>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    </w:t>
            </w:r>
          </w:p>
        </w:tc>
        <w:tc>
          <w:tcPr>
            <w:tcW w:w="557"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center"/>
              <w:rPr>
                <w:sz w:val="16"/>
                <w:szCs w:val="16"/>
              </w:rPr>
            </w:pPr>
            <w:r>
              <w:rPr>
                <w:b/>
                <w:bCs/>
                <w:sz w:val="16"/>
                <w:szCs w:val="16"/>
              </w:rPr>
              <w:t>Total</w:t>
            </w:r>
          </w:p>
        </w:tc>
      </w:tr>
      <w:tr w:rsidR="00000000">
        <w:trPr>
          <w:divId w:val="1155488275"/>
        </w:trPr>
        <w:tc>
          <w:tcPr>
            <w:tcW w:w="2968"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2020</w:t>
            </w:r>
          </w:p>
        </w:tc>
        <w:tc>
          <w:tcPr>
            <w:tcW w:w="11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388</w:t>
            </w:r>
          </w:p>
        </w:tc>
        <w:tc>
          <w:tcPr>
            <w:tcW w:w="11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1,813</w:t>
            </w:r>
          </w:p>
        </w:tc>
        <w:tc>
          <w:tcPr>
            <w:tcW w:w="11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2,201</w:t>
            </w:r>
          </w:p>
        </w:tc>
      </w:tr>
      <w:tr w:rsidR="00000000">
        <w:trPr>
          <w:divId w:val="1155488275"/>
        </w:trPr>
        <w:tc>
          <w:tcPr>
            <w:tcW w:w="2968"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2021</w:t>
            </w:r>
          </w:p>
        </w:tc>
        <w:tc>
          <w:tcPr>
            <w:tcW w:w="11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482"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967</w:t>
            </w:r>
          </w:p>
        </w:tc>
        <w:tc>
          <w:tcPr>
            <w:tcW w:w="11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482"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5,675</w:t>
            </w:r>
          </w:p>
        </w:tc>
        <w:tc>
          <w:tcPr>
            <w:tcW w:w="11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482"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6,642</w:t>
            </w:r>
          </w:p>
        </w:tc>
      </w:tr>
      <w:tr w:rsidR="00000000">
        <w:trPr>
          <w:divId w:val="1155488275"/>
        </w:trPr>
        <w:tc>
          <w:tcPr>
            <w:tcW w:w="2968"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2022</w:t>
            </w:r>
          </w:p>
        </w:tc>
        <w:tc>
          <w:tcPr>
            <w:tcW w:w="11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48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338</w:t>
            </w:r>
          </w:p>
        </w:tc>
        <w:tc>
          <w:tcPr>
            <w:tcW w:w="11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48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1,680</w:t>
            </w:r>
          </w:p>
        </w:tc>
        <w:tc>
          <w:tcPr>
            <w:tcW w:w="11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48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2,018</w:t>
            </w:r>
          </w:p>
        </w:tc>
      </w:tr>
      <w:tr w:rsidR="00000000">
        <w:trPr>
          <w:divId w:val="1155488275"/>
        </w:trPr>
        <w:tc>
          <w:tcPr>
            <w:tcW w:w="2968"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2023</w:t>
            </w:r>
          </w:p>
        </w:tc>
        <w:tc>
          <w:tcPr>
            <w:tcW w:w="11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482"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265</w:t>
            </w:r>
          </w:p>
        </w:tc>
        <w:tc>
          <w:tcPr>
            <w:tcW w:w="11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482"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w:t>
            </w:r>
          </w:p>
        </w:tc>
        <w:tc>
          <w:tcPr>
            <w:tcW w:w="11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482" w:type="pct"/>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265</w:t>
            </w:r>
          </w:p>
        </w:tc>
      </w:tr>
      <w:tr w:rsidR="00000000">
        <w:trPr>
          <w:divId w:val="1155488275"/>
        </w:trPr>
        <w:tc>
          <w:tcPr>
            <w:tcW w:w="2968"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2024</w:t>
            </w:r>
          </w:p>
        </w:tc>
        <w:tc>
          <w:tcPr>
            <w:tcW w:w="11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48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273</w:t>
            </w:r>
          </w:p>
        </w:tc>
        <w:tc>
          <w:tcPr>
            <w:tcW w:w="11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48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w:t>
            </w:r>
          </w:p>
        </w:tc>
        <w:tc>
          <w:tcPr>
            <w:tcW w:w="11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48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273</w:t>
            </w:r>
          </w:p>
        </w:tc>
      </w:tr>
      <w:tr w:rsidR="00000000">
        <w:trPr>
          <w:divId w:val="1155488275"/>
        </w:trPr>
        <w:tc>
          <w:tcPr>
            <w:tcW w:w="2968"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Thereafter</w:t>
            </w:r>
          </w:p>
        </w:tc>
        <w:tc>
          <w:tcPr>
            <w:tcW w:w="11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482"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115</w:t>
            </w:r>
          </w:p>
        </w:tc>
        <w:tc>
          <w:tcPr>
            <w:tcW w:w="11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482"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w:t>
            </w:r>
          </w:p>
        </w:tc>
        <w:tc>
          <w:tcPr>
            <w:tcW w:w="11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482"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115</w:t>
            </w:r>
          </w:p>
        </w:tc>
      </w:tr>
      <w:tr w:rsidR="00000000">
        <w:trPr>
          <w:divId w:val="1155488275"/>
        </w:trPr>
        <w:tc>
          <w:tcPr>
            <w:tcW w:w="2968"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ind w:left="120"/>
              <w:rPr>
                <w:sz w:val="20"/>
                <w:szCs w:val="20"/>
              </w:rPr>
            </w:pPr>
            <w:r>
              <w:rPr>
                <w:sz w:val="20"/>
                <w:szCs w:val="20"/>
              </w:rPr>
              <w:t>Total lease payments</w:t>
            </w:r>
          </w:p>
        </w:tc>
        <w:tc>
          <w:tcPr>
            <w:tcW w:w="11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2,346</w:t>
            </w:r>
          </w:p>
        </w:tc>
        <w:tc>
          <w:tcPr>
            <w:tcW w:w="11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9,168</w:t>
            </w:r>
          </w:p>
        </w:tc>
        <w:tc>
          <w:tcPr>
            <w:tcW w:w="11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11,514</w:t>
            </w:r>
          </w:p>
        </w:tc>
      </w:tr>
      <w:tr w:rsidR="00000000">
        <w:trPr>
          <w:divId w:val="1155488275"/>
        </w:trPr>
        <w:tc>
          <w:tcPr>
            <w:tcW w:w="2968" w:type="pct"/>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Less: Present value adjustmen</w:t>
            </w:r>
            <w:r>
              <w:rPr>
                <w:sz w:val="20"/>
                <w:szCs w:val="20"/>
              </w:rPr>
              <w:t>t</w:t>
            </w:r>
          </w:p>
        </w:tc>
        <w:tc>
          <w:tcPr>
            <w:tcW w:w="11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482"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(144)</w:t>
            </w:r>
          </w:p>
        </w:tc>
        <w:tc>
          <w:tcPr>
            <w:tcW w:w="11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482"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(463)</w:t>
            </w:r>
          </w:p>
        </w:tc>
        <w:tc>
          <w:tcPr>
            <w:tcW w:w="119" w:type="pct"/>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 </w:t>
            </w:r>
          </w:p>
        </w:tc>
        <w:tc>
          <w:tcPr>
            <w:tcW w:w="482"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1" w:afterAutospacing="0"/>
              <w:jc w:val="right"/>
              <w:rPr>
                <w:sz w:val="20"/>
                <w:szCs w:val="20"/>
              </w:rPr>
            </w:pPr>
            <w:r>
              <w:rPr>
                <w:sz w:val="20"/>
                <w:szCs w:val="20"/>
              </w:rPr>
              <w:t>(607)</w:t>
            </w:r>
          </w:p>
        </w:tc>
      </w:tr>
      <w:tr w:rsidR="00000000">
        <w:trPr>
          <w:divId w:val="1155488275"/>
        </w:trPr>
        <w:tc>
          <w:tcPr>
            <w:tcW w:w="2968" w:type="pct"/>
            <w:shd w:val="clear" w:color="auto" w:fill="CCEEFF"/>
            <w:tcMar>
              <w:top w:w="0" w:type="dxa"/>
              <w:left w:w="0" w:type="dxa"/>
              <w:bottom w:w="0" w:type="dxa"/>
              <w:right w:w="0" w:type="dxa"/>
            </w:tcMar>
            <w:vAlign w:val="bottom"/>
            <w:hideMark/>
          </w:tcPr>
          <w:p w:rsidR="00000000" w:rsidRDefault="00FF2C06">
            <w:pPr>
              <w:pStyle w:val="a3"/>
              <w:spacing w:before="0" w:beforeAutospacing="0" w:after="1" w:afterAutospacing="0"/>
              <w:ind w:left="600"/>
              <w:rPr>
                <w:sz w:val="20"/>
                <w:szCs w:val="20"/>
              </w:rPr>
            </w:pPr>
            <w:r>
              <w:rPr>
                <w:sz w:val="20"/>
                <w:szCs w:val="20"/>
              </w:rPr>
              <w:t>Operating lease liabilities</w:t>
            </w:r>
          </w:p>
        </w:tc>
        <w:tc>
          <w:tcPr>
            <w:tcW w:w="11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2,202</w:t>
            </w:r>
          </w:p>
        </w:tc>
        <w:tc>
          <w:tcPr>
            <w:tcW w:w="11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8,705</w:t>
            </w:r>
          </w:p>
        </w:tc>
        <w:tc>
          <w:tcPr>
            <w:tcW w:w="11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rPr>
                <w:sz w:val="20"/>
                <w:szCs w:val="20"/>
              </w:rPr>
            </w:pPr>
            <w:r>
              <w:rPr>
                <w:sz w:val="20"/>
                <w:szCs w:val="20"/>
              </w:rPr>
              <w:t>$</w:t>
            </w:r>
          </w:p>
        </w:tc>
        <w:tc>
          <w:tcPr>
            <w:tcW w:w="4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1" w:afterAutospacing="0"/>
              <w:ind w:right="72"/>
              <w:jc w:val="right"/>
              <w:rPr>
                <w:sz w:val="20"/>
                <w:szCs w:val="20"/>
              </w:rPr>
            </w:pPr>
            <w:r>
              <w:rPr>
                <w:sz w:val="20"/>
                <w:szCs w:val="20"/>
              </w:rPr>
              <w:t>10,907</w:t>
            </w:r>
          </w:p>
        </w:tc>
      </w:tr>
    </w:tbl>
    <w:p w:rsidR="00000000" w:rsidRDefault="00FF2C06">
      <w:pPr>
        <w:pStyle w:val="a3"/>
        <w:spacing w:before="0" w:beforeAutospacing="0" w:after="0" w:afterAutospacing="0"/>
        <w:divId w:val="1155488275"/>
        <w:rPr>
          <w:sz w:val="20"/>
          <w:szCs w:val="20"/>
        </w:rPr>
      </w:pPr>
      <w:r>
        <w:rPr>
          <w:sz w:val="20"/>
          <w:szCs w:val="20"/>
        </w:rPr>
        <w:t>​</w:t>
      </w:r>
    </w:p>
    <w:p w:rsidR="00000000" w:rsidRDefault="00FF2C06">
      <w:pPr>
        <w:pStyle w:val="a3"/>
        <w:spacing w:before="0" w:beforeAutospacing="0" w:after="0" w:afterAutospacing="0"/>
        <w:ind w:firstLine="547"/>
        <w:divId w:val="1155488275"/>
        <w:rPr>
          <w:sz w:val="20"/>
          <w:szCs w:val="20"/>
        </w:rPr>
      </w:pPr>
      <w:r>
        <w:rPr>
          <w:sz w:val="20"/>
          <w:szCs w:val="20"/>
        </w:rPr>
        <w:t>Operating lease liabilities are based on the net present value of the remaining lease payments over the remaining lease term. In determining the present value of lease payments, the Company used its incremental borrowing rate based on the information avail</w:t>
      </w:r>
      <w:r>
        <w:rPr>
          <w:sz w:val="20"/>
          <w:szCs w:val="20"/>
        </w:rPr>
        <w:t>able at the date of adoption of Topic 842. As of September 30, 2020, the weighted average remaining lease term is 1.71 years and the weighted average discount rate used to determine the operating lease liabilities was 7.5%. As of September 30, 2020, the Co</w:t>
      </w:r>
      <w:r>
        <w:rPr>
          <w:sz w:val="20"/>
          <w:szCs w:val="20"/>
        </w:rPr>
        <w:t>mpany has a finance lease for the commercial manufacturing facility that has not yet commenced. This finance lease will commence in December 2020 with a lease term of 20 years.</w:t>
      </w:r>
    </w:p>
    <w:p w:rsidR="00000000" w:rsidRDefault="00FF2C06">
      <w:pPr>
        <w:pStyle w:val="a3"/>
        <w:spacing w:before="0" w:beforeAutospacing="0" w:after="0" w:afterAutospacing="0"/>
        <w:ind w:firstLine="547"/>
        <w:divId w:val="1155488275"/>
        <w:rPr>
          <w:sz w:val="20"/>
          <w:szCs w:val="20"/>
        </w:rPr>
      </w:pPr>
      <w:r>
        <w:rPr>
          <w:sz w:val="2"/>
          <w:szCs w:val="2"/>
        </w:rPr>
        <w:t>​</w:t>
      </w:r>
    </w:p>
    <w:p w:rsidR="00000000" w:rsidRDefault="00FF2C06">
      <w:pPr>
        <w:pStyle w:val="a3"/>
        <w:spacing w:before="0" w:beforeAutospacing="0" w:after="0" w:afterAutospacing="0"/>
        <w:divId w:val="1155488275"/>
        <w:rPr>
          <w:sz w:val="20"/>
          <w:szCs w:val="20"/>
        </w:rPr>
      </w:pPr>
      <w:r>
        <w:rPr>
          <w:sz w:val="20"/>
          <w:szCs w:val="20"/>
        </w:rPr>
        <w:t>​</w:t>
      </w:r>
    </w:p>
    <w:p w:rsidR="00000000" w:rsidRDefault="00FF2C06">
      <w:pPr>
        <w:pStyle w:val="a3"/>
        <w:spacing w:before="0" w:beforeAutospacing="0" w:after="200" w:afterAutospacing="0"/>
        <w:divId w:val="1155488275"/>
        <w:rPr>
          <w:b/>
          <w:bCs/>
          <w:sz w:val="20"/>
          <w:szCs w:val="20"/>
        </w:rPr>
      </w:pPr>
      <w:r>
        <w:rPr>
          <w:b/>
          <w:bCs/>
          <w:sz w:val="20"/>
          <w:szCs w:val="20"/>
          <w:u w:val="single"/>
        </w:rPr>
        <w:t>NOTE 10. CLOUD COMPUTING ARRANGEMENTS</w:t>
      </w:r>
    </w:p>
    <w:p w:rsidR="00000000" w:rsidRDefault="00FF2C06">
      <w:pPr>
        <w:pStyle w:val="a3"/>
        <w:spacing w:before="0" w:beforeAutospacing="0" w:after="200" w:afterAutospacing="0"/>
        <w:ind w:firstLine="547"/>
        <w:divId w:val="1155488275"/>
        <w:rPr>
          <w:sz w:val="20"/>
          <w:szCs w:val="20"/>
        </w:rPr>
      </w:pPr>
      <w:r>
        <w:rPr>
          <w:sz w:val="20"/>
          <w:szCs w:val="20"/>
        </w:rPr>
        <w:t>The Company defers implementation cos</w:t>
      </w:r>
      <w:r>
        <w:rPr>
          <w:sz w:val="20"/>
          <w:szCs w:val="20"/>
        </w:rPr>
        <w:t xml:space="preserve">ts incurred in cloud computing arrangements in accordance with ASC 2018-15 and amortizes it over the noncancelable term of the cloud computing arrangements plus any optional renewal periods (1) that are reasonably certain to be exercised by the Company or </w:t>
      </w:r>
      <w:r>
        <w:rPr>
          <w:sz w:val="20"/>
          <w:szCs w:val="20"/>
        </w:rPr>
        <w:t>(2) for which exercises, of the renewal option is controlled by the cloud service provider. Costs incurred during the application development stage that are directly attributable to developing or obtaining software for internal use are defined as implement</w:t>
      </w:r>
      <w:r>
        <w:rPr>
          <w:sz w:val="20"/>
          <w:szCs w:val="20"/>
        </w:rPr>
        <w:t>ation costs and capitalized. Costs incurred during operation and post-implementation stages are charged to expense. As of September 30, 2020, the Company capitalized $0.8 million and included in prepaid expenses and long-term assets in its condensed consol</w:t>
      </w:r>
      <w:r>
        <w:rPr>
          <w:sz w:val="20"/>
          <w:szCs w:val="20"/>
        </w:rPr>
        <w:t>idated balance sheet. The amortization expense recognized for the three and nine months ended September 30, 2020 was de minimis.</w:t>
      </w:r>
    </w:p>
    <w:p w:rsidR="00000000" w:rsidRDefault="00FF2C06">
      <w:pPr>
        <w:pStyle w:val="a3"/>
        <w:spacing w:before="0" w:beforeAutospacing="0" w:after="200" w:afterAutospacing="0"/>
        <w:divId w:val="1155488275"/>
        <w:rPr>
          <w:b/>
          <w:bCs/>
          <w:sz w:val="20"/>
          <w:szCs w:val="20"/>
        </w:rPr>
      </w:pPr>
      <w:r>
        <w:rPr>
          <w:b/>
          <w:bCs/>
          <w:sz w:val="20"/>
          <w:szCs w:val="20"/>
          <w:u w:val="single"/>
        </w:rPr>
        <w:t>NOTE 11. RELATED PARTY TRANSACTIONS</w:t>
      </w:r>
    </w:p>
    <w:p w:rsidR="00000000" w:rsidRDefault="00FF2C06">
      <w:pPr>
        <w:pStyle w:val="a3"/>
        <w:spacing w:before="0" w:beforeAutospacing="0" w:after="0" w:afterAutospacing="0"/>
        <w:ind w:firstLine="547"/>
        <w:divId w:val="1155488275"/>
        <w:rPr>
          <w:sz w:val="20"/>
          <w:szCs w:val="20"/>
        </w:rPr>
      </w:pPr>
      <w:r>
        <w:rPr>
          <w:sz w:val="20"/>
          <w:szCs w:val="20"/>
        </w:rPr>
        <w:t>On September 14, 2017, the Company entered into a three-year consulting agreement with Iain</w:t>
      </w:r>
      <w:r>
        <w:rPr>
          <w:sz w:val="20"/>
          <w:szCs w:val="20"/>
        </w:rPr>
        <w:t xml:space="preserve"> Dukes, D. Phil, the Chairman of the Board. As compensation for his consulting services, the Company granted Dr. Dukes a stock option to purchase up to 150,000 shares of the Company’s common stock, at an exercise price of $7.30 per share. Under the consult</w:t>
      </w:r>
      <w:r>
        <w:rPr>
          <w:sz w:val="20"/>
          <w:szCs w:val="20"/>
        </w:rPr>
        <w:t>ing agreement, Dr. Dukes agreed to provide the Company with services regarding business development opportunities, licensing transactions and technology acquisitions by the Company, and any such strategic initiatives appropriate for the Company that Dr. Du</w:t>
      </w:r>
      <w:r>
        <w:rPr>
          <w:sz w:val="20"/>
          <w:szCs w:val="20"/>
        </w:rPr>
        <w:t>kes may identify. The granted stock options vest in 12 quarterly installments (with 1/12th of the option shares having vested on the date of grant). The vesting of the granted stock options will accelerate, and the entire award will become fully vested upo</w:t>
      </w:r>
      <w:r>
        <w:rPr>
          <w:sz w:val="20"/>
          <w:szCs w:val="20"/>
        </w:rPr>
        <w:t>n the closing of a significant licensing transaction, a material product acquisition, a material strategic transaction, or upon a change of control transaction. The Company recognized zero and $0.1 million in stock-based compensation expense related to thi</w:t>
      </w:r>
      <w:r>
        <w:rPr>
          <w:sz w:val="20"/>
          <w:szCs w:val="20"/>
        </w:rPr>
        <w:t>s consulting agreement during the three months ended September 30, 2020 and 2019, respectively, and $0.2 million and $0.3 million for the nine months ended September 30, 2020 and 2019, respectively. In addition, in connection with the adoption of ASC 2018-</w:t>
      </w:r>
      <w:r>
        <w:rPr>
          <w:sz w:val="20"/>
          <w:szCs w:val="20"/>
        </w:rPr>
        <w:t>07, the Company recognized $0.3 million to retained earnings as of January 1, 2019.</w:t>
      </w:r>
    </w:p>
    <w:p w:rsidR="00000000" w:rsidRDefault="00FF2C06">
      <w:pPr>
        <w:pStyle w:val="a3"/>
        <w:spacing w:before="0" w:beforeAutospacing="0" w:after="200" w:afterAutospacing="0"/>
        <w:divId w:val="1155488275"/>
        <w:rPr>
          <w:b/>
          <w:bCs/>
          <w:sz w:val="20"/>
          <w:szCs w:val="20"/>
        </w:rPr>
      </w:pPr>
      <w:r>
        <w:rPr>
          <w:b/>
          <w:bCs/>
          <w:sz w:val="20"/>
          <w:szCs w:val="20"/>
          <w:u w:val="single"/>
        </w:rPr>
        <w:t>​</w:t>
      </w:r>
    </w:p>
    <w:p w:rsidR="00000000" w:rsidRDefault="00FF2C06">
      <w:pPr>
        <w:pStyle w:val="a3"/>
        <w:spacing w:before="0" w:beforeAutospacing="0" w:after="200" w:afterAutospacing="0"/>
        <w:divId w:val="1155488275"/>
        <w:rPr>
          <w:b/>
          <w:bCs/>
          <w:sz w:val="20"/>
          <w:szCs w:val="20"/>
        </w:rPr>
      </w:pPr>
      <w:r>
        <w:rPr>
          <w:b/>
          <w:bCs/>
          <w:sz w:val="20"/>
          <w:szCs w:val="20"/>
        </w:rPr>
        <w:t>​</w:t>
      </w:r>
    </w:p>
    <w:p w:rsidR="00000000" w:rsidRDefault="00FF2C06">
      <w:pPr>
        <w:pStyle w:val="a3"/>
        <w:spacing w:before="0" w:beforeAutospacing="0" w:after="0" w:afterAutospacing="0"/>
        <w:divId w:val="1155488275"/>
        <w:rPr>
          <w:sz w:val="20"/>
          <w:szCs w:val="20"/>
        </w:rPr>
      </w:pPr>
      <w:r>
        <w:rPr>
          <w:sz w:val="20"/>
          <w:szCs w:val="20"/>
        </w:rPr>
        <w:t>​</w:t>
      </w:r>
    </w:p>
    <w:p w:rsidR="00000000" w:rsidRDefault="00FF2C06">
      <w:pPr>
        <w:pStyle w:val="a3"/>
        <w:spacing w:before="480" w:beforeAutospacing="0" w:after="0" w:afterAutospacing="0"/>
        <w:jc w:val="center"/>
        <w:divId w:val="512375373"/>
        <w:rPr>
          <w:sz w:val="20"/>
          <w:szCs w:val="20"/>
        </w:rPr>
      </w:pPr>
      <w:r>
        <w:rPr>
          <w:sz w:val="20"/>
          <w:szCs w:val="20"/>
        </w:rPr>
        <w:t>27</w:t>
      </w:r>
    </w:p>
    <w:p w:rsidR="00000000" w:rsidRDefault="00FF2C06">
      <w:pPr>
        <w:pStyle w:val="a3"/>
        <w:spacing w:before="0" w:beforeAutospacing="0" w:after="600" w:afterAutospacing="0"/>
        <w:divId w:val="2027630401"/>
        <w:rPr>
          <w:sz w:val="20"/>
          <w:szCs w:val="20"/>
        </w:rPr>
      </w:pPr>
      <w:hyperlink w:anchor="TOC" w:history="1">
        <w:r>
          <w:rPr>
            <w:rStyle w:val="a4"/>
            <w:sz w:val="20"/>
            <w:szCs w:val="20"/>
          </w:rPr>
          <w:t>Table of Contents</w:t>
        </w:r>
      </w:hyperlink>
    </w:p>
    <w:p w:rsidR="00000000" w:rsidRDefault="00FF2C06">
      <w:pPr>
        <w:pStyle w:val="a3"/>
        <w:spacing w:before="0" w:beforeAutospacing="0" w:after="200" w:afterAutospacing="0"/>
        <w:divId w:val="1688601510"/>
        <w:rPr>
          <w:sz w:val="20"/>
          <w:szCs w:val="20"/>
        </w:rPr>
      </w:pPr>
      <w:r>
        <w:rPr>
          <w:b/>
          <w:bCs/>
          <w:color w:val="000000"/>
          <w:sz w:val="20"/>
          <w:szCs w:val="20"/>
        </w:rPr>
        <w:t>Item 2</w:t>
      </w:r>
      <w:r>
        <w:rPr>
          <w:b/>
          <w:bCs/>
          <w:color w:val="000000"/>
          <w:sz w:val="20"/>
          <w:szCs w:val="20"/>
        </w:rPr>
        <w:t>.</w:t>
      </w:r>
      <w:r>
        <w:rPr>
          <w:b/>
          <w:bCs/>
          <w:sz w:val="20"/>
          <w:szCs w:val="20"/>
        </w:rPr>
        <w:t>Management’</w:t>
      </w:r>
      <w:r>
        <w:rPr>
          <w:b/>
          <w:bCs/>
          <w:sz w:val="20"/>
          <w:szCs w:val="20"/>
        </w:rPr>
        <w:t>s Discussion and Analysis of Financial Condition and Results of Operations.</w:t>
      </w:r>
    </w:p>
    <w:p w:rsidR="00000000" w:rsidRDefault="00FF2C06">
      <w:pPr>
        <w:pStyle w:val="a3"/>
        <w:spacing w:before="0" w:beforeAutospacing="0" w:after="240" w:afterAutospacing="0"/>
        <w:ind w:firstLine="547"/>
        <w:divId w:val="1688601510"/>
        <w:rPr>
          <w:sz w:val="20"/>
          <w:szCs w:val="20"/>
        </w:rPr>
      </w:pPr>
      <w:r>
        <w:rPr>
          <w:i/>
          <w:iCs/>
          <w:sz w:val="20"/>
          <w:szCs w:val="20"/>
        </w:rPr>
        <w:t>The management’s discussion and analysis of financial condition as of September 30, 2020 and results of operations for the three and nine months ended September 30, 2020, should be</w:t>
      </w:r>
      <w:r>
        <w:rPr>
          <w:i/>
          <w:iCs/>
          <w:sz w:val="20"/>
          <w:szCs w:val="20"/>
        </w:rPr>
        <w:t xml:space="preserve"> read in conjunction with management’s discussion and analysis of financial condition and results of operations included in our Annual Report on Form 10-K for the year ended December 31, 2019 which was filed with the Securities and Exchange Commission, or </w:t>
      </w:r>
      <w:r>
        <w:rPr>
          <w:i/>
          <w:iCs/>
          <w:sz w:val="20"/>
          <w:szCs w:val="20"/>
        </w:rPr>
        <w:t>SEC, on February 25, 2020. Our discussion includes forward-looking statements based upon current expectations that involve risks and uncertainties, such as our plans, objectives, expectations and intentions. Actual results and the timing of events could di</w:t>
      </w:r>
      <w:r>
        <w:rPr>
          <w:i/>
          <w:iCs/>
          <w:sz w:val="20"/>
          <w:szCs w:val="20"/>
        </w:rPr>
        <w:t>ffer materially from those anticipated in these forward-looking statements as a result of a number of factors, including those set forth under the “Business” section of our Annual Report on Form 10-K and elsewhere in this and other reports we file with the</w:t>
      </w:r>
      <w:r>
        <w:rPr>
          <w:i/>
          <w:iCs/>
          <w:sz w:val="20"/>
          <w:szCs w:val="20"/>
        </w:rPr>
        <w:t xml:space="preserve"> SEC. We use words such as “anticipate,” “estimate,” “plan,” “project,” “continuing,” “ongoing,” “expect,” “believe,” “intend,” “may,” “will,” “should,” “could,” and similar expressions to identify forward-looking statements. All forward-looking statements</w:t>
      </w:r>
      <w:r>
        <w:rPr>
          <w:i/>
          <w:iCs/>
          <w:sz w:val="20"/>
          <w:szCs w:val="20"/>
        </w:rPr>
        <w:t xml:space="preserve"> included in this report are based on information available to us on the date hereof and, except as required by law, we assume no obligation to update any such forward-looking statements. Unless the context requires otherwise, references in this Quarterly </w:t>
      </w:r>
      <w:r>
        <w:rPr>
          <w:i/>
          <w:iCs/>
          <w:sz w:val="20"/>
          <w:szCs w:val="20"/>
        </w:rPr>
        <w:t>Report on Form 10-Q to “Iovance,” “we,” “us” and “our” refer to Iovance Biotherapeutics, Inc. and our subsidiaries.</w:t>
      </w:r>
    </w:p>
    <w:p w:rsidR="00000000" w:rsidRDefault="00FF2C06">
      <w:pPr>
        <w:pStyle w:val="a3"/>
        <w:spacing w:before="0" w:beforeAutospacing="0" w:after="240" w:afterAutospacing="0"/>
        <w:divId w:val="1688601510"/>
        <w:rPr>
          <w:sz w:val="20"/>
          <w:szCs w:val="20"/>
        </w:rPr>
      </w:pPr>
      <w:r>
        <w:rPr>
          <w:b/>
          <w:bCs/>
          <w:sz w:val="20"/>
          <w:szCs w:val="20"/>
        </w:rPr>
        <w:t>Overview</w:t>
      </w:r>
    </w:p>
    <w:p w:rsidR="00000000" w:rsidRDefault="00FF2C06">
      <w:pPr>
        <w:pStyle w:val="a3"/>
        <w:spacing w:before="0" w:beforeAutospacing="0" w:after="240" w:afterAutospacing="0"/>
        <w:ind w:firstLine="540"/>
        <w:divId w:val="1688601510"/>
        <w:rPr>
          <w:sz w:val="20"/>
          <w:szCs w:val="20"/>
        </w:rPr>
      </w:pPr>
      <w:r>
        <w:rPr>
          <w:sz w:val="20"/>
          <w:szCs w:val="20"/>
        </w:rPr>
        <w:t>We are a clinical-stage biopharmaceutical company focused on the development and commercialization of cell therapies as novel cance</w:t>
      </w:r>
      <w:r>
        <w:rPr>
          <w:sz w:val="20"/>
          <w:szCs w:val="20"/>
        </w:rPr>
        <w:t>r immunotherapy products designed to harness the power of a patient’s own immune system to eradicate cancer cells. Tumor infiltrating lymphocyte, or TIL, therapy is an autologous cell therapy platform technology that was originally developed by the Nationa</w:t>
      </w:r>
      <w:r>
        <w:rPr>
          <w:sz w:val="20"/>
          <w:szCs w:val="20"/>
        </w:rPr>
        <w:t>l Cancer Institute, or NCI, which conducted initial clinical trials in diseases such as metastatic melanoma and cervical cancer. We have developed a new, shorter manufacturing process for TIL known as Generation 2, or Gen 2, which yields a cryopreserved TI</w:t>
      </w:r>
      <w:r>
        <w:rPr>
          <w:sz w:val="20"/>
          <w:szCs w:val="20"/>
        </w:rPr>
        <w:t>L product. This proprietary and scalable manufacturing method is being further investigated in multiple indications. Our lead product candidates include lifileucel for metastatic melanoma and metastatic cervical cancer. Lifileucel for metastatic cervical c</w:t>
      </w:r>
      <w:r>
        <w:rPr>
          <w:sz w:val="20"/>
          <w:szCs w:val="20"/>
        </w:rPr>
        <w:t>ancer was formerly known as LN-145. In addition to metastatic melanoma and metastatic cervical cancer, we are investigating the effectiveness and safety of TIL for the treatment of squamous cell carcinoma of the head and neck, non-small cell lung cancer, a</w:t>
      </w:r>
      <w:r>
        <w:rPr>
          <w:sz w:val="20"/>
          <w:szCs w:val="20"/>
        </w:rPr>
        <w:t>nd peripheral blood lymphocyte, or PBL, therapy for chronic lymphocytic leukemia through our sponsored trials, as well as in other oncology indications through collaborations.</w:t>
      </w:r>
    </w:p>
    <w:p w:rsidR="00000000" w:rsidRDefault="00FF2C06">
      <w:pPr>
        <w:pStyle w:val="a3"/>
        <w:spacing w:before="0" w:beforeAutospacing="0" w:after="240" w:afterAutospacing="0"/>
        <w:ind w:firstLine="540"/>
        <w:divId w:val="1688601510"/>
        <w:rPr>
          <w:sz w:val="20"/>
          <w:szCs w:val="20"/>
        </w:rPr>
      </w:pPr>
      <w:r>
        <w:rPr>
          <w:sz w:val="20"/>
          <w:szCs w:val="20"/>
        </w:rPr>
        <w:t>We are conducting a Phase 2 clinical trial, C-144-01, of our lead product candid</w:t>
      </w:r>
      <w:r>
        <w:rPr>
          <w:sz w:val="20"/>
          <w:szCs w:val="20"/>
        </w:rPr>
        <w:t>ate, lifileucel, for the treatment of metastatic melanoma. This multicenter pivotal trial enrolled patients with melanoma whose disease has progressed following treatment with at least one systemic therapy, including a PD-1 inhibitor and if BRAF mutated, a</w:t>
      </w:r>
      <w:r>
        <w:rPr>
          <w:sz w:val="20"/>
          <w:szCs w:val="20"/>
        </w:rPr>
        <w:t xml:space="preserve"> BRAF inhibitor, or a combination of BRAF and MEK inhibitors. Cohort 4 of the C-144-01 clinical trial is a single-arm cohort intended to support a biologics license application, or BLA, submission for lifileucel. The C-144-01 trial uses our proprietary Gen</w:t>
      </w:r>
      <w:r>
        <w:rPr>
          <w:sz w:val="20"/>
          <w:szCs w:val="20"/>
        </w:rPr>
        <w:t xml:space="preserve"> 2 manufacturing process. We completed and closed enrollment of patients into Cohort 2 of the C-144-01 trial in 2018. Results from Cohort 2 of the C-144-01 clinical trial were initially reported at the American Society of Clinical Oncology, or ASCO, annual</w:t>
      </w:r>
      <w:r>
        <w:rPr>
          <w:sz w:val="20"/>
          <w:szCs w:val="20"/>
        </w:rPr>
        <w:t xml:space="preserve"> meeting on June 1, 2019 and subsequently updated at the ASCO annual meeting on May 29, 2020, or ASCO 2020. In 66 patients with metastatic melanoma, treatment with lifileucel resulted in an objective response rate, or ORR, of 36%, as assessed by investigat</w:t>
      </w:r>
      <w:r>
        <w:rPr>
          <w:sz w:val="20"/>
          <w:szCs w:val="20"/>
        </w:rPr>
        <w:t>or, with 2 complete responses and 22 partial responses. The disease control rate, or DCR, was 80.3%. Patients were heavily pretreated and had a mean of 3.3 prior therapies. The data released at ASCO 2020 disclosed that after a median study follow up of 18.</w:t>
      </w:r>
      <w:r>
        <w:rPr>
          <w:sz w:val="20"/>
          <w:szCs w:val="20"/>
        </w:rPr>
        <w:t>7 months for Cohort 2 patients, the median duration of response, or DOR, has not been reached per investigator assessment. Furthermore, durable responses have been observed across a wide age range of metastatic melanoma patients, and among those who have r</w:t>
      </w:r>
      <w:r>
        <w:rPr>
          <w:sz w:val="20"/>
          <w:szCs w:val="20"/>
        </w:rPr>
        <w:t>eceived prior anti-CTLA-4 and BRAF targeted treatments, regardless of BRAF mutation status, and equally in patients with PD-L1 high and low status. The adverse event profile was generally consistent with the underlying advanced disease and the profile of t</w:t>
      </w:r>
      <w:r>
        <w:rPr>
          <w:sz w:val="20"/>
          <w:szCs w:val="20"/>
        </w:rPr>
        <w:t>he lymphodepletion and IL-2 regimens.</w:t>
      </w:r>
    </w:p>
    <w:p w:rsidR="00000000" w:rsidRDefault="00FF2C06">
      <w:pPr>
        <w:pStyle w:val="a3"/>
        <w:spacing w:before="0" w:beforeAutospacing="0" w:after="240" w:afterAutospacing="0"/>
        <w:ind w:firstLine="540"/>
        <w:divId w:val="1688601510"/>
        <w:rPr>
          <w:sz w:val="20"/>
          <w:szCs w:val="20"/>
        </w:rPr>
      </w:pPr>
      <w:r>
        <w:rPr>
          <w:sz w:val="20"/>
          <w:szCs w:val="20"/>
        </w:rPr>
        <w:t>Cohort 4 of in the C-144-01 trial was enrolled to evaluate ORR as read out by an Independent Review Committee, or IRC, as the primary endpoint based on our interpretation of discussions with the U.S. Food and Drug Admi</w:t>
      </w:r>
      <w:r>
        <w:rPr>
          <w:sz w:val="20"/>
          <w:szCs w:val="20"/>
        </w:rPr>
        <w:t>nistration, or FDA, as part of an End of Phase 2, or EOP2, meeting held with the FDA in the third quarter of 2018. In October 2018 and based on the data provided to the FDA during the EOP2 meeting, we announced that lifileucel had received a Regenerative M</w:t>
      </w:r>
      <w:r>
        <w:rPr>
          <w:sz w:val="20"/>
          <w:szCs w:val="20"/>
        </w:rPr>
        <w:t>edicine Advanced Therapy, or RMAT, designation from the FDA.</w:t>
      </w:r>
    </w:p>
    <w:p w:rsidR="00000000" w:rsidRDefault="00FF2C06">
      <w:pPr>
        <w:pStyle w:val="a3"/>
        <w:spacing w:before="0" w:beforeAutospacing="0" w:after="0" w:afterAutospacing="0"/>
        <w:ind w:firstLine="540"/>
        <w:divId w:val="1688601510"/>
        <w:rPr>
          <w:sz w:val="20"/>
          <w:szCs w:val="20"/>
        </w:rPr>
      </w:pPr>
      <w:r>
        <w:rPr>
          <w:sz w:val="20"/>
          <w:szCs w:val="20"/>
        </w:rPr>
        <w:t xml:space="preserve">Enrollment in pivotal Cohort 4 in the C-144-01 trial commenced in March 2019 and patient dosing was completed in January 2020. A total of 89 patients were dosed in Cohort 4. Initial results from </w:t>
      </w:r>
      <w:r>
        <w:rPr>
          <w:sz w:val="20"/>
          <w:szCs w:val="20"/>
        </w:rPr>
        <w:t xml:space="preserve">the pivotal Cohort 4 are available for 68 patients with two radiological assessments, as determined by investigator. Lifileucel shows a 32.4% ORR, including 1 complete response and 21 partial </w:t>
      </w:r>
    </w:p>
    <w:p w:rsidR="00000000" w:rsidRDefault="00FF2C06">
      <w:pPr>
        <w:pStyle w:val="a3"/>
        <w:spacing w:before="480" w:beforeAutospacing="0" w:after="0" w:afterAutospacing="0"/>
        <w:jc w:val="center"/>
        <w:divId w:val="1906917595"/>
        <w:rPr>
          <w:sz w:val="20"/>
          <w:szCs w:val="20"/>
        </w:rPr>
      </w:pPr>
      <w:r>
        <w:rPr>
          <w:sz w:val="20"/>
          <w:szCs w:val="20"/>
        </w:rPr>
        <w:t>28</w:t>
      </w:r>
    </w:p>
    <w:p w:rsidR="00000000" w:rsidRDefault="00FF2C06">
      <w:pPr>
        <w:pStyle w:val="a3"/>
        <w:spacing w:before="0" w:beforeAutospacing="0" w:after="600" w:afterAutospacing="0"/>
        <w:divId w:val="1954021667"/>
        <w:rPr>
          <w:sz w:val="20"/>
          <w:szCs w:val="20"/>
        </w:rPr>
      </w:pPr>
      <w:hyperlink w:anchor="TOC" w:history="1">
        <w:r>
          <w:rPr>
            <w:rStyle w:val="a4"/>
            <w:sz w:val="20"/>
            <w:szCs w:val="20"/>
          </w:rPr>
          <w:t>Table of Contents</w:t>
        </w:r>
      </w:hyperlink>
    </w:p>
    <w:p w:rsidR="00000000" w:rsidRDefault="00FF2C06">
      <w:pPr>
        <w:pStyle w:val="a3"/>
        <w:spacing w:before="0" w:beforeAutospacing="0" w:after="240" w:afterAutospacing="0"/>
        <w:divId w:val="753355970"/>
        <w:rPr>
          <w:sz w:val="20"/>
          <w:szCs w:val="20"/>
        </w:rPr>
      </w:pPr>
      <w:r>
        <w:rPr>
          <w:sz w:val="20"/>
          <w:szCs w:val="20"/>
        </w:rPr>
        <w:t xml:space="preserve">responses, 2 of </w:t>
      </w:r>
      <w:r>
        <w:rPr>
          <w:sz w:val="20"/>
          <w:szCs w:val="20"/>
        </w:rPr>
        <w:t>which are yet to be confirmed with follow up visits, and a DCR of 72.1% as of the data cut off of March 16, 2020, corresponding to 5.3 months of median study follow up. This data is highly consistent with the Cohort 2 data read out at a similar median dura</w:t>
      </w:r>
      <w:r>
        <w:rPr>
          <w:sz w:val="20"/>
          <w:szCs w:val="20"/>
        </w:rPr>
        <w:t>tion of study follow up. The ORR of Cohort 2 at a median study follow up of 6 months was 33%. In October 2020, after a Type B meeting with the FDA, we announced that we had delayed our BLA submission for lifileucel in metastatic melanoma until a date now e</w:t>
      </w:r>
      <w:r>
        <w:rPr>
          <w:sz w:val="20"/>
          <w:szCs w:val="20"/>
        </w:rPr>
        <w:t>xpected to occur in 2021 as a result of FDA feedback, in order to allow us to simultaneously refine existing and develop new potency assays. At the same time, we also announced that we had reached agreement with the FDA on the duration of follow up for Coh</w:t>
      </w:r>
      <w:r>
        <w:rPr>
          <w:sz w:val="20"/>
          <w:szCs w:val="20"/>
        </w:rPr>
        <w:t xml:space="preserve">ort 4 to support our BLA submission for lifileucel in the treatment of metastatic melanoma. </w:t>
      </w:r>
    </w:p>
    <w:p w:rsidR="00000000" w:rsidRDefault="00FF2C06">
      <w:pPr>
        <w:pStyle w:val="a3"/>
        <w:spacing w:before="0" w:beforeAutospacing="0" w:after="240" w:afterAutospacing="0"/>
        <w:ind w:firstLine="540"/>
        <w:divId w:val="753355970"/>
        <w:rPr>
          <w:sz w:val="20"/>
          <w:szCs w:val="20"/>
        </w:rPr>
      </w:pPr>
      <w:r>
        <w:rPr>
          <w:sz w:val="20"/>
          <w:szCs w:val="20"/>
        </w:rPr>
        <w:t>We are also conducting a Phase 2 clinical trial, C-145-04, which is a multicenter pivotal trial that will assess the safety and efficacy of lifileucel for the trea</w:t>
      </w:r>
      <w:r>
        <w:rPr>
          <w:sz w:val="20"/>
          <w:szCs w:val="20"/>
        </w:rPr>
        <w:t xml:space="preserve">tment of patients with recurrent, metastatic or persistent cervical cancer. In February 2019, lifileucel received Fast Track designation from the FDA for development in the treatment of cervical cancer with disease progression on or after chemotherapy. In </w:t>
      </w:r>
      <w:r>
        <w:rPr>
          <w:sz w:val="20"/>
          <w:szCs w:val="20"/>
        </w:rPr>
        <w:t>March 2019, the protocol for this trial was amended to modify the primary endpoint of ORR to be determined by IRC. In May 2019, lifileucel received Breakthrough Therapy designation, or BTD, from the FDA for the development in the treatment of cervical canc</w:t>
      </w:r>
      <w:r>
        <w:rPr>
          <w:sz w:val="20"/>
          <w:szCs w:val="20"/>
        </w:rPr>
        <w:t>er. Updated results from the C-145-04 clinical trial were reported at the ASCO annual meeting on June 1, 2019. In 27 patients with metastatic cervical cancer, treatment with lifileucel resulted in an ORR of 44%. At the time of the study data cut, there wer</w:t>
      </w:r>
      <w:r>
        <w:rPr>
          <w:sz w:val="20"/>
          <w:szCs w:val="20"/>
        </w:rPr>
        <w:t>e 3 complete responses and 9 partial responses. The DCR was 85%. Patients were heavily pretreated and had a mean of 2.4 prior therapies. The DOR had not been reached. The adverse event profile was generally consistent with the underlying advanced disease a</w:t>
      </w:r>
      <w:r>
        <w:rPr>
          <w:sz w:val="20"/>
          <w:szCs w:val="20"/>
        </w:rPr>
        <w:t>nd the profile of the lymphodepletion and IL-2 regimens. Based on an EOP2 meeting held with the FDA in June 2019, we believe that results from the C-145-04 clinical trial may be sufficient to support registration of lifileucel for the treatment of patients</w:t>
      </w:r>
      <w:r>
        <w:rPr>
          <w:sz w:val="20"/>
          <w:szCs w:val="20"/>
        </w:rPr>
        <w:t xml:space="preserve"> with metastatic cervical cancer. In accordance with the FDA’s recommendations, the protocol was amended to further define the patient population. In November 2019, in order to position lifileucel for potential future use in broader lines of therapy in cer</w:t>
      </w:r>
      <w:r>
        <w:rPr>
          <w:sz w:val="20"/>
          <w:szCs w:val="20"/>
        </w:rPr>
        <w:t>vical cancer, we have further amended the C-145-04 trial to collect additional data on early-line patients as well as late-line patients by adding additional cohorts, in anticipation of a changing landscape in this indication, including Cohort 2 for patien</w:t>
      </w:r>
      <w:r>
        <w:rPr>
          <w:sz w:val="20"/>
          <w:szCs w:val="20"/>
        </w:rPr>
        <w:t>ts that had previously received anti-PD-1 therapy. These additional cohorts also allow access to TIL therapy when the pivotal Cohort 1 is completed and we believe may support expanded access to lifileucel. Cohort 2 of the C-145-04 trial continues and is ex</w:t>
      </w:r>
      <w:r>
        <w:rPr>
          <w:sz w:val="20"/>
          <w:szCs w:val="20"/>
        </w:rPr>
        <w:t>pected to complete enrollment during the second half of 2020. We intend to initiate a dialog with the FDA subsequent to such completion to discuss BLA submission plans</w:t>
      </w:r>
      <w:r>
        <w:rPr>
          <w:sz w:val="20"/>
          <w:szCs w:val="20"/>
        </w:rPr>
        <w:t>.</w:t>
      </w:r>
    </w:p>
    <w:p w:rsidR="00000000" w:rsidRDefault="00FF2C06">
      <w:pPr>
        <w:pStyle w:val="a3"/>
        <w:spacing w:before="0" w:beforeAutospacing="0" w:after="240" w:afterAutospacing="0"/>
        <w:ind w:firstLine="540"/>
        <w:divId w:val="753355970"/>
        <w:rPr>
          <w:sz w:val="20"/>
          <w:szCs w:val="20"/>
        </w:rPr>
      </w:pPr>
      <w:r>
        <w:rPr>
          <w:sz w:val="20"/>
          <w:szCs w:val="20"/>
        </w:rPr>
        <w:t>C-145-03 is our ongoing Phase 2, multicenter trial that we are conducting to assess the</w:t>
      </w:r>
      <w:r>
        <w:rPr>
          <w:sz w:val="20"/>
          <w:szCs w:val="20"/>
        </w:rPr>
        <w:t xml:space="preserve"> safety and efficacy of our product candidate LN-145 for the treatment of patients with recurrent metastatic squamous cell carcinoma of the head and neck. In October 2018, we reported that, to date, preliminary data for 13 patients in the C-145-03 clinical</w:t>
      </w:r>
      <w:r>
        <w:rPr>
          <w:sz w:val="20"/>
          <w:szCs w:val="20"/>
        </w:rPr>
        <w:t xml:space="preserve"> trial yielded an ORR of 31% with a DOR ranging from 2.8 to 7.6 months. The adverse event profile remained consistent with previous reports. We continue to enroll patients in this study. We have redesigned our C-145-03 trial to include multiple cohorts, in</w:t>
      </w:r>
      <w:r>
        <w:rPr>
          <w:sz w:val="20"/>
          <w:szCs w:val="20"/>
        </w:rPr>
        <w:t xml:space="preserve"> order to allow for dosing of TIL therapies produced by multiple manufacturing methods, including our Gen 2 manufacturing process, our Generation 3, or Gen 3, manufacturing process, and our PD-1 selected TIL manufacturing process. Our PD-1 selected TIL man</w:t>
      </w:r>
      <w:r>
        <w:rPr>
          <w:sz w:val="20"/>
          <w:szCs w:val="20"/>
        </w:rPr>
        <w:t xml:space="preserve">ufacturing process is referred to as LN-145-S1. </w:t>
      </w:r>
    </w:p>
    <w:p w:rsidR="00000000" w:rsidRDefault="00FF2C06">
      <w:pPr>
        <w:pStyle w:val="a3"/>
        <w:spacing w:before="0" w:beforeAutospacing="0" w:after="0" w:afterAutospacing="0"/>
        <w:ind w:firstLine="540"/>
        <w:divId w:val="753355970"/>
        <w:rPr>
          <w:sz w:val="20"/>
          <w:szCs w:val="20"/>
        </w:rPr>
      </w:pPr>
      <w:r>
        <w:rPr>
          <w:sz w:val="20"/>
          <w:szCs w:val="20"/>
        </w:rPr>
        <w:t>We are also investigating the potential of our TIL therapies in earlier lines of treatment and in combination with pembrolizumab, and are studying LN-145 as a monotherapy in relapsed refractory non-small cel</w:t>
      </w:r>
      <w:r>
        <w:rPr>
          <w:sz w:val="20"/>
          <w:szCs w:val="20"/>
        </w:rPr>
        <w:t>l lung cancer, or NSCLC, patients. IOV-COM-202 is a Phase 2, multicenter trial that is composed of five cohorts which can enroll up to a total of 75 patients. In May 2019, we reported that the first patient was dosed in the IOV-COM-202 trial. In Cohort 1A,</w:t>
      </w:r>
      <w:r>
        <w:rPr>
          <w:sz w:val="20"/>
          <w:szCs w:val="20"/>
        </w:rPr>
        <w:t xml:space="preserve"> we are enrolling unresectable or metastatic melanoma patients who have not received prior immunotherapy, including checkpoint inhibitors such as anti-PD-1/anti-PD-L1 therapy. The patients receive lifileucel in combination with pembrolizumab. In Cohort 2A,</w:t>
      </w:r>
      <w:r>
        <w:rPr>
          <w:sz w:val="20"/>
          <w:szCs w:val="20"/>
        </w:rPr>
        <w:t xml:space="preserve"> we are enrolling advanced, recurrent, or metastatic head and neck squamous cell carcinoma, or HNSCC, patients who are naïve to prior immunotherapy including anti-PD-1/anti-PD-L1 therapy. The patients will receive LN-145 in combination with pembrolizumab. </w:t>
      </w:r>
      <w:r>
        <w:rPr>
          <w:sz w:val="20"/>
          <w:szCs w:val="20"/>
        </w:rPr>
        <w:t xml:space="preserve">Cohort 3A is enrolling advanced or metastatic NSCLC patients who are naïve to prior immunotherapy including anti-PD-1/anti-PD-L1 therapy. The patients in Cohort 3A will receive LN-145 in combination with pembrolizumab. In Cohort 3B, we are enrolling NSCLC </w:t>
      </w:r>
      <w:r>
        <w:rPr>
          <w:sz w:val="20"/>
          <w:szCs w:val="20"/>
        </w:rPr>
        <w:t>patients who have previously received systemic therapy which could include checkpoint inhibitors. The patients are receiving LN-145. In February 2020, we announced the addition of Cohort 1B to the IOV-COM-202 trial, for patients with melanoma whose disease</w:t>
      </w:r>
      <w:r>
        <w:rPr>
          <w:sz w:val="20"/>
          <w:szCs w:val="20"/>
        </w:rPr>
        <w:t xml:space="preserve"> has progressed following treatment with at least one systemic therapy, including a PD-1 inhibitor and if BRAF mutated, a BRAF inhibitor, or a combination of BRAF and MEK inhibitors. The patients will receive LN-145-S1. In addition to its ongoing enrollmen</w:t>
      </w:r>
      <w:r>
        <w:rPr>
          <w:sz w:val="20"/>
          <w:szCs w:val="20"/>
        </w:rPr>
        <w:t xml:space="preserve">t in the U.S., the IOV-COM-202 trial has also received regulatory approval in Canada and in certain European countries. In October 2020, we disclosed an abstract that was accepted for presentation at the Society for Immunotherapy in Cancer, which included </w:t>
      </w:r>
      <w:r>
        <w:rPr>
          <w:sz w:val="20"/>
          <w:szCs w:val="20"/>
        </w:rPr>
        <w:t>interim results from ongoing Cohort 2A of the IOV-COM-202 trial as follows. Nine HNSCC patients have received LN-145 plus pembrolizumab with a median duration of follow up of 6.9 months. Nine and eight patients were evaluable for safety and efficacy, respe</w:t>
      </w:r>
      <w:r>
        <w:rPr>
          <w:sz w:val="20"/>
          <w:szCs w:val="20"/>
        </w:rPr>
        <w:t>ctively. Four patients had a confirmed, objective response with an ORR of 44% including 1 complete response and 3 partial responses. Median DOR was not reached. The</w:t>
      </w:r>
      <w:r>
        <w:rPr>
          <w:sz w:val="20"/>
          <w:szCs w:val="20"/>
        </w:rPr>
        <w:t xml:space="preserve"> </w:t>
      </w:r>
    </w:p>
    <w:p w:rsidR="00000000" w:rsidRDefault="00FF2C06">
      <w:pPr>
        <w:pStyle w:val="a3"/>
        <w:spacing w:before="480" w:beforeAutospacing="0" w:after="0" w:afterAutospacing="0"/>
        <w:jc w:val="center"/>
        <w:divId w:val="1028137534"/>
        <w:rPr>
          <w:sz w:val="20"/>
          <w:szCs w:val="20"/>
        </w:rPr>
      </w:pPr>
      <w:r>
        <w:rPr>
          <w:sz w:val="20"/>
          <w:szCs w:val="20"/>
        </w:rPr>
        <w:t>29</w:t>
      </w:r>
    </w:p>
    <w:p w:rsidR="00000000" w:rsidRDefault="00FF2C06">
      <w:pPr>
        <w:pStyle w:val="a3"/>
        <w:spacing w:before="0" w:beforeAutospacing="0" w:after="600" w:afterAutospacing="0"/>
        <w:divId w:val="1315985910"/>
        <w:rPr>
          <w:sz w:val="20"/>
          <w:szCs w:val="20"/>
        </w:rPr>
      </w:pPr>
      <w:hyperlink w:anchor="TOC" w:history="1">
        <w:r>
          <w:rPr>
            <w:rStyle w:val="a4"/>
            <w:sz w:val="20"/>
            <w:szCs w:val="20"/>
          </w:rPr>
          <w:t>Table of Contents</w:t>
        </w:r>
      </w:hyperlink>
    </w:p>
    <w:p w:rsidR="00000000" w:rsidRDefault="00FF2C06">
      <w:pPr>
        <w:pStyle w:val="a3"/>
        <w:spacing w:before="0" w:beforeAutospacing="0" w:after="240" w:afterAutospacing="0"/>
        <w:divId w:val="1524712437"/>
        <w:rPr>
          <w:sz w:val="20"/>
          <w:szCs w:val="20"/>
        </w:rPr>
      </w:pPr>
      <w:r>
        <w:rPr>
          <w:sz w:val="20"/>
          <w:szCs w:val="20"/>
        </w:rPr>
        <w:t>disease control rate at data cutoff was 89% in 9 patients, and 7 of the 8 evaluable patients (87.5%) had a reduction in target lesions. The mean number of prior therapies was 1.1 with 89% of the patients having received prior chemotherapy. Four patients we</w:t>
      </w:r>
      <w:r>
        <w:rPr>
          <w:sz w:val="20"/>
          <w:szCs w:val="20"/>
        </w:rPr>
        <w:t>re human papilloma virus, or HPV, positive, two patients were HPV negative, and three patients had unknown HPV status. The treatment emergent adverse Event, or TEAE, profile was consistent with the underlying advanced disease and the known adverse event pr</w:t>
      </w:r>
      <w:r>
        <w:rPr>
          <w:sz w:val="20"/>
          <w:szCs w:val="20"/>
        </w:rPr>
        <w:t>ofiles of pembrolizumab, lymphodepletion, and IL-2 regimens. The most common TEAEs were chills, hypotension, anemia, thrombocytopenia, pyrexia, fatigue and tachycardia.</w:t>
      </w:r>
      <w:r>
        <w:rPr>
          <w:sz w:val="20"/>
          <w:szCs w:val="20"/>
        </w:rPr>
        <w:t xml:space="preserve"> </w:t>
      </w:r>
    </w:p>
    <w:p w:rsidR="00000000" w:rsidRDefault="00FF2C06">
      <w:pPr>
        <w:pStyle w:val="a3"/>
        <w:spacing w:before="0" w:beforeAutospacing="0" w:after="240" w:afterAutospacing="0"/>
        <w:ind w:firstLine="540"/>
        <w:divId w:val="1524712437"/>
        <w:rPr>
          <w:sz w:val="20"/>
          <w:szCs w:val="20"/>
        </w:rPr>
      </w:pPr>
      <w:r>
        <w:rPr>
          <w:sz w:val="20"/>
          <w:szCs w:val="20"/>
        </w:rPr>
        <w:t xml:space="preserve">In November 2019, we announced that our investigational new drug application, or IND, </w:t>
      </w:r>
      <w:r>
        <w:rPr>
          <w:sz w:val="20"/>
          <w:szCs w:val="20"/>
        </w:rPr>
        <w:t>for our PBL therapy, IOV-2001, was authorized by the FDA and our sponsored clinical trial using this therapy, IOV-CLL-01, was cleared to proceed. IOV-2001 is a non-genetically modified, polyclonal T cell product that is manufactured using a nine-day proces</w:t>
      </w:r>
      <w:r>
        <w:rPr>
          <w:sz w:val="20"/>
          <w:szCs w:val="20"/>
        </w:rPr>
        <w:t>s from 50 mL of patient’s blood. IOV-CLL-01 is Phase 1/2 clinical trial evaluating the safety and efficacy of IOV-2001 in patients with relapsed or refractory chronic lymphocytic leukemia or small lymphocytic leukemia. The IOV-CLL-01 trial is expected to e</w:t>
      </w:r>
      <w:r>
        <w:rPr>
          <w:sz w:val="20"/>
          <w:szCs w:val="20"/>
        </w:rPr>
        <w:t>nroll up to approximately 70 patients.</w:t>
      </w:r>
    </w:p>
    <w:p w:rsidR="00000000" w:rsidRDefault="00FF2C06">
      <w:pPr>
        <w:pStyle w:val="a3"/>
        <w:spacing w:before="0" w:beforeAutospacing="0" w:after="240" w:afterAutospacing="0"/>
        <w:ind w:firstLine="540"/>
        <w:divId w:val="1524712437"/>
        <w:rPr>
          <w:sz w:val="20"/>
          <w:szCs w:val="20"/>
        </w:rPr>
      </w:pPr>
      <w:r>
        <w:rPr>
          <w:sz w:val="20"/>
          <w:szCs w:val="20"/>
        </w:rPr>
        <w:t>As part of our collaboration program with the MD Anderson Cancer Center, or MDACC, two Phase 2 trials were initiated in 2018. Both trials are sponsored by MDACC. The first trial, NCT03449108, is intended to allow for investigation of LN-145 manufactured by</w:t>
      </w:r>
      <w:r>
        <w:rPr>
          <w:sz w:val="20"/>
          <w:szCs w:val="20"/>
        </w:rPr>
        <w:t xml:space="preserve"> Iovance using our manufacturing processes to treat patients with soft tissue sarcoma, osteosarcoma and platinum resistant ovarian cancer. A second trial under the collaboration with MDACC, NCT03610490, is active as well. This trial is treating patients wi</w:t>
      </w:r>
      <w:r>
        <w:rPr>
          <w:sz w:val="20"/>
          <w:szCs w:val="20"/>
        </w:rPr>
        <w:t>th platinum resistant ovarian cancer, pancreatic and colorectal cancer. This trial uses TIL manufactured by MDACC using urelumab, a 4-1BB agonistic antibody, as part of the manufacturing process. The data obtained using this manufacturing process may not b</w:t>
      </w:r>
      <w:r>
        <w:rPr>
          <w:sz w:val="20"/>
          <w:szCs w:val="20"/>
        </w:rPr>
        <w:t>e representative of our data using our Gen 2 manufacturing process.</w:t>
      </w:r>
    </w:p>
    <w:p w:rsidR="00000000" w:rsidRDefault="00FF2C06">
      <w:pPr>
        <w:pStyle w:val="a3"/>
        <w:spacing w:before="0" w:beforeAutospacing="0" w:after="240" w:afterAutospacing="0"/>
        <w:ind w:firstLine="540"/>
        <w:divId w:val="1524712437"/>
        <w:rPr>
          <w:sz w:val="20"/>
          <w:szCs w:val="20"/>
        </w:rPr>
      </w:pPr>
      <w:r>
        <w:rPr>
          <w:sz w:val="20"/>
          <w:szCs w:val="20"/>
        </w:rPr>
        <w:t xml:space="preserve">We are also collaborating with Centre hospitalier de l’Université de Montreal, or CHUM, Yale University, or Yale, and Moffitt on investigator-sponsored clinical trials of TIL therapies in </w:t>
      </w:r>
      <w:r>
        <w:rPr>
          <w:sz w:val="20"/>
          <w:szCs w:val="20"/>
        </w:rPr>
        <w:t>other indications. The clinical trials sponsored by CHUM and Moffitt use, or will use, TIL manufactured by different manufacturing processes, which may not be representative of our data using our Gen 2 manufacturing process</w:t>
      </w:r>
      <w:r>
        <w:rPr>
          <w:sz w:val="20"/>
          <w:szCs w:val="20"/>
        </w:rPr>
        <w:t>.</w:t>
      </w:r>
    </w:p>
    <w:p w:rsidR="00000000" w:rsidRDefault="00FF2C06">
      <w:pPr>
        <w:pStyle w:val="a3"/>
        <w:spacing w:before="0" w:beforeAutospacing="0" w:after="0" w:afterAutospacing="0"/>
        <w:ind w:firstLine="547"/>
        <w:divId w:val="1524712437"/>
        <w:rPr>
          <w:sz w:val="20"/>
          <w:szCs w:val="20"/>
        </w:rPr>
      </w:pPr>
      <w:r>
        <w:rPr>
          <w:sz w:val="20"/>
          <w:szCs w:val="20"/>
        </w:rPr>
        <w:t>Our current product candidate p</w:t>
      </w:r>
      <w:r>
        <w:rPr>
          <w:sz w:val="20"/>
          <w:szCs w:val="20"/>
        </w:rPr>
        <w:t>ipeline and selected investigator-sponsored proof-of-concept studies are summarized in the graph below:</w:t>
      </w:r>
    </w:p>
    <w:p w:rsidR="00000000" w:rsidRDefault="00FF2C06">
      <w:pPr>
        <w:pStyle w:val="a3"/>
        <w:spacing w:before="0" w:beforeAutospacing="0" w:after="0" w:afterAutospacing="0"/>
        <w:ind w:firstLine="547"/>
        <w:divId w:val="1524712437"/>
        <w:rPr>
          <w:sz w:val="20"/>
          <w:szCs w:val="20"/>
        </w:rPr>
      </w:pPr>
      <w:r>
        <w:rPr>
          <w:sz w:val="20"/>
          <w:szCs w:val="20"/>
        </w:rPr>
        <w:t>​</w:t>
      </w:r>
    </w:p>
    <w:p w:rsidR="00000000" w:rsidRDefault="00FF2C06">
      <w:pPr>
        <w:pStyle w:val="a3"/>
        <w:spacing w:before="0" w:beforeAutospacing="0" w:after="0" w:afterAutospacing="0"/>
        <w:jc w:val="center"/>
        <w:divId w:val="1524712437"/>
        <w:rPr>
          <w:sz w:val="20"/>
          <w:szCs w:val="20"/>
        </w:rPr>
      </w:pPr>
      <w:r>
        <w:rPr>
          <w:noProof/>
          <w:sz w:val="20"/>
          <w:szCs w:val="20"/>
        </w:rPr>
        <w:drawing>
          <wp:inline distT="0" distB="0" distL="0" distR="0">
            <wp:extent cx="304800" cy="304800"/>
            <wp:effectExtent l="0" t="0" r="0" b="0"/>
            <wp:docPr id="1" name="图片 1"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F2C06">
      <w:pPr>
        <w:pStyle w:val="a3"/>
        <w:spacing w:before="0" w:beforeAutospacing="0" w:after="0" w:afterAutospacing="0"/>
        <w:ind w:firstLine="547"/>
        <w:divId w:val="1524712437"/>
        <w:rPr>
          <w:sz w:val="20"/>
          <w:szCs w:val="20"/>
        </w:rPr>
      </w:pPr>
      <w:r>
        <w:rPr>
          <w:sz w:val="20"/>
          <w:szCs w:val="20"/>
        </w:rPr>
        <w:t>​</w:t>
      </w:r>
    </w:p>
    <w:p w:rsidR="00000000" w:rsidRDefault="00FF2C06">
      <w:pPr>
        <w:pStyle w:val="a3"/>
        <w:spacing w:before="480" w:beforeAutospacing="0" w:after="0" w:afterAutospacing="0"/>
        <w:jc w:val="center"/>
        <w:divId w:val="1004744188"/>
        <w:rPr>
          <w:sz w:val="20"/>
          <w:szCs w:val="20"/>
        </w:rPr>
      </w:pPr>
      <w:r>
        <w:rPr>
          <w:sz w:val="20"/>
          <w:szCs w:val="20"/>
        </w:rPr>
        <w:t>30</w:t>
      </w:r>
    </w:p>
    <w:p w:rsidR="00000000" w:rsidRDefault="00FF2C06">
      <w:pPr>
        <w:pStyle w:val="a3"/>
        <w:spacing w:before="0" w:beforeAutospacing="0" w:after="600" w:afterAutospacing="0"/>
        <w:divId w:val="1339773070"/>
        <w:rPr>
          <w:sz w:val="20"/>
          <w:szCs w:val="20"/>
        </w:rPr>
      </w:pPr>
      <w:hyperlink w:anchor="TOC" w:history="1">
        <w:r>
          <w:rPr>
            <w:rStyle w:val="a4"/>
            <w:sz w:val="20"/>
            <w:szCs w:val="20"/>
          </w:rPr>
          <w:t>Table of Contents</w:t>
        </w:r>
      </w:hyperlink>
    </w:p>
    <w:p w:rsidR="00000000" w:rsidRDefault="00FF2C06">
      <w:pPr>
        <w:pStyle w:val="a3"/>
        <w:spacing w:before="0" w:beforeAutospacing="0" w:after="200" w:afterAutospacing="0"/>
        <w:divId w:val="63335474"/>
        <w:rPr>
          <w:b/>
          <w:bCs/>
          <w:sz w:val="20"/>
          <w:szCs w:val="20"/>
        </w:rPr>
      </w:pPr>
      <w:r>
        <w:rPr>
          <w:b/>
          <w:bCs/>
          <w:sz w:val="20"/>
          <w:szCs w:val="20"/>
        </w:rPr>
        <w:t>Components of Operating Results</w:t>
      </w:r>
    </w:p>
    <w:p w:rsidR="00000000" w:rsidRDefault="00FF2C06">
      <w:pPr>
        <w:pStyle w:val="a3"/>
        <w:spacing w:before="0" w:beforeAutospacing="0" w:after="200" w:afterAutospacing="0"/>
        <w:divId w:val="63335474"/>
        <w:rPr>
          <w:b/>
          <w:bCs/>
          <w:i/>
          <w:iCs/>
          <w:sz w:val="20"/>
          <w:szCs w:val="20"/>
        </w:rPr>
      </w:pPr>
      <w:r>
        <w:rPr>
          <w:b/>
          <w:bCs/>
          <w:i/>
          <w:iCs/>
          <w:sz w:val="20"/>
          <w:szCs w:val="20"/>
        </w:rPr>
        <w:t>Revenue</w:t>
      </w:r>
    </w:p>
    <w:p w:rsidR="00000000" w:rsidRDefault="00FF2C06">
      <w:pPr>
        <w:pStyle w:val="a3"/>
        <w:spacing w:before="0" w:beforeAutospacing="0" w:after="200" w:afterAutospacing="0"/>
        <w:ind w:firstLine="547"/>
        <w:divId w:val="63335474"/>
        <w:rPr>
          <w:sz w:val="20"/>
          <w:szCs w:val="20"/>
        </w:rPr>
      </w:pPr>
      <w:r>
        <w:rPr>
          <w:sz w:val="20"/>
          <w:szCs w:val="20"/>
        </w:rPr>
        <w:t>We have not yet generated any revenues since our formation, and we currently do not anticipate that we will generate any significant revenu</w:t>
      </w:r>
      <w:r>
        <w:rPr>
          <w:sz w:val="20"/>
          <w:szCs w:val="20"/>
        </w:rPr>
        <w:t>es from the sale or licensing of our product candidates during the 12 months from the date these financial statements are issued. Our ability to generate revenues in the future will depend on our ability to complete the development of our product candidate</w:t>
      </w:r>
      <w:r>
        <w:rPr>
          <w:sz w:val="20"/>
          <w:szCs w:val="20"/>
        </w:rPr>
        <w:t>s and to obtain regulatory approval for them.</w:t>
      </w:r>
    </w:p>
    <w:p w:rsidR="00000000" w:rsidRDefault="00FF2C06">
      <w:pPr>
        <w:pStyle w:val="a3"/>
        <w:spacing w:before="0" w:beforeAutospacing="0" w:after="200" w:afterAutospacing="0"/>
        <w:divId w:val="63335474"/>
        <w:rPr>
          <w:b/>
          <w:bCs/>
          <w:i/>
          <w:iCs/>
          <w:sz w:val="20"/>
          <w:szCs w:val="20"/>
        </w:rPr>
      </w:pPr>
      <w:r>
        <w:rPr>
          <w:b/>
          <w:bCs/>
          <w:i/>
          <w:iCs/>
          <w:sz w:val="20"/>
          <w:szCs w:val="20"/>
        </w:rPr>
        <w:t>Research and Development Expenses</w:t>
      </w:r>
    </w:p>
    <w:p w:rsidR="00000000" w:rsidRDefault="00FF2C06">
      <w:pPr>
        <w:pStyle w:val="a3"/>
        <w:spacing w:before="0" w:beforeAutospacing="0" w:after="200" w:afterAutospacing="0"/>
        <w:ind w:firstLine="547"/>
        <w:divId w:val="63335474"/>
        <w:rPr>
          <w:sz w:val="20"/>
          <w:szCs w:val="20"/>
        </w:rPr>
      </w:pPr>
      <w:r>
        <w:rPr>
          <w:sz w:val="20"/>
          <w:szCs w:val="20"/>
        </w:rPr>
        <w:t>Research and development expenses include personnel and facility-related expenses, outside contracted services including clinical trial costs, manufacturing and process develop</w:t>
      </w:r>
      <w:r>
        <w:rPr>
          <w:sz w:val="20"/>
          <w:szCs w:val="20"/>
        </w:rPr>
        <w:t>ment costs, research costs and other consulting services. Research and development costs are expensed as incurred. Nonrefundable advance payments for goods or services that will be used or rendered for future research and development activities are deferre</w:t>
      </w:r>
      <w:r>
        <w:rPr>
          <w:sz w:val="20"/>
          <w:szCs w:val="20"/>
        </w:rPr>
        <w:t>d and amortized over the period that the goods are delivered, or the related services are performed, subject to an assessment of recoverability.</w:t>
      </w:r>
    </w:p>
    <w:p w:rsidR="00000000" w:rsidRDefault="00FF2C06">
      <w:pPr>
        <w:pStyle w:val="a3"/>
        <w:spacing w:before="0" w:beforeAutospacing="0" w:after="200" w:afterAutospacing="0"/>
        <w:ind w:firstLine="547"/>
        <w:divId w:val="63335474"/>
        <w:rPr>
          <w:sz w:val="20"/>
          <w:szCs w:val="20"/>
        </w:rPr>
      </w:pPr>
      <w:r>
        <w:rPr>
          <w:sz w:val="20"/>
          <w:szCs w:val="20"/>
        </w:rPr>
        <w:t xml:space="preserve">Clinical development costs are a significant component of research and development expenses. We have a history </w:t>
      </w:r>
      <w:r>
        <w:rPr>
          <w:sz w:val="20"/>
          <w:szCs w:val="20"/>
        </w:rPr>
        <w:t>of contracting with third parties that perform various clinical trial activities on our behalf in connection with the ongoing development of our product candidates. The financial terms of these contracts are subject to negotiations and may vary from contra</w:t>
      </w:r>
      <w:r>
        <w:rPr>
          <w:sz w:val="20"/>
          <w:szCs w:val="20"/>
        </w:rPr>
        <w:t>ct to contract and may result in uneven payment flow. We accrue and expense costs for clinical trial activities performed by third parties based upon estimates of work completed to date of the individual trial in accordance with agreements established with</w:t>
      </w:r>
      <w:r>
        <w:rPr>
          <w:sz w:val="20"/>
          <w:szCs w:val="20"/>
        </w:rPr>
        <w:t xml:space="preserve"> contract research organizations and clinical trial sites. We determine our estimates through discussions with internal clinical personnel and outside service providers as to the progress or stage of completion of trials or services and the agreed upon fee</w:t>
      </w:r>
      <w:r>
        <w:rPr>
          <w:sz w:val="20"/>
          <w:szCs w:val="20"/>
        </w:rPr>
        <w:t xml:space="preserve"> to be paid for such services.</w:t>
      </w:r>
    </w:p>
    <w:p w:rsidR="00000000" w:rsidRDefault="00FF2C06">
      <w:pPr>
        <w:pStyle w:val="a3"/>
        <w:spacing w:before="0" w:beforeAutospacing="0" w:after="200" w:afterAutospacing="0"/>
        <w:ind w:firstLine="547"/>
        <w:divId w:val="63335474"/>
        <w:rPr>
          <w:sz w:val="20"/>
          <w:szCs w:val="20"/>
        </w:rPr>
      </w:pPr>
      <w:r>
        <w:rPr>
          <w:sz w:val="20"/>
          <w:szCs w:val="20"/>
        </w:rPr>
        <w:t xml:space="preserve">We expect our research and development expenses to increase over the next couple of years as we prepare for commercial manufacturing of our products and continue to conduct our clinical trials for other indications. However, </w:t>
      </w:r>
      <w:r>
        <w:rPr>
          <w:sz w:val="20"/>
          <w:szCs w:val="20"/>
        </w:rPr>
        <w:t>it is difficult to determine with certainty the duration and completion costs of our current or future preclinical programs and clinical trials of our product candidates.</w:t>
      </w:r>
    </w:p>
    <w:p w:rsidR="00000000" w:rsidRDefault="00FF2C06">
      <w:pPr>
        <w:pStyle w:val="a3"/>
        <w:spacing w:before="0" w:beforeAutospacing="0" w:after="200" w:afterAutospacing="0"/>
        <w:divId w:val="63335474"/>
        <w:rPr>
          <w:b/>
          <w:bCs/>
          <w:i/>
          <w:iCs/>
          <w:sz w:val="20"/>
          <w:szCs w:val="20"/>
        </w:rPr>
      </w:pPr>
      <w:r>
        <w:rPr>
          <w:b/>
          <w:bCs/>
          <w:i/>
          <w:iCs/>
          <w:sz w:val="20"/>
          <w:szCs w:val="20"/>
        </w:rPr>
        <w:t>General and Administrative Expenses</w:t>
      </w:r>
    </w:p>
    <w:p w:rsidR="00000000" w:rsidRDefault="00FF2C06">
      <w:pPr>
        <w:pStyle w:val="a3"/>
        <w:spacing w:before="0" w:beforeAutospacing="0" w:after="200" w:afterAutospacing="0"/>
        <w:ind w:firstLine="547"/>
        <w:divId w:val="63335474"/>
        <w:rPr>
          <w:sz w:val="20"/>
          <w:szCs w:val="20"/>
        </w:rPr>
      </w:pPr>
      <w:r>
        <w:rPr>
          <w:sz w:val="20"/>
          <w:szCs w:val="20"/>
        </w:rPr>
        <w:t>General and administrative expenses consist prima</w:t>
      </w:r>
      <w:r>
        <w:rPr>
          <w:sz w:val="20"/>
          <w:szCs w:val="20"/>
        </w:rPr>
        <w:t xml:space="preserve">rily of salaries, recruiting fees, sign on, retention and special bonuses and other related costs, including stock-based compensation, for personnel in executive, finance, accounting, legal, investor relations, facilities, business development, marketing, </w:t>
      </w:r>
      <w:r>
        <w:rPr>
          <w:sz w:val="20"/>
          <w:szCs w:val="20"/>
        </w:rPr>
        <w:t>commercial, information technology and human resources functions. Other significant costs include facility costs not otherwise included in research and development expenses, legal fees relating to corporate matters and intellectual property, insurance, pub</w:t>
      </w:r>
      <w:r>
        <w:rPr>
          <w:sz w:val="20"/>
          <w:szCs w:val="20"/>
        </w:rPr>
        <w:t xml:space="preserve">lic company expenses relating to maintaining compliance with Nasdaq listing rules and SEC requirements, investor relations costs, and fees for accounting and consulting services. General and administrative costs are expensed as incurred, and we accrue for </w:t>
      </w:r>
      <w:r>
        <w:rPr>
          <w:sz w:val="20"/>
          <w:szCs w:val="20"/>
        </w:rPr>
        <w:t>services provided by third parties related to the above expenses by monitoring the status of services provided and receiving estimates from its service providers and adjusting its accruals as actual costs become known.</w:t>
      </w:r>
    </w:p>
    <w:p w:rsidR="00000000" w:rsidRDefault="00FF2C06">
      <w:pPr>
        <w:pStyle w:val="a3"/>
        <w:spacing w:before="0" w:beforeAutospacing="0" w:after="200" w:afterAutospacing="0"/>
        <w:ind w:firstLine="547"/>
        <w:divId w:val="63335474"/>
        <w:rPr>
          <w:sz w:val="20"/>
          <w:szCs w:val="20"/>
        </w:rPr>
      </w:pPr>
      <w:r>
        <w:rPr>
          <w:sz w:val="20"/>
          <w:szCs w:val="20"/>
        </w:rPr>
        <w:t>We anticipate general and administrat</w:t>
      </w:r>
      <w:r>
        <w:rPr>
          <w:sz w:val="20"/>
          <w:szCs w:val="20"/>
        </w:rPr>
        <w:t>ive expenses will increase in 2020 as we continue to prepare for commercialization and support an expected increase in total headcount.</w:t>
      </w:r>
    </w:p>
    <w:p w:rsidR="00000000" w:rsidRDefault="00FF2C06">
      <w:pPr>
        <w:pStyle w:val="a3"/>
        <w:spacing w:before="0" w:beforeAutospacing="0" w:after="200" w:afterAutospacing="0"/>
        <w:divId w:val="63335474"/>
        <w:rPr>
          <w:b/>
          <w:bCs/>
          <w:i/>
          <w:iCs/>
          <w:sz w:val="20"/>
          <w:szCs w:val="20"/>
        </w:rPr>
      </w:pPr>
      <w:r>
        <w:rPr>
          <w:b/>
          <w:bCs/>
          <w:i/>
          <w:iCs/>
          <w:sz w:val="20"/>
          <w:szCs w:val="20"/>
        </w:rPr>
        <w:t>Interest Income</w:t>
      </w:r>
    </w:p>
    <w:p w:rsidR="00000000" w:rsidRDefault="00FF2C06">
      <w:pPr>
        <w:pStyle w:val="a3"/>
        <w:spacing w:before="0" w:beforeAutospacing="0" w:after="200" w:afterAutospacing="0"/>
        <w:ind w:firstLine="547"/>
        <w:divId w:val="63335474"/>
        <w:rPr>
          <w:sz w:val="20"/>
          <w:szCs w:val="20"/>
        </w:rPr>
      </w:pPr>
      <w:r>
        <w:rPr>
          <w:sz w:val="20"/>
          <w:szCs w:val="20"/>
        </w:rPr>
        <w:t>Interest income results from our interest-bearing cash and short term investment balances.</w:t>
      </w:r>
    </w:p>
    <w:p w:rsidR="00000000" w:rsidRDefault="00FF2C06">
      <w:pPr>
        <w:pStyle w:val="a3"/>
        <w:spacing w:before="0" w:beforeAutospacing="0" w:after="200" w:afterAutospacing="0"/>
        <w:divId w:val="63335474"/>
        <w:rPr>
          <w:b/>
          <w:bCs/>
          <w:i/>
          <w:iCs/>
          <w:sz w:val="20"/>
          <w:szCs w:val="20"/>
        </w:rPr>
      </w:pPr>
      <w:r>
        <w:rPr>
          <w:b/>
          <w:bCs/>
          <w:sz w:val="20"/>
          <w:szCs w:val="20"/>
        </w:rPr>
        <w:t>Results of Operations</w:t>
      </w:r>
    </w:p>
    <w:p w:rsidR="00000000" w:rsidRDefault="00FF2C06">
      <w:pPr>
        <w:pStyle w:val="a3"/>
        <w:spacing w:before="0" w:beforeAutospacing="0" w:after="200" w:afterAutospacing="0"/>
        <w:divId w:val="63335474"/>
        <w:rPr>
          <w:b/>
          <w:bCs/>
          <w:i/>
          <w:iCs/>
          <w:sz w:val="20"/>
          <w:szCs w:val="20"/>
        </w:rPr>
      </w:pPr>
      <w:r>
        <w:rPr>
          <w:b/>
          <w:bCs/>
          <w:i/>
          <w:iCs/>
          <w:sz w:val="20"/>
          <w:szCs w:val="20"/>
        </w:rPr>
        <w:t>Comparison of the Three and Nine Months Ended September 30, 2020 and 2019</w:t>
      </w:r>
    </w:p>
    <w:p w:rsidR="00000000" w:rsidRDefault="00FF2C06">
      <w:pPr>
        <w:pStyle w:val="a3"/>
        <w:spacing w:before="0" w:beforeAutospacing="0" w:after="200" w:afterAutospacing="0"/>
        <w:divId w:val="63335474"/>
        <w:rPr>
          <w:i/>
          <w:iCs/>
          <w:sz w:val="20"/>
          <w:szCs w:val="20"/>
        </w:rPr>
      </w:pPr>
      <w:r>
        <w:rPr>
          <w:i/>
          <w:iCs/>
          <w:sz w:val="20"/>
          <w:szCs w:val="20"/>
          <w:u w:val="single"/>
        </w:rPr>
        <w:t>Revenues</w:t>
      </w:r>
    </w:p>
    <w:p w:rsidR="00000000" w:rsidRDefault="00FF2C06">
      <w:pPr>
        <w:pStyle w:val="a3"/>
        <w:spacing w:before="0" w:beforeAutospacing="0" w:after="200" w:afterAutospacing="0"/>
        <w:ind w:firstLine="547"/>
        <w:divId w:val="63335474"/>
        <w:rPr>
          <w:sz w:val="20"/>
          <w:szCs w:val="20"/>
        </w:rPr>
      </w:pPr>
      <w:r>
        <w:rPr>
          <w:sz w:val="20"/>
          <w:szCs w:val="20"/>
        </w:rPr>
        <w:t xml:space="preserve">We did not generate any revenues during the three and nine months ended September 30, 2020 or September 30, 2019. </w:t>
      </w:r>
    </w:p>
    <w:p w:rsidR="00000000" w:rsidRDefault="00FF2C06">
      <w:pPr>
        <w:pStyle w:val="a3"/>
        <w:spacing w:before="480" w:beforeAutospacing="0" w:after="0" w:afterAutospacing="0"/>
        <w:jc w:val="center"/>
        <w:divId w:val="1369718082"/>
        <w:rPr>
          <w:sz w:val="20"/>
          <w:szCs w:val="20"/>
        </w:rPr>
      </w:pPr>
      <w:r>
        <w:rPr>
          <w:sz w:val="20"/>
          <w:szCs w:val="20"/>
        </w:rPr>
        <w:t>31</w:t>
      </w:r>
    </w:p>
    <w:p w:rsidR="00000000" w:rsidRDefault="00FF2C06">
      <w:pPr>
        <w:pStyle w:val="a3"/>
        <w:spacing w:before="0" w:beforeAutospacing="0" w:after="600" w:afterAutospacing="0"/>
        <w:divId w:val="1453162167"/>
        <w:rPr>
          <w:sz w:val="20"/>
          <w:szCs w:val="20"/>
        </w:rPr>
      </w:pPr>
      <w:hyperlink w:anchor="TOC" w:history="1">
        <w:r>
          <w:rPr>
            <w:rStyle w:val="a4"/>
            <w:sz w:val="20"/>
            <w:szCs w:val="20"/>
          </w:rPr>
          <w:t>Table o</w:t>
        </w:r>
        <w:r>
          <w:rPr>
            <w:rStyle w:val="a4"/>
            <w:sz w:val="20"/>
            <w:szCs w:val="20"/>
          </w:rPr>
          <w:t>f Contents</w:t>
        </w:r>
      </w:hyperlink>
    </w:p>
    <w:p w:rsidR="00000000" w:rsidRDefault="00FF2C06">
      <w:pPr>
        <w:pStyle w:val="a3"/>
        <w:spacing w:before="0" w:beforeAutospacing="0" w:after="0" w:afterAutospacing="0"/>
        <w:divId w:val="1768843134"/>
        <w:rPr>
          <w:i/>
          <w:iCs/>
          <w:sz w:val="20"/>
          <w:szCs w:val="20"/>
        </w:rPr>
      </w:pPr>
      <w:r>
        <w:rPr>
          <w:i/>
          <w:iCs/>
          <w:sz w:val="20"/>
          <w:szCs w:val="20"/>
          <w:u w:val="single"/>
        </w:rPr>
        <w:t>Research and Development expenses (in thousands)</w:t>
      </w:r>
    </w:p>
    <w:p w:rsidR="00000000" w:rsidRDefault="00FF2C06">
      <w:pPr>
        <w:pStyle w:val="a3"/>
        <w:spacing w:before="0" w:beforeAutospacing="0" w:after="0" w:afterAutospacing="0"/>
        <w:ind w:firstLine="547"/>
        <w:divId w:val="176884313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977"/>
        <w:gridCol w:w="6"/>
        <w:gridCol w:w="100"/>
        <w:gridCol w:w="623"/>
        <w:gridCol w:w="160"/>
        <w:gridCol w:w="100"/>
        <w:gridCol w:w="623"/>
        <w:gridCol w:w="160"/>
        <w:gridCol w:w="50"/>
        <w:gridCol w:w="523"/>
        <w:gridCol w:w="160"/>
        <w:gridCol w:w="273"/>
        <w:gridCol w:w="167"/>
        <w:gridCol w:w="100"/>
        <w:gridCol w:w="723"/>
        <w:gridCol w:w="160"/>
        <w:gridCol w:w="100"/>
        <w:gridCol w:w="723"/>
        <w:gridCol w:w="160"/>
        <w:gridCol w:w="50"/>
        <w:gridCol w:w="623"/>
        <w:gridCol w:w="160"/>
        <w:gridCol w:w="273"/>
        <w:gridCol w:w="167"/>
        <w:gridCol w:w="145"/>
      </w:tblGrid>
      <w:tr w:rsidR="00000000">
        <w:trPr>
          <w:divId w:val="1768843134"/>
          <w:trHeight w:val="20"/>
        </w:trPr>
        <w:tc>
          <w:tcPr>
            <w:tcW w:w="1626" w:type="pct"/>
            <w:tcMar>
              <w:top w:w="0" w:type="dxa"/>
              <w:left w:w="0" w:type="dxa"/>
              <w:bottom w:w="0" w:type="dxa"/>
              <w:right w:w="0" w:type="dxa"/>
            </w:tcMar>
            <w:vAlign w:val="bottom"/>
            <w:hideMark/>
          </w:tcPr>
          <w:p w:rsidR="00000000" w:rsidRDefault="00FF2C06">
            <w:pPr>
              <w:pStyle w:val="a3"/>
              <w:spacing w:before="0" w:beforeAutospacing="0" w:after="0" w:afterAutospacing="0"/>
              <w:divId w:val="1443761406"/>
              <w:rPr>
                <w:sz w:val="20"/>
                <w:szCs w:val="20"/>
              </w:rPr>
            </w:pPr>
            <w:r>
              <w:rPr>
                <w:sz w:val="2"/>
                <w:szCs w:val="2"/>
              </w:rPr>
              <w:t>​</w:t>
            </w:r>
          </w:p>
        </w:tc>
        <w:tc>
          <w:tcPr>
            <w:tcW w:w="69" w:type="pct"/>
            <w:tcMar>
              <w:top w:w="0" w:type="dxa"/>
              <w:left w:w="0" w:type="dxa"/>
              <w:bottom w:w="0" w:type="dxa"/>
              <w:right w:w="0" w:type="dxa"/>
            </w:tcMar>
            <w:vAlign w:val="bottom"/>
            <w:hideMark/>
          </w:tcPr>
          <w:p w:rsidR="00000000" w:rsidRDefault="00FF2C06">
            <w:pPr>
              <w:pStyle w:val="a3"/>
              <w:spacing w:before="0" w:beforeAutospacing="0" w:after="0" w:afterAutospacing="0"/>
              <w:divId w:val="175779473"/>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418791973"/>
              <w:rPr>
                <w:sz w:val="20"/>
                <w:szCs w:val="20"/>
              </w:rPr>
            </w:pPr>
            <w:r>
              <w:rPr>
                <w:sz w:val="2"/>
                <w:szCs w:val="2"/>
              </w:rPr>
              <w:t>​</w:t>
            </w:r>
          </w:p>
        </w:tc>
        <w:tc>
          <w:tcPr>
            <w:tcW w:w="311"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375077067"/>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549539751"/>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672221509"/>
              <w:rPr>
                <w:sz w:val="20"/>
                <w:szCs w:val="20"/>
              </w:rPr>
            </w:pPr>
            <w:r>
              <w:rPr>
                <w:sz w:val="2"/>
                <w:szCs w:val="2"/>
              </w:rPr>
              <w:t>​</w:t>
            </w:r>
          </w:p>
        </w:tc>
        <w:tc>
          <w:tcPr>
            <w:tcW w:w="311"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590698403"/>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080559028"/>
              <w:rPr>
                <w:sz w:val="20"/>
                <w:szCs w:val="20"/>
              </w:rPr>
            </w:pPr>
            <w:r>
              <w:rPr>
                <w:sz w:val="2"/>
                <w:szCs w:val="2"/>
              </w:rPr>
              <w:t>​</w:t>
            </w:r>
          </w:p>
        </w:tc>
        <w:tc>
          <w:tcPr>
            <w:tcW w:w="23"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230463144"/>
              <w:rPr>
                <w:sz w:val="20"/>
                <w:szCs w:val="20"/>
              </w:rPr>
            </w:pPr>
            <w:r>
              <w:rPr>
                <w:sz w:val="2"/>
                <w:szCs w:val="2"/>
              </w:rPr>
              <w:t>​</w:t>
            </w:r>
          </w:p>
        </w:tc>
        <w:tc>
          <w:tcPr>
            <w:tcW w:w="265"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168448864"/>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46344630"/>
              <w:rPr>
                <w:sz w:val="20"/>
                <w:szCs w:val="20"/>
              </w:rPr>
            </w:pPr>
            <w:r>
              <w:rPr>
                <w:sz w:val="2"/>
                <w:szCs w:val="2"/>
              </w:rPr>
              <w:t>​</w:t>
            </w:r>
          </w:p>
        </w:tc>
        <w:tc>
          <w:tcPr>
            <w:tcW w:w="246"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557859739"/>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811555612"/>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465051458"/>
              <w:rPr>
                <w:sz w:val="20"/>
                <w:szCs w:val="20"/>
              </w:rPr>
            </w:pPr>
            <w:r>
              <w:rPr>
                <w:sz w:val="2"/>
                <w:szCs w:val="2"/>
              </w:rPr>
              <w:t>​</w:t>
            </w:r>
          </w:p>
        </w:tc>
        <w:tc>
          <w:tcPr>
            <w:tcW w:w="357"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432669849"/>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720320960"/>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69030437"/>
              <w:rPr>
                <w:sz w:val="20"/>
                <w:szCs w:val="20"/>
              </w:rPr>
            </w:pPr>
            <w:r>
              <w:rPr>
                <w:sz w:val="2"/>
                <w:szCs w:val="2"/>
              </w:rPr>
              <w:t>​</w:t>
            </w:r>
          </w:p>
        </w:tc>
        <w:tc>
          <w:tcPr>
            <w:tcW w:w="357"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251282242"/>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213154504"/>
              <w:rPr>
                <w:sz w:val="20"/>
                <w:szCs w:val="20"/>
              </w:rPr>
            </w:pPr>
            <w:r>
              <w:rPr>
                <w:sz w:val="2"/>
                <w:szCs w:val="2"/>
              </w:rPr>
              <w:t>​</w:t>
            </w:r>
          </w:p>
        </w:tc>
        <w:tc>
          <w:tcPr>
            <w:tcW w:w="23"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326856084"/>
              <w:rPr>
                <w:sz w:val="20"/>
                <w:szCs w:val="20"/>
              </w:rPr>
            </w:pPr>
            <w:r>
              <w:rPr>
                <w:sz w:val="2"/>
                <w:szCs w:val="2"/>
              </w:rPr>
              <w:t>​</w:t>
            </w:r>
          </w:p>
        </w:tc>
        <w:tc>
          <w:tcPr>
            <w:tcW w:w="311"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855418700"/>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53571676"/>
              <w:rPr>
                <w:sz w:val="20"/>
                <w:szCs w:val="20"/>
              </w:rPr>
            </w:pPr>
            <w:r>
              <w:rPr>
                <w:sz w:val="2"/>
                <w:szCs w:val="2"/>
              </w:rPr>
              <w:t>​</w:t>
            </w:r>
          </w:p>
        </w:tc>
        <w:tc>
          <w:tcPr>
            <w:tcW w:w="243"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591208908"/>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673648465"/>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586500867"/>
              <w:rPr>
                <w:sz w:val="20"/>
                <w:szCs w:val="20"/>
              </w:rPr>
            </w:pPr>
            <w:r>
              <w:rPr>
                <w:sz w:val="2"/>
                <w:szCs w:val="2"/>
              </w:rPr>
              <w:t>​</w:t>
            </w:r>
          </w:p>
        </w:tc>
      </w:tr>
      <w:tr w:rsidR="00000000">
        <w:trPr>
          <w:divId w:val="1768843134"/>
        </w:trPr>
        <w:tc>
          <w:tcPr>
            <w:tcW w:w="1626" w:type="pct"/>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9"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rFonts w:ascii="Calibri" w:hAnsi="Calibri" w:cs="Calibri"/>
                <w:sz w:val="16"/>
                <w:szCs w:val="16"/>
              </w:rPr>
              <w:t>​</w:t>
            </w:r>
          </w:p>
        </w:tc>
        <w:tc>
          <w:tcPr>
            <w:tcW w:w="789" w:type="pct"/>
            <w:gridSpan w:val="5"/>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 xml:space="preserve">Three Months Ended </w:t>
            </w:r>
          </w:p>
        </w:tc>
        <w:tc>
          <w:tcPr>
            <w:tcW w:w="74"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sz w:val="16"/>
                <w:szCs w:val="16"/>
              </w:rPr>
              <w:t>​</w:t>
            </w:r>
          </w:p>
        </w:tc>
        <w:tc>
          <w:tcPr>
            <w:tcW w:w="609" w:type="pct"/>
            <w:gridSpan w:val="4"/>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Increase </w:t>
            </w:r>
          </w:p>
        </w:tc>
        <w:tc>
          <w:tcPr>
            <w:tcW w:w="77"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 </w:t>
            </w:r>
          </w:p>
        </w:tc>
        <w:tc>
          <w:tcPr>
            <w:tcW w:w="882" w:type="pct"/>
            <w:gridSpan w:val="5"/>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 xml:space="preserve">Nine Months Ended </w:t>
            </w:r>
          </w:p>
        </w:tc>
        <w:tc>
          <w:tcPr>
            <w:tcW w:w="74"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sz w:val="16"/>
                <w:szCs w:val="16"/>
              </w:rPr>
              <w:t>​</w:t>
            </w:r>
          </w:p>
        </w:tc>
        <w:tc>
          <w:tcPr>
            <w:tcW w:w="651" w:type="pct"/>
            <w:gridSpan w:val="4"/>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Increase </w:t>
            </w:r>
          </w:p>
        </w:tc>
        <w:tc>
          <w:tcPr>
            <w:tcW w:w="77"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sz w:val="16"/>
                <w:szCs w:val="16"/>
              </w:rPr>
              <w:t>​</w:t>
            </w:r>
          </w:p>
        </w:tc>
        <w:tc>
          <w:tcPr>
            <w:tcW w:w="67"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b/>
                <w:bCs/>
                <w:sz w:val="16"/>
                <w:szCs w:val="16"/>
              </w:rPr>
              <w:t>​</w:t>
            </w:r>
          </w:p>
        </w:tc>
      </w:tr>
      <w:tr w:rsidR="00000000">
        <w:trPr>
          <w:divId w:val="1768843134"/>
        </w:trPr>
        <w:tc>
          <w:tcPr>
            <w:tcW w:w="1626" w:type="pct"/>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9" w:type="pct"/>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789" w:type="pct"/>
            <w:gridSpan w:val="5"/>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September 30, </w:t>
            </w:r>
          </w:p>
        </w:tc>
        <w:tc>
          <w:tcPr>
            <w:tcW w:w="74"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sz w:val="16"/>
                <w:szCs w:val="16"/>
              </w:rPr>
              <w:t>​</w:t>
            </w:r>
          </w:p>
        </w:tc>
        <w:tc>
          <w:tcPr>
            <w:tcW w:w="609" w:type="pct"/>
            <w:gridSpan w:val="4"/>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(Decrease)</w:t>
            </w:r>
          </w:p>
        </w:tc>
        <w:tc>
          <w:tcPr>
            <w:tcW w:w="77"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882" w:type="pct"/>
            <w:gridSpan w:val="5"/>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September 30, </w:t>
            </w:r>
          </w:p>
        </w:tc>
        <w:tc>
          <w:tcPr>
            <w:tcW w:w="74"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sz w:val="16"/>
                <w:szCs w:val="16"/>
              </w:rPr>
              <w:t>​</w:t>
            </w:r>
          </w:p>
        </w:tc>
        <w:tc>
          <w:tcPr>
            <w:tcW w:w="651" w:type="pct"/>
            <w:gridSpan w:val="4"/>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(Decrease)</w:t>
            </w:r>
          </w:p>
        </w:tc>
        <w:tc>
          <w:tcPr>
            <w:tcW w:w="77"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sz w:val="16"/>
                <w:szCs w:val="16"/>
              </w:rPr>
              <w:t>​</w:t>
            </w:r>
          </w:p>
        </w:tc>
        <w:tc>
          <w:tcPr>
            <w:tcW w:w="67"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b/>
                <w:bCs/>
                <w:sz w:val="16"/>
                <w:szCs w:val="16"/>
              </w:rPr>
              <w:t>​</w:t>
            </w:r>
          </w:p>
        </w:tc>
      </w:tr>
      <w:tr w:rsidR="00000000">
        <w:trPr>
          <w:divId w:val="1768843134"/>
        </w:trPr>
        <w:tc>
          <w:tcPr>
            <w:tcW w:w="1626" w:type="pct"/>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69" w:type="pct"/>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357"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2020</w:t>
            </w:r>
          </w:p>
        </w:tc>
        <w:tc>
          <w:tcPr>
            <w:tcW w:w="74"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sz w:val="16"/>
                <w:szCs w:val="16"/>
              </w:rPr>
              <w:t>    </w:t>
            </w:r>
          </w:p>
        </w:tc>
        <w:tc>
          <w:tcPr>
            <w:tcW w:w="357"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2019</w:t>
            </w:r>
          </w:p>
        </w:tc>
        <w:tc>
          <w:tcPr>
            <w:tcW w:w="74"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sz w:val="16"/>
                <w:szCs w:val="16"/>
              </w:rPr>
              <w:t>    </w:t>
            </w:r>
          </w:p>
        </w:tc>
        <w:tc>
          <w:tcPr>
            <w:tcW w:w="288"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w:t>
            </w:r>
          </w:p>
        </w:tc>
        <w:tc>
          <w:tcPr>
            <w:tcW w:w="74"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    </w:t>
            </w:r>
          </w:p>
        </w:tc>
        <w:tc>
          <w:tcPr>
            <w:tcW w:w="246"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w:t>
            </w:r>
          </w:p>
        </w:tc>
        <w:tc>
          <w:tcPr>
            <w:tcW w:w="77"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 </w:t>
            </w:r>
          </w:p>
        </w:tc>
        <w:tc>
          <w:tcPr>
            <w:tcW w:w="404"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2020</w:t>
            </w:r>
          </w:p>
        </w:tc>
        <w:tc>
          <w:tcPr>
            <w:tcW w:w="74"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sz w:val="16"/>
                <w:szCs w:val="16"/>
              </w:rPr>
              <w:t>    </w:t>
            </w:r>
          </w:p>
        </w:tc>
        <w:tc>
          <w:tcPr>
            <w:tcW w:w="404"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2019</w:t>
            </w:r>
          </w:p>
        </w:tc>
        <w:tc>
          <w:tcPr>
            <w:tcW w:w="74"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sz w:val="16"/>
                <w:szCs w:val="16"/>
              </w:rPr>
              <w:t>    </w:t>
            </w:r>
          </w:p>
        </w:tc>
        <w:tc>
          <w:tcPr>
            <w:tcW w:w="334"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w:t>
            </w:r>
          </w:p>
        </w:tc>
        <w:tc>
          <w:tcPr>
            <w:tcW w:w="74"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    </w:t>
            </w:r>
          </w:p>
        </w:tc>
        <w:tc>
          <w:tcPr>
            <w:tcW w:w="243"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w:t>
            </w:r>
          </w:p>
        </w:tc>
        <w:tc>
          <w:tcPr>
            <w:tcW w:w="77"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sz w:val="16"/>
                <w:szCs w:val="16"/>
              </w:rPr>
              <w:t>​</w:t>
            </w:r>
          </w:p>
        </w:tc>
        <w:tc>
          <w:tcPr>
            <w:tcW w:w="67"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rFonts w:ascii="Calibri" w:hAnsi="Calibri" w:cs="Calibri"/>
                <w:b/>
                <w:bCs/>
                <w:sz w:val="16"/>
                <w:szCs w:val="16"/>
              </w:rPr>
              <w:t>    </w:t>
            </w:r>
          </w:p>
        </w:tc>
      </w:tr>
      <w:tr w:rsidR="00000000">
        <w:trPr>
          <w:divId w:val="1768843134"/>
        </w:trPr>
        <w:tc>
          <w:tcPr>
            <w:tcW w:w="1626" w:type="pct"/>
            <w:shd w:val="clear" w:color="auto" w:fill="CCEEFF"/>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Research and development</w:t>
            </w:r>
          </w:p>
        </w:tc>
        <w:tc>
          <w:tcPr>
            <w:tcW w:w="69" w:type="pct"/>
            <w:shd w:val="clear" w:color="auto" w:fill="CCEEFF"/>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31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72"/>
              <w:jc w:val="right"/>
              <w:rPr>
                <w:sz w:val="20"/>
                <w:szCs w:val="20"/>
              </w:rPr>
            </w:pPr>
            <w:r>
              <w:rPr>
                <w:sz w:val="20"/>
                <w:szCs w:val="20"/>
              </w:rPr>
              <w:t>43,05</w:t>
            </w:r>
            <w:r>
              <w:rPr>
                <w:sz w:val="20"/>
                <w:szCs w:val="20"/>
              </w:rPr>
              <w:t>0</w:t>
            </w:r>
          </w:p>
        </w:tc>
        <w:tc>
          <w:tcPr>
            <w:tcW w:w="7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31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72"/>
              <w:jc w:val="right"/>
              <w:rPr>
                <w:sz w:val="20"/>
                <w:szCs w:val="20"/>
              </w:rPr>
            </w:pPr>
            <w:r>
              <w:rPr>
                <w:sz w:val="20"/>
                <w:szCs w:val="20"/>
              </w:rPr>
              <w:t>41,58</w:t>
            </w:r>
            <w:r>
              <w:rPr>
                <w:sz w:val="20"/>
                <w:szCs w:val="20"/>
              </w:rPr>
              <w:t>2</w:t>
            </w:r>
          </w:p>
        </w:tc>
        <w:tc>
          <w:tcPr>
            <w:tcW w:w="7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2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26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72"/>
              <w:jc w:val="right"/>
              <w:rPr>
                <w:sz w:val="20"/>
                <w:szCs w:val="20"/>
              </w:rPr>
            </w:pPr>
            <w:r>
              <w:rPr>
                <w:sz w:val="20"/>
                <w:szCs w:val="20"/>
              </w:rPr>
              <w:t>1,46</w:t>
            </w:r>
            <w:r>
              <w:rPr>
                <w:sz w:val="20"/>
                <w:szCs w:val="20"/>
              </w:rPr>
              <w:t>8</w:t>
            </w:r>
          </w:p>
        </w:tc>
        <w:tc>
          <w:tcPr>
            <w:tcW w:w="7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20"/>
                <w:szCs w:val="20"/>
              </w:rPr>
            </w:pPr>
            <w:r>
              <w:rPr>
                <w:sz w:val="20"/>
                <w:szCs w:val="20"/>
              </w:rPr>
              <w:t>​</w:t>
            </w:r>
          </w:p>
        </w:tc>
        <w:tc>
          <w:tcPr>
            <w:tcW w:w="24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72"/>
              <w:jc w:val="right"/>
              <w:rPr>
                <w:sz w:val="20"/>
                <w:szCs w:val="20"/>
              </w:rPr>
            </w:pPr>
            <w:r>
              <w:rPr>
                <w:sz w:val="20"/>
                <w:szCs w:val="20"/>
              </w:rPr>
              <w:t>4</w:t>
            </w:r>
          </w:p>
        </w:tc>
        <w:tc>
          <w:tcPr>
            <w:tcW w:w="77"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357"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72"/>
              <w:jc w:val="right"/>
              <w:rPr>
                <w:sz w:val="20"/>
                <w:szCs w:val="20"/>
              </w:rPr>
            </w:pPr>
            <w:r>
              <w:rPr>
                <w:sz w:val="20"/>
                <w:szCs w:val="20"/>
              </w:rPr>
              <w:t>149,27</w:t>
            </w:r>
            <w:r>
              <w:rPr>
                <w:sz w:val="20"/>
                <w:szCs w:val="20"/>
              </w:rPr>
              <w:t>6</w:t>
            </w:r>
          </w:p>
        </w:tc>
        <w:tc>
          <w:tcPr>
            <w:tcW w:w="7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357"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72"/>
              <w:jc w:val="right"/>
              <w:rPr>
                <w:sz w:val="20"/>
                <w:szCs w:val="20"/>
              </w:rPr>
            </w:pPr>
            <w:r>
              <w:rPr>
                <w:sz w:val="20"/>
                <w:szCs w:val="20"/>
              </w:rPr>
              <w:t>111,78</w:t>
            </w:r>
            <w:r>
              <w:rPr>
                <w:sz w:val="20"/>
                <w:szCs w:val="20"/>
              </w:rPr>
              <w:t>5</w:t>
            </w:r>
          </w:p>
        </w:tc>
        <w:tc>
          <w:tcPr>
            <w:tcW w:w="7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2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31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72"/>
              <w:jc w:val="right"/>
              <w:rPr>
                <w:sz w:val="20"/>
                <w:szCs w:val="20"/>
              </w:rPr>
            </w:pPr>
            <w:r>
              <w:rPr>
                <w:sz w:val="20"/>
                <w:szCs w:val="20"/>
              </w:rPr>
              <w:t>37,49</w:t>
            </w:r>
            <w:r>
              <w:rPr>
                <w:sz w:val="20"/>
                <w:szCs w:val="20"/>
              </w:rPr>
              <w:t>1</w:t>
            </w:r>
          </w:p>
        </w:tc>
        <w:tc>
          <w:tcPr>
            <w:tcW w:w="7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20"/>
                <w:szCs w:val="20"/>
              </w:rPr>
            </w:pPr>
            <w:r>
              <w:rPr>
                <w:sz w:val="20"/>
                <w:szCs w:val="20"/>
              </w:rPr>
              <w:t>​</w:t>
            </w:r>
          </w:p>
        </w:tc>
        <w:tc>
          <w:tcPr>
            <w:tcW w:w="24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72"/>
              <w:jc w:val="right"/>
              <w:rPr>
                <w:sz w:val="20"/>
                <w:szCs w:val="20"/>
              </w:rPr>
            </w:pPr>
            <w:r>
              <w:rPr>
                <w:sz w:val="20"/>
                <w:szCs w:val="20"/>
              </w:rPr>
              <w:t>3</w:t>
            </w:r>
            <w:r>
              <w:rPr>
                <w:sz w:val="20"/>
                <w:szCs w:val="20"/>
              </w:rPr>
              <w:t>4</w:t>
            </w:r>
          </w:p>
        </w:tc>
        <w:tc>
          <w:tcPr>
            <w:tcW w:w="77"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r>
      <w:tr w:rsidR="00000000">
        <w:trPr>
          <w:divId w:val="1768843134"/>
        </w:trPr>
        <w:tc>
          <w:tcPr>
            <w:tcW w:w="1626" w:type="pct"/>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Stock-based compensation expense included in research and development expense</w:t>
            </w:r>
          </w:p>
        </w:tc>
        <w:tc>
          <w:tcPr>
            <w:tcW w:w="69" w:type="pct"/>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 </w:t>
            </w:r>
          </w:p>
        </w:tc>
        <w:tc>
          <w:tcPr>
            <w:tcW w:w="311" w:type="pct"/>
            <w:noWrap/>
            <w:tcMar>
              <w:top w:w="0" w:type="dxa"/>
              <w:left w:w="0" w:type="dxa"/>
              <w:bottom w:w="0" w:type="dxa"/>
              <w:right w:w="0" w:type="dxa"/>
            </w:tcMar>
            <w:vAlign w:val="bottom"/>
            <w:hideMark/>
          </w:tcPr>
          <w:p w:rsidR="00000000" w:rsidRDefault="00FF2C06">
            <w:pPr>
              <w:pStyle w:val="a3"/>
              <w:spacing w:before="0" w:beforeAutospacing="0" w:after="0" w:afterAutospacing="0"/>
              <w:ind w:right="72"/>
              <w:jc w:val="right"/>
              <w:rPr>
                <w:sz w:val="20"/>
                <w:szCs w:val="20"/>
              </w:rPr>
            </w:pPr>
            <w:r>
              <w:rPr>
                <w:sz w:val="20"/>
                <w:szCs w:val="20"/>
              </w:rPr>
              <w:t>5,28</w:t>
            </w:r>
            <w:r>
              <w:rPr>
                <w:sz w:val="20"/>
                <w:szCs w:val="20"/>
              </w:rPr>
              <w:t>2</w:t>
            </w:r>
          </w:p>
        </w:tc>
        <w:tc>
          <w:tcPr>
            <w:tcW w:w="74"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 </w:t>
            </w:r>
          </w:p>
        </w:tc>
        <w:tc>
          <w:tcPr>
            <w:tcW w:w="311" w:type="pct"/>
            <w:noWrap/>
            <w:tcMar>
              <w:top w:w="0" w:type="dxa"/>
              <w:left w:w="0" w:type="dxa"/>
              <w:bottom w:w="0" w:type="dxa"/>
              <w:right w:w="0" w:type="dxa"/>
            </w:tcMar>
            <w:vAlign w:val="bottom"/>
            <w:hideMark/>
          </w:tcPr>
          <w:p w:rsidR="00000000" w:rsidRDefault="00FF2C06">
            <w:pPr>
              <w:pStyle w:val="a3"/>
              <w:spacing w:before="0" w:beforeAutospacing="0" w:after="0" w:afterAutospacing="0"/>
              <w:ind w:right="72"/>
              <w:jc w:val="right"/>
              <w:rPr>
                <w:sz w:val="20"/>
                <w:szCs w:val="20"/>
              </w:rPr>
            </w:pPr>
            <w:r>
              <w:rPr>
                <w:sz w:val="20"/>
                <w:szCs w:val="20"/>
              </w:rPr>
              <w:t>3,34</w:t>
            </w:r>
            <w:r>
              <w:rPr>
                <w:sz w:val="20"/>
                <w:szCs w:val="20"/>
              </w:rPr>
              <w:t>6</w:t>
            </w:r>
          </w:p>
        </w:tc>
        <w:tc>
          <w:tcPr>
            <w:tcW w:w="74"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2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 </w:t>
            </w:r>
          </w:p>
        </w:tc>
        <w:tc>
          <w:tcPr>
            <w:tcW w:w="265" w:type="pct"/>
            <w:noWrap/>
            <w:tcMar>
              <w:top w:w="0" w:type="dxa"/>
              <w:left w:w="0" w:type="dxa"/>
              <w:bottom w:w="0" w:type="dxa"/>
              <w:right w:w="0" w:type="dxa"/>
            </w:tcMar>
            <w:vAlign w:val="bottom"/>
            <w:hideMark/>
          </w:tcPr>
          <w:p w:rsidR="00000000" w:rsidRDefault="00FF2C06">
            <w:pPr>
              <w:pStyle w:val="a3"/>
              <w:spacing w:before="0" w:beforeAutospacing="0" w:after="0" w:afterAutospacing="0"/>
              <w:ind w:right="72"/>
              <w:jc w:val="right"/>
              <w:rPr>
                <w:sz w:val="20"/>
                <w:szCs w:val="20"/>
              </w:rPr>
            </w:pPr>
            <w:r>
              <w:rPr>
                <w:sz w:val="20"/>
                <w:szCs w:val="20"/>
              </w:rPr>
              <w:t>1,93</w:t>
            </w:r>
            <w:r>
              <w:rPr>
                <w:sz w:val="20"/>
                <w:szCs w:val="20"/>
              </w:rPr>
              <w:t>6</w:t>
            </w:r>
          </w:p>
        </w:tc>
        <w:tc>
          <w:tcPr>
            <w:tcW w:w="74" w:type="pct"/>
            <w:noWrap/>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20"/>
                <w:szCs w:val="20"/>
              </w:rPr>
            </w:pPr>
            <w:r>
              <w:rPr>
                <w:sz w:val="20"/>
                <w:szCs w:val="20"/>
              </w:rPr>
              <w:t>​</w:t>
            </w:r>
          </w:p>
        </w:tc>
        <w:tc>
          <w:tcPr>
            <w:tcW w:w="246" w:type="pct"/>
            <w:noWrap/>
            <w:tcMar>
              <w:top w:w="0" w:type="dxa"/>
              <w:left w:w="0" w:type="dxa"/>
              <w:bottom w:w="0" w:type="dxa"/>
              <w:right w:w="0" w:type="dxa"/>
            </w:tcMar>
            <w:vAlign w:val="bottom"/>
            <w:hideMark/>
          </w:tcPr>
          <w:p w:rsidR="00000000" w:rsidRDefault="00FF2C06">
            <w:pPr>
              <w:pStyle w:val="a3"/>
              <w:spacing w:before="0" w:beforeAutospacing="0" w:after="0" w:afterAutospacing="0"/>
              <w:ind w:right="72"/>
              <w:jc w:val="right"/>
              <w:rPr>
                <w:sz w:val="20"/>
                <w:szCs w:val="20"/>
              </w:rPr>
            </w:pPr>
            <w:r>
              <w:rPr>
                <w:sz w:val="20"/>
                <w:szCs w:val="20"/>
              </w:rPr>
              <w:t>5</w:t>
            </w:r>
            <w:r>
              <w:rPr>
                <w:sz w:val="20"/>
                <w:szCs w:val="20"/>
              </w:rPr>
              <w:t>8</w:t>
            </w:r>
          </w:p>
        </w:tc>
        <w:tc>
          <w:tcPr>
            <w:tcW w:w="77"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 </w:t>
            </w:r>
          </w:p>
        </w:tc>
        <w:tc>
          <w:tcPr>
            <w:tcW w:w="357" w:type="pct"/>
            <w:noWrap/>
            <w:tcMar>
              <w:top w:w="0" w:type="dxa"/>
              <w:left w:w="0" w:type="dxa"/>
              <w:bottom w:w="0" w:type="dxa"/>
              <w:right w:w="0" w:type="dxa"/>
            </w:tcMar>
            <w:vAlign w:val="bottom"/>
            <w:hideMark/>
          </w:tcPr>
          <w:p w:rsidR="00000000" w:rsidRDefault="00FF2C06">
            <w:pPr>
              <w:pStyle w:val="a3"/>
              <w:spacing w:before="0" w:beforeAutospacing="0" w:after="0" w:afterAutospacing="0"/>
              <w:ind w:right="72"/>
              <w:jc w:val="right"/>
              <w:rPr>
                <w:sz w:val="20"/>
                <w:szCs w:val="20"/>
              </w:rPr>
            </w:pPr>
            <w:r>
              <w:rPr>
                <w:sz w:val="20"/>
                <w:szCs w:val="20"/>
              </w:rPr>
              <w:t>15,06</w:t>
            </w:r>
            <w:r>
              <w:rPr>
                <w:sz w:val="20"/>
                <w:szCs w:val="20"/>
              </w:rPr>
              <w:t>5</w:t>
            </w:r>
          </w:p>
        </w:tc>
        <w:tc>
          <w:tcPr>
            <w:tcW w:w="74"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 </w:t>
            </w:r>
          </w:p>
        </w:tc>
        <w:tc>
          <w:tcPr>
            <w:tcW w:w="357" w:type="pct"/>
            <w:noWrap/>
            <w:tcMar>
              <w:top w:w="0" w:type="dxa"/>
              <w:left w:w="0" w:type="dxa"/>
              <w:bottom w:w="0" w:type="dxa"/>
              <w:right w:w="0" w:type="dxa"/>
            </w:tcMar>
            <w:vAlign w:val="bottom"/>
            <w:hideMark/>
          </w:tcPr>
          <w:p w:rsidR="00000000" w:rsidRDefault="00FF2C06">
            <w:pPr>
              <w:pStyle w:val="a3"/>
              <w:spacing w:before="0" w:beforeAutospacing="0" w:after="0" w:afterAutospacing="0"/>
              <w:ind w:right="72"/>
              <w:jc w:val="right"/>
              <w:rPr>
                <w:sz w:val="20"/>
                <w:szCs w:val="20"/>
              </w:rPr>
            </w:pPr>
            <w:r>
              <w:rPr>
                <w:sz w:val="20"/>
                <w:szCs w:val="20"/>
              </w:rPr>
              <w:t>8,76</w:t>
            </w:r>
            <w:r>
              <w:rPr>
                <w:sz w:val="20"/>
                <w:szCs w:val="20"/>
              </w:rPr>
              <w:t>7</w:t>
            </w:r>
          </w:p>
        </w:tc>
        <w:tc>
          <w:tcPr>
            <w:tcW w:w="74"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2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 </w:t>
            </w:r>
          </w:p>
        </w:tc>
        <w:tc>
          <w:tcPr>
            <w:tcW w:w="311" w:type="pct"/>
            <w:noWrap/>
            <w:tcMar>
              <w:top w:w="0" w:type="dxa"/>
              <w:left w:w="0" w:type="dxa"/>
              <w:bottom w:w="0" w:type="dxa"/>
              <w:right w:w="0" w:type="dxa"/>
            </w:tcMar>
            <w:vAlign w:val="bottom"/>
            <w:hideMark/>
          </w:tcPr>
          <w:p w:rsidR="00000000" w:rsidRDefault="00FF2C06">
            <w:pPr>
              <w:pStyle w:val="a3"/>
              <w:spacing w:before="0" w:beforeAutospacing="0" w:after="0" w:afterAutospacing="0"/>
              <w:ind w:right="72"/>
              <w:jc w:val="right"/>
              <w:rPr>
                <w:sz w:val="20"/>
                <w:szCs w:val="20"/>
              </w:rPr>
            </w:pPr>
            <w:r>
              <w:rPr>
                <w:sz w:val="20"/>
                <w:szCs w:val="20"/>
              </w:rPr>
              <w:t>6,29</w:t>
            </w:r>
            <w:r>
              <w:rPr>
                <w:sz w:val="20"/>
                <w:szCs w:val="20"/>
              </w:rPr>
              <w:t>8</w:t>
            </w:r>
          </w:p>
        </w:tc>
        <w:tc>
          <w:tcPr>
            <w:tcW w:w="74" w:type="pct"/>
            <w:noWrap/>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20"/>
                <w:szCs w:val="20"/>
              </w:rPr>
            </w:pPr>
            <w:r>
              <w:rPr>
                <w:sz w:val="20"/>
                <w:szCs w:val="20"/>
              </w:rPr>
              <w:t>​</w:t>
            </w:r>
          </w:p>
        </w:tc>
        <w:tc>
          <w:tcPr>
            <w:tcW w:w="243" w:type="pct"/>
            <w:noWrap/>
            <w:tcMar>
              <w:top w:w="0" w:type="dxa"/>
              <w:left w:w="0" w:type="dxa"/>
              <w:bottom w:w="0" w:type="dxa"/>
              <w:right w:w="0" w:type="dxa"/>
            </w:tcMar>
            <w:vAlign w:val="bottom"/>
            <w:hideMark/>
          </w:tcPr>
          <w:p w:rsidR="00000000" w:rsidRDefault="00FF2C06">
            <w:pPr>
              <w:pStyle w:val="a3"/>
              <w:spacing w:before="0" w:beforeAutospacing="0" w:after="0" w:afterAutospacing="0"/>
              <w:ind w:right="72"/>
              <w:jc w:val="right"/>
              <w:rPr>
                <w:sz w:val="20"/>
                <w:szCs w:val="20"/>
              </w:rPr>
            </w:pPr>
            <w:r>
              <w:rPr>
                <w:sz w:val="20"/>
                <w:szCs w:val="20"/>
              </w:rPr>
              <w:t>7</w:t>
            </w:r>
            <w:r>
              <w:rPr>
                <w:sz w:val="20"/>
                <w:szCs w:val="20"/>
              </w:rPr>
              <w:t>2</w:t>
            </w:r>
          </w:p>
        </w:tc>
        <w:tc>
          <w:tcPr>
            <w:tcW w:w="77"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r>
    </w:tbl>
    <w:p w:rsidR="00000000" w:rsidRDefault="00FF2C06">
      <w:pPr>
        <w:pStyle w:val="a3"/>
        <w:spacing w:before="0" w:beforeAutospacing="0" w:after="0" w:afterAutospacing="0"/>
        <w:divId w:val="1768843134"/>
        <w:rPr>
          <w:sz w:val="20"/>
          <w:szCs w:val="20"/>
        </w:rPr>
      </w:pPr>
      <w:r>
        <w:rPr>
          <w:sz w:val="20"/>
          <w:szCs w:val="20"/>
        </w:rPr>
        <w:t>​</w:t>
      </w:r>
    </w:p>
    <w:p w:rsidR="00000000" w:rsidRDefault="00FF2C06">
      <w:pPr>
        <w:pStyle w:val="a3"/>
        <w:spacing w:before="0" w:beforeAutospacing="0" w:after="200" w:afterAutospacing="0"/>
        <w:ind w:firstLine="547"/>
        <w:divId w:val="1768843134"/>
        <w:rPr>
          <w:sz w:val="20"/>
          <w:szCs w:val="20"/>
        </w:rPr>
      </w:pPr>
      <w:r>
        <w:rPr>
          <w:sz w:val="20"/>
          <w:szCs w:val="20"/>
        </w:rPr>
        <w:t>Research and development expense for the three months ended September 30, 2020 increased by $1.5 million, or 4%, compared to the same period in 2019. The increase was primarily attributable to (i) a $5.3 million increase in payroll and related expenses dri</w:t>
      </w:r>
      <w:r>
        <w:rPr>
          <w:sz w:val="20"/>
          <w:szCs w:val="20"/>
        </w:rPr>
        <w:t>ven by a higher number of full-time research and development employees, and (ii) a $1.9 million increase in stock-based compensation expenses, which were partially offset by a $5.6 million decrease in manufacturing costs due to decreased production runs du</w:t>
      </w:r>
      <w:r>
        <w:rPr>
          <w:sz w:val="20"/>
          <w:szCs w:val="20"/>
        </w:rPr>
        <w:t>ring the three months ended September 30, 2020.</w:t>
      </w:r>
    </w:p>
    <w:p w:rsidR="00000000" w:rsidRDefault="00FF2C06">
      <w:pPr>
        <w:pStyle w:val="a3"/>
        <w:spacing w:before="0" w:beforeAutospacing="0" w:after="200" w:afterAutospacing="0"/>
        <w:ind w:firstLine="547"/>
        <w:divId w:val="1768843134"/>
        <w:rPr>
          <w:sz w:val="20"/>
          <w:szCs w:val="20"/>
        </w:rPr>
      </w:pPr>
      <w:r>
        <w:rPr>
          <w:sz w:val="20"/>
          <w:szCs w:val="20"/>
        </w:rPr>
        <w:t>Research and development expense for the nine months ended September 30, 2020 increased by $37.5 million, or 34%, compared to the same period in 2019. The increase was primarily attributable to (i) a $15.2 mi</w:t>
      </w:r>
      <w:r>
        <w:rPr>
          <w:sz w:val="20"/>
          <w:szCs w:val="20"/>
        </w:rPr>
        <w:t>llion increase in payroll and related expenses driven by a higher number of full-time research and development employees, (ii) a $11.8 million increase in clinical trial costs due to an increase in enrollment across all the trials, (iii) a $10.0 million in</w:t>
      </w:r>
      <w:r>
        <w:rPr>
          <w:sz w:val="20"/>
          <w:szCs w:val="20"/>
        </w:rPr>
        <w:t>crease for the license to further develop IOV-3001 obtained from Novartis, and (iv) a $6.3 million increase in stock-based compensation expenses. These increases were partially offset by a $4.3 million decrease in manufacturing costs due to decreased produ</w:t>
      </w:r>
      <w:r>
        <w:rPr>
          <w:sz w:val="20"/>
          <w:szCs w:val="20"/>
        </w:rPr>
        <w:t>ction runs in 2020 due to completion of enrollment in the melanoma pivotal program.</w:t>
      </w:r>
    </w:p>
    <w:p w:rsidR="00000000" w:rsidRDefault="00FF2C06">
      <w:pPr>
        <w:pStyle w:val="a3"/>
        <w:spacing w:before="0" w:beforeAutospacing="0" w:after="0" w:afterAutospacing="0"/>
        <w:jc w:val="both"/>
        <w:divId w:val="1768843134"/>
        <w:rPr>
          <w:sz w:val="20"/>
          <w:szCs w:val="20"/>
        </w:rPr>
      </w:pPr>
      <w:r>
        <w:rPr>
          <w:i/>
          <w:iCs/>
          <w:sz w:val="20"/>
          <w:szCs w:val="20"/>
          <w:u w:val="single"/>
        </w:rPr>
        <w:t>General and Administrative expenses (in thousands)</w:t>
      </w:r>
    </w:p>
    <w:p w:rsidR="00000000" w:rsidRDefault="00FF2C06">
      <w:pPr>
        <w:pStyle w:val="a3"/>
        <w:spacing w:before="0" w:beforeAutospacing="0" w:after="0" w:afterAutospacing="0"/>
        <w:divId w:val="176884313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162"/>
        <w:gridCol w:w="160"/>
        <w:gridCol w:w="100"/>
        <w:gridCol w:w="623"/>
        <w:gridCol w:w="160"/>
        <w:gridCol w:w="100"/>
        <w:gridCol w:w="623"/>
        <w:gridCol w:w="160"/>
        <w:gridCol w:w="50"/>
        <w:gridCol w:w="523"/>
        <w:gridCol w:w="160"/>
        <w:gridCol w:w="273"/>
        <w:gridCol w:w="167"/>
        <w:gridCol w:w="100"/>
        <w:gridCol w:w="623"/>
        <w:gridCol w:w="160"/>
        <w:gridCol w:w="100"/>
        <w:gridCol w:w="623"/>
        <w:gridCol w:w="160"/>
        <w:gridCol w:w="50"/>
        <w:gridCol w:w="623"/>
        <w:gridCol w:w="160"/>
        <w:gridCol w:w="273"/>
        <w:gridCol w:w="167"/>
        <w:gridCol w:w="6"/>
      </w:tblGrid>
      <w:tr w:rsidR="00000000">
        <w:trPr>
          <w:divId w:val="1768843134"/>
          <w:trHeight w:val="20"/>
        </w:trPr>
        <w:tc>
          <w:tcPr>
            <w:tcW w:w="1636" w:type="pct"/>
            <w:tcMar>
              <w:top w:w="0" w:type="dxa"/>
              <w:left w:w="0" w:type="dxa"/>
              <w:bottom w:w="0" w:type="dxa"/>
              <w:right w:w="0" w:type="dxa"/>
            </w:tcMar>
            <w:vAlign w:val="bottom"/>
            <w:hideMark/>
          </w:tcPr>
          <w:p w:rsidR="00000000" w:rsidRDefault="00FF2C06">
            <w:pPr>
              <w:pStyle w:val="a3"/>
              <w:spacing w:before="0" w:beforeAutospacing="0" w:after="0" w:afterAutospacing="0"/>
              <w:divId w:val="125054163"/>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908491838"/>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525488485"/>
              <w:rPr>
                <w:sz w:val="20"/>
                <w:szCs w:val="20"/>
              </w:rPr>
            </w:pPr>
            <w:r>
              <w:rPr>
                <w:sz w:val="2"/>
                <w:szCs w:val="2"/>
              </w:rPr>
              <w:t>​</w:t>
            </w:r>
          </w:p>
        </w:tc>
        <w:tc>
          <w:tcPr>
            <w:tcW w:w="311"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262106199"/>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780682388"/>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516627014"/>
              <w:rPr>
                <w:sz w:val="20"/>
                <w:szCs w:val="20"/>
              </w:rPr>
            </w:pPr>
            <w:r>
              <w:rPr>
                <w:sz w:val="2"/>
                <w:szCs w:val="2"/>
              </w:rPr>
              <w:t>​</w:t>
            </w:r>
          </w:p>
        </w:tc>
        <w:tc>
          <w:tcPr>
            <w:tcW w:w="311"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493990474"/>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29385201"/>
              <w:rPr>
                <w:sz w:val="20"/>
                <w:szCs w:val="20"/>
              </w:rPr>
            </w:pPr>
            <w:r>
              <w:rPr>
                <w:sz w:val="2"/>
                <w:szCs w:val="2"/>
              </w:rPr>
              <w:t>​</w:t>
            </w:r>
          </w:p>
        </w:tc>
        <w:tc>
          <w:tcPr>
            <w:tcW w:w="44"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848912131"/>
              <w:rPr>
                <w:sz w:val="20"/>
                <w:szCs w:val="20"/>
              </w:rPr>
            </w:pPr>
            <w:r>
              <w:rPr>
                <w:sz w:val="2"/>
                <w:szCs w:val="2"/>
              </w:rPr>
              <w:t>​</w:t>
            </w:r>
          </w:p>
        </w:tc>
        <w:tc>
          <w:tcPr>
            <w:tcW w:w="272"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840706941"/>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316912188"/>
              <w:rPr>
                <w:sz w:val="20"/>
                <w:szCs w:val="20"/>
              </w:rPr>
            </w:pPr>
            <w:r>
              <w:rPr>
                <w:sz w:val="2"/>
                <w:szCs w:val="2"/>
              </w:rPr>
              <w:t>​</w:t>
            </w:r>
          </w:p>
        </w:tc>
        <w:tc>
          <w:tcPr>
            <w:tcW w:w="272"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488011399"/>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182747097"/>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571428441"/>
              <w:rPr>
                <w:sz w:val="20"/>
                <w:szCs w:val="20"/>
              </w:rPr>
            </w:pPr>
            <w:r>
              <w:rPr>
                <w:sz w:val="2"/>
                <w:szCs w:val="2"/>
              </w:rPr>
              <w:t>​</w:t>
            </w:r>
          </w:p>
        </w:tc>
        <w:tc>
          <w:tcPr>
            <w:tcW w:w="311"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007439707"/>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540559388"/>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229467245"/>
              <w:rPr>
                <w:sz w:val="20"/>
                <w:szCs w:val="20"/>
              </w:rPr>
            </w:pPr>
            <w:r>
              <w:rPr>
                <w:sz w:val="2"/>
                <w:szCs w:val="2"/>
              </w:rPr>
              <w:t>​</w:t>
            </w:r>
          </w:p>
        </w:tc>
        <w:tc>
          <w:tcPr>
            <w:tcW w:w="311"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939408937"/>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711954525"/>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296376492"/>
              <w:rPr>
                <w:sz w:val="20"/>
                <w:szCs w:val="20"/>
              </w:rPr>
            </w:pPr>
            <w:r>
              <w:rPr>
                <w:sz w:val="2"/>
                <w:szCs w:val="2"/>
              </w:rPr>
              <w:t>​</w:t>
            </w:r>
          </w:p>
        </w:tc>
        <w:tc>
          <w:tcPr>
            <w:tcW w:w="311"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345136245"/>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120220354"/>
              <w:rPr>
                <w:sz w:val="20"/>
                <w:szCs w:val="20"/>
              </w:rPr>
            </w:pPr>
            <w:r>
              <w:rPr>
                <w:sz w:val="2"/>
                <w:szCs w:val="2"/>
              </w:rPr>
              <w:t>​</w:t>
            </w:r>
          </w:p>
        </w:tc>
        <w:tc>
          <w:tcPr>
            <w:tcW w:w="273"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331299296"/>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123035553"/>
              <w:rPr>
                <w:sz w:val="20"/>
                <w:szCs w:val="20"/>
              </w:rPr>
            </w:pPr>
            <w:r>
              <w:rPr>
                <w:sz w:val="2"/>
                <w:szCs w:val="2"/>
              </w:rPr>
              <w:t>​</w:t>
            </w:r>
          </w:p>
        </w:tc>
        <w:tc>
          <w:tcPr>
            <w:tcW w:w="15"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902716591"/>
              <w:rPr>
                <w:sz w:val="20"/>
                <w:szCs w:val="20"/>
              </w:rPr>
            </w:pPr>
            <w:r>
              <w:rPr>
                <w:sz w:val="2"/>
                <w:szCs w:val="2"/>
              </w:rPr>
              <w:t>​</w:t>
            </w:r>
          </w:p>
        </w:tc>
      </w:tr>
      <w:tr w:rsidR="00000000">
        <w:trPr>
          <w:divId w:val="1768843134"/>
        </w:trPr>
        <w:tc>
          <w:tcPr>
            <w:tcW w:w="1636" w:type="pct"/>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b/>
                <w:bCs/>
                <w:sz w:val="16"/>
                <w:szCs w:val="16"/>
              </w:rPr>
              <w:t>​</w:t>
            </w:r>
          </w:p>
        </w:tc>
        <w:tc>
          <w:tcPr>
            <w:tcW w:w="792" w:type="pct"/>
            <w:gridSpan w:val="5"/>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 xml:space="preserve">Three Months Ended </w:t>
            </w:r>
          </w:p>
        </w:tc>
        <w:tc>
          <w:tcPr>
            <w:tcW w:w="76"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sz w:val="16"/>
                <w:szCs w:val="16"/>
              </w:rPr>
              <w:t>​</w:t>
            </w:r>
          </w:p>
        </w:tc>
        <w:tc>
          <w:tcPr>
            <w:tcW w:w="667" w:type="pct"/>
            <w:gridSpan w:val="4"/>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Increase </w:t>
            </w:r>
          </w:p>
        </w:tc>
        <w:tc>
          <w:tcPr>
            <w:tcW w:w="77"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 </w:t>
            </w:r>
          </w:p>
        </w:tc>
        <w:tc>
          <w:tcPr>
            <w:tcW w:w="793" w:type="pct"/>
            <w:gridSpan w:val="5"/>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 xml:space="preserve">Nine Months Ended </w:t>
            </w:r>
          </w:p>
        </w:tc>
        <w:tc>
          <w:tcPr>
            <w:tcW w:w="77"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sz w:val="16"/>
                <w:szCs w:val="16"/>
              </w:rPr>
              <w:t>​</w:t>
            </w:r>
          </w:p>
        </w:tc>
        <w:tc>
          <w:tcPr>
            <w:tcW w:w="708" w:type="pct"/>
            <w:gridSpan w:val="4"/>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Increase </w:t>
            </w:r>
          </w:p>
        </w:tc>
        <w:tc>
          <w:tcPr>
            <w:tcW w:w="77"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sz w:val="16"/>
                <w:szCs w:val="16"/>
              </w:rPr>
              <w:t>​</w:t>
            </w:r>
          </w:p>
        </w:tc>
        <w:tc>
          <w:tcPr>
            <w:tcW w:w="15"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b/>
                <w:bCs/>
                <w:sz w:val="16"/>
                <w:szCs w:val="16"/>
              </w:rPr>
              <w:t>​</w:t>
            </w:r>
          </w:p>
        </w:tc>
      </w:tr>
      <w:tr w:rsidR="00000000">
        <w:trPr>
          <w:divId w:val="1768843134"/>
        </w:trPr>
        <w:tc>
          <w:tcPr>
            <w:tcW w:w="1636" w:type="pct"/>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b/>
                <w:bCs/>
                <w:sz w:val="16"/>
                <w:szCs w:val="16"/>
              </w:rPr>
              <w:t>​</w:t>
            </w:r>
          </w:p>
        </w:tc>
        <w:tc>
          <w:tcPr>
            <w:tcW w:w="792" w:type="pct"/>
            <w:gridSpan w:val="5"/>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September 30, </w:t>
            </w:r>
          </w:p>
        </w:tc>
        <w:tc>
          <w:tcPr>
            <w:tcW w:w="76"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sz w:val="16"/>
                <w:szCs w:val="16"/>
              </w:rPr>
              <w:t>​</w:t>
            </w:r>
          </w:p>
        </w:tc>
        <w:tc>
          <w:tcPr>
            <w:tcW w:w="667" w:type="pct"/>
            <w:gridSpan w:val="4"/>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(Decrease)</w:t>
            </w:r>
          </w:p>
        </w:tc>
        <w:tc>
          <w:tcPr>
            <w:tcW w:w="77"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793" w:type="pct"/>
            <w:gridSpan w:val="5"/>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September 30, </w:t>
            </w:r>
          </w:p>
        </w:tc>
        <w:tc>
          <w:tcPr>
            <w:tcW w:w="77"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sz w:val="16"/>
                <w:szCs w:val="16"/>
              </w:rPr>
              <w:t>​</w:t>
            </w:r>
          </w:p>
        </w:tc>
        <w:tc>
          <w:tcPr>
            <w:tcW w:w="708" w:type="pct"/>
            <w:gridSpan w:val="4"/>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(Decrease)</w:t>
            </w:r>
          </w:p>
        </w:tc>
        <w:tc>
          <w:tcPr>
            <w:tcW w:w="77"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sz w:val="16"/>
                <w:szCs w:val="16"/>
              </w:rPr>
              <w:t>​</w:t>
            </w:r>
          </w:p>
        </w:tc>
        <w:tc>
          <w:tcPr>
            <w:tcW w:w="15"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b/>
                <w:bCs/>
                <w:sz w:val="16"/>
                <w:szCs w:val="16"/>
              </w:rPr>
              <w:t>​</w:t>
            </w:r>
          </w:p>
        </w:tc>
      </w:tr>
      <w:tr w:rsidR="00000000">
        <w:trPr>
          <w:divId w:val="1768843134"/>
        </w:trPr>
        <w:tc>
          <w:tcPr>
            <w:tcW w:w="1636" w:type="pct"/>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    </w:t>
            </w:r>
          </w:p>
        </w:tc>
        <w:tc>
          <w:tcPr>
            <w:tcW w:w="357"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2020</w:t>
            </w:r>
          </w:p>
        </w:tc>
        <w:tc>
          <w:tcPr>
            <w:tcW w:w="76"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sz w:val="16"/>
                <w:szCs w:val="16"/>
              </w:rPr>
              <w:t>    </w:t>
            </w:r>
          </w:p>
        </w:tc>
        <w:tc>
          <w:tcPr>
            <w:tcW w:w="357"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2019</w:t>
            </w:r>
          </w:p>
        </w:tc>
        <w:tc>
          <w:tcPr>
            <w:tcW w:w="76"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sz w:val="16"/>
                <w:szCs w:val="16"/>
              </w:rPr>
              <w:t>    </w:t>
            </w:r>
          </w:p>
        </w:tc>
        <w:tc>
          <w:tcPr>
            <w:tcW w:w="317"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w:t>
            </w:r>
          </w:p>
        </w:tc>
        <w:tc>
          <w:tcPr>
            <w:tcW w:w="77"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    </w:t>
            </w:r>
          </w:p>
        </w:tc>
        <w:tc>
          <w:tcPr>
            <w:tcW w:w="272"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w:t>
            </w:r>
          </w:p>
        </w:tc>
        <w:tc>
          <w:tcPr>
            <w:tcW w:w="77"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16"/>
                <w:szCs w:val="16"/>
              </w:rPr>
            </w:pPr>
            <w:r>
              <w:rPr>
                <w:sz w:val="16"/>
                <w:szCs w:val="16"/>
              </w:rPr>
              <w:t> </w:t>
            </w:r>
          </w:p>
        </w:tc>
        <w:tc>
          <w:tcPr>
            <w:tcW w:w="357"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2020</w:t>
            </w:r>
          </w:p>
        </w:tc>
        <w:tc>
          <w:tcPr>
            <w:tcW w:w="77"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sz w:val="16"/>
                <w:szCs w:val="16"/>
              </w:rPr>
              <w:t>    </w:t>
            </w:r>
          </w:p>
        </w:tc>
        <w:tc>
          <w:tcPr>
            <w:tcW w:w="357"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2019</w:t>
            </w:r>
          </w:p>
        </w:tc>
        <w:tc>
          <w:tcPr>
            <w:tcW w:w="77"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sz w:val="16"/>
                <w:szCs w:val="16"/>
              </w:rPr>
              <w:t>    </w:t>
            </w:r>
          </w:p>
        </w:tc>
        <w:tc>
          <w:tcPr>
            <w:tcW w:w="356"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w:t>
            </w:r>
          </w:p>
        </w:tc>
        <w:tc>
          <w:tcPr>
            <w:tcW w:w="78"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    </w:t>
            </w:r>
          </w:p>
        </w:tc>
        <w:tc>
          <w:tcPr>
            <w:tcW w:w="273"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w:t>
            </w:r>
          </w:p>
        </w:tc>
        <w:tc>
          <w:tcPr>
            <w:tcW w:w="77"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sz w:val="16"/>
                <w:szCs w:val="16"/>
              </w:rPr>
              <w:t> </w:t>
            </w:r>
          </w:p>
        </w:tc>
        <w:tc>
          <w:tcPr>
            <w:tcW w:w="15"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b/>
                <w:bCs/>
                <w:sz w:val="16"/>
                <w:szCs w:val="16"/>
              </w:rPr>
              <w:t>​</w:t>
            </w:r>
          </w:p>
        </w:tc>
      </w:tr>
      <w:tr w:rsidR="00000000">
        <w:trPr>
          <w:divId w:val="1768843134"/>
        </w:trPr>
        <w:tc>
          <w:tcPr>
            <w:tcW w:w="1636" w:type="pct"/>
            <w:shd w:val="clear" w:color="auto" w:fill="CCEEFF"/>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General and administrative</w:t>
            </w:r>
          </w:p>
        </w:tc>
        <w:tc>
          <w:tcPr>
            <w:tcW w:w="77"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31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72"/>
              <w:jc w:val="right"/>
              <w:rPr>
                <w:sz w:val="20"/>
                <w:szCs w:val="20"/>
              </w:rPr>
            </w:pPr>
            <w:r>
              <w:rPr>
                <w:sz w:val="20"/>
                <w:szCs w:val="20"/>
              </w:rPr>
              <w:t>15,91</w:t>
            </w:r>
            <w:r>
              <w:rPr>
                <w:sz w:val="20"/>
                <w:szCs w:val="20"/>
              </w:rPr>
              <w:t>6</w:t>
            </w:r>
          </w:p>
        </w:tc>
        <w:tc>
          <w:tcPr>
            <w:tcW w:w="7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31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72"/>
              <w:jc w:val="right"/>
              <w:rPr>
                <w:sz w:val="20"/>
                <w:szCs w:val="20"/>
              </w:rPr>
            </w:pPr>
            <w:r>
              <w:rPr>
                <w:sz w:val="20"/>
                <w:szCs w:val="20"/>
              </w:rPr>
              <w:t>10,02</w:t>
            </w:r>
            <w:r>
              <w:rPr>
                <w:sz w:val="20"/>
                <w:szCs w:val="20"/>
              </w:rPr>
              <w:t>9</w:t>
            </w:r>
          </w:p>
        </w:tc>
        <w:tc>
          <w:tcPr>
            <w:tcW w:w="7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4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27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72"/>
              <w:jc w:val="right"/>
              <w:rPr>
                <w:sz w:val="20"/>
                <w:szCs w:val="20"/>
              </w:rPr>
            </w:pPr>
            <w:r>
              <w:rPr>
                <w:sz w:val="20"/>
                <w:szCs w:val="20"/>
              </w:rPr>
              <w:t>5,88</w:t>
            </w:r>
            <w:r>
              <w:rPr>
                <w:sz w:val="20"/>
                <w:szCs w:val="20"/>
              </w:rPr>
              <w:t>7</w:t>
            </w:r>
          </w:p>
        </w:tc>
        <w:tc>
          <w:tcPr>
            <w:tcW w:w="77"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20"/>
                <w:szCs w:val="20"/>
              </w:rPr>
            </w:pPr>
            <w:r>
              <w:rPr>
                <w:sz w:val="20"/>
                <w:szCs w:val="20"/>
              </w:rPr>
              <w:t>​</w:t>
            </w:r>
          </w:p>
        </w:tc>
        <w:tc>
          <w:tcPr>
            <w:tcW w:w="27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72"/>
              <w:jc w:val="right"/>
              <w:rPr>
                <w:sz w:val="20"/>
                <w:szCs w:val="20"/>
              </w:rPr>
            </w:pPr>
            <w:r>
              <w:rPr>
                <w:sz w:val="20"/>
                <w:szCs w:val="20"/>
              </w:rPr>
              <w:t>5</w:t>
            </w:r>
            <w:r>
              <w:rPr>
                <w:sz w:val="20"/>
                <w:szCs w:val="20"/>
              </w:rPr>
              <w:t>9</w:t>
            </w:r>
          </w:p>
        </w:tc>
        <w:tc>
          <w:tcPr>
            <w:tcW w:w="77"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31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72"/>
              <w:jc w:val="right"/>
              <w:rPr>
                <w:sz w:val="20"/>
                <w:szCs w:val="20"/>
              </w:rPr>
            </w:pPr>
            <w:r>
              <w:rPr>
                <w:sz w:val="20"/>
                <w:szCs w:val="20"/>
              </w:rPr>
              <w:t>44,12</w:t>
            </w:r>
            <w:r>
              <w:rPr>
                <w:sz w:val="20"/>
                <w:szCs w:val="20"/>
              </w:rPr>
              <w:t>7</w:t>
            </w:r>
          </w:p>
        </w:tc>
        <w:tc>
          <w:tcPr>
            <w:tcW w:w="77"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31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72"/>
              <w:jc w:val="right"/>
              <w:rPr>
                <w:sz w:val="20"/>
                <w:szCs w:val="20"/>
              </w:rPr>
            </w:pPr>
            <w:r>
              <w:rPr>
                <w:sz w:val="20"/>
                <w:szCs w:val="20"/>
              </w:rPr>
              <w:t>29,97</w:t>
            </w:r>
            <w:r>
              <w:rPr>
                <w:sz w:val="20"/>
                <w:szCs w:val="20"/>
              </w:rPr>
              <w:t>7</w:t>
            </w:r>
          </w:p>
        </w:tc>
        <w:tc>
          <w:tcPr>
            <w:tcW w:w="77"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4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31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72"/>
              <w:jc w:val="right"/>
              <w:rPr>
                <w:sz w:val="20"/>
                <w:szCs w:val="20"/>
              </w:rPr>
            </w:pPr>
            <w:r>
              <w:rPr>
                <w:sz w:val="20"/>
                <w:szCs w:val="20"/>
              </w:rPr>
              <w:t>14,15</w:t>
            </w:r>
            <w:r>
              <w:rPr>
                <w:sz w:val="20"/>
                <w:szCs w:val="20"/>
              </w:rPr>
              <w:t>0</w:t>
            </w:r>
          </w:p>
        </w:tc>
        <w:tc>
          <w:tcPr>
            <w:tcW w:w="78"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20"/>
                <w:szCs w:val="20"/>
              </w:rPr>
            </w:pPr>
            <w:r>
              <w:rPr>
                <w:sz w:val="20"/>
                <w:szCs w:val="20"/>
              </w:rPr>
              <w:t>​</w:t>
            </w:r>
          </w:p>
        </w:tc>
        <w:tc>
          <w:tcPr>
            <w:tcW w:w="27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72"/>
              <w:jc w:val="right"/>
              <w:rPr>
                <w:sz w:val="20"/>
                <w:szCs w:val="20"/>
              </w:rPr>
            </w:pPr>
            <w:r>
              <w:rPr>
                <w:sz w:val="20"/>
                <w:szCs w:val="20"/>
              </w:rPr>
              <w:t>4</w:t>
            </w:r>
            <w:r>
              <w:rPr>
                <w:sz w:val="20"/>
                <w:szCs w:val="20"/>
              </w:rPr>
              <w:t>7</w:t>
            </w:r>
          </w:p>
        </w:tc>
        <w:tc>
          <w:tcPr>
            <w:tcW w:w="77"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1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r>
      <w:tr w:rsidR="00000000">
        <w:trPr>
          <w:divId w:val="1768843134"/>
        </w:trPr>
        <w:tc>
          <w:tcPr>
            <w:tcW w:w="1636" w:type="pct"/>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Stock-based compensation expense included in general and administrative</w:t>
            </w:r>
          </w:p>
        </w:tc>
        <w:tc>
          <w:tcPr>
            <w:tcW w:w="77"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 </w:t>
            </w:r>
          </w:p>
        </w:tc>
        <w:tc>
          <w:tcPr>
            <w:tcW w:w="311" w:type="pct"/>
            <w:noWrap/>
            <w:tcMar>
              <w:top w:w="0" w:type="dxa"/>
              <w:left w:w="0" w:type="dxa"/>
              <w:bottom w:w="0" w:type="dxa"/>
              <w:right w:w="0" w:type="dxa"/>
            </w:tcMar>
            <w:vAlign w:val="bottom"/>
            <w:hideMark/>
          </w:tcPr>
          <w:p w:rsidR="00000000" w:rsidRDefault="00FF2C06">
            <w:pPr>
              <w:pStyle w:val="a3"/>
              <w:spacing w:before="0" w:beforeAutospacing="0" w:after="0" w:afterAutospacing="0"/>
              <w:ind w:right="72"/>
              <w:jc w:val="right"/>
              <w:rPr>
                <w:sz w:val="20"/>
                <w:szCs w:val="20"/>
              </w:rPr>
            </w:pPr>
            <w:r>
              <w:rPr>
                <w:sz w:val="20"/>
                <w:szCs w:val="20"/>
              </w:rPr>
              <w:t>5,42</w:t>
            </w:r>
            <w:r>
              <w:rPr>
                <w:sz w:val="20"/>
                <w:szCs w:val="20"/>
              </w:rPr>
              <w:t>4</w:t>
            </w:r>
          </w:p>
        </w:tc>
        <w:tc>
          <w:tcPr>
            <w:tcW w:w="76"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 </w:t>
            </w:r>
          </w:p>
        </w:tc>
        <w:tc>
          <w:tcPr>
            <w:tcW w:w="311" w:type="pct"/>
            <w:noWrap/>
            <w:tcMar>
              <w:top w:w="0" w:type="dxa"/>
              <w:left w:w="0" w:type="dxa"/>
              <w:bottom w:w="0" w:type="dxa"/>
              <w:right w:w="0" w:type="dxa"/>
            </w:tcMar>
            <w:vAlign w:val="bottom"/>
            <w:hideMark/>
          </w:tcPr>
          <w:p w:rsidR="00000000" w:rsidRDefault="00FF2C06">
            <w:pPr>
              <w:pStyle w:val="a3"/>
              <w:spacing w:before="0" w:beforeAutospacing="0" w:after="0" w:afterAutospacing="0"/>
              <w:ind w:right="72"/>
              <w:jc w:val="right"/>
              <w:rPr>
                <w:sz w:val="20"/>
                <w:szCs w:val="20"/>
              </w:rPr>
            </w:pPr>
            <w:r>
              <w:rPr>
                <w:sz w:val="20"/>
                <w:szCs w:val="20"/>
              </w:rPr>
              <w:t>3,25</w:t>
            </w:r>
            <w:r>
              <w:rPr>
                <w:sz w:val="20"/>
                <w:szCs w:val="20"/>
              </w:rPr>
              <w:t>2</w:t>
            </w:r>
          </w:p>
        </w:tc>
        <w:tc>
          <w:tcPr>
            <w:tcW w:w="76"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44"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 </w:t>
            </w:r>
          </w:p>
        </w:tc>
        <w:tc>
          <w:tcPr>
            <w:tcW w:w="272" w:type="pct"/>
            <w:noWrap/>
            <w:tcMar>
              <w:top w:w="0" w:type="dxa"/>
              <w:left w:w="0" w:type="dxa"/>
              <w:bottom w:w="0" w:type="dxa"/>
              <w:right w:w="0" w:type="dxa"/>
            </w:tcMar>
            <w:vAlign w:val="bottom"/>
            <w:hideMark/>
          </w:tcPr>
          <w:p w:rsidR="00000000" w:rsidRDefault="00FF2C06">
            <w:pPr>
              <w:pStyle w:val="a3"/>
              <w:spacing w:before="0" w:beforeAutospacing="0" w:after="0" w:afterAutospacing="0"/>
              <w:ind w:right="72"/>
              <w:jc w:val="right"/>
              <w:rPr>
                <w:sz w:val="20"/>
                <w:szCs w:val="20"/>
              </w:rPr>
            </w:pPr>
            <w:r>
              <w:rPr>
                <w:sz w:val="20"/>
                <w:szCs w:val="20"/>
              </w:rPr>
              <w:t>2,17</w:t>
            </w:r>
            <w:r>
              <w:rPr>
                <w:sz w:val="20"/>
                <w:szCs w:val="20"/>
              </w:rPr>
              <w:t>2</w:t>
            </w:r>
          </w:p>
        </w:tc>
        <w:tc>
          <w:tcPr>
            <w:tcW w:w="77" w:type="pct"/>
            <w:noWrap/>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20"/>
                <w:szCs w:val="20"/>
              </w:rPr>
            </w:pPr>
            <w:r>
              <w:rPr>
                <w:sz w:val="20"/>
                <w:szCs w:val="20"/>
              </w:rPr>
              <w:t>​</w:t>
            </w:r>
          </w:p>
        </w:tc>
        <w:tc>
          <w:tcPr>
            <w:tcW w:w="272" w:type="pct"/>
            <w:noWrap/>
            <w:tcMar>
              <w:top w:w="0" w:type="dxa"/>
              <w:left w:w="0" w:type="dxa"/>
              <w:bottom w:w="0" w:type="dxa"/>
              <w:right w:w="0" w:type="dxa"/>
            </w:tcMar>
            <w:vAlign w:val="bottom"/>
            <w:hideMark/>
          </w:tcPr>
          <w:p w:rsidR="00000000" w:rsidRDefault="00FF2C06">
            <w:pPr>
              <w:pStyle w:val="a3"/>
              <w:spacing w:before="0" w:beforeAutospacing="0" w:after="0" w:afterAutospacing="0"/>
              <w:ind w:right="72"/>
              <w:jc w:val="right"/>
              <w:rPr>
                <w:sz w:val="20"/>
                <w:szCs w:val="20"/>
              </w:rPr>
            </w:pPr>
            <w:r>
              <w:rPr>
                <w:sz w:val="20"/>
                <w:szCs w:val="20"/>
              </w:rPr>
              <w:t>6</w:t>
            </w:r>
            <w:r>
              <w:rPr>
                <w:sz w:val="20"/>
                <w:szCs w:val="20"/>
              </w:rPr>
              <w:t>7</w:t>
            </w:r>
          </w:p>
        </w:tc>
        <w:tc>
          <w:tcPr>
            <w:tcW w:w="77"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 </w:t>
            </w:r>
          </w:p>
        </w:tc>
        <w:tc>
          <w:tcPr>
            <w:tcW w:w="311" w:type="pct"/>
            <w:noWrap/>
            <w:tcMar>
              <w:top w:w="0" w:type="dxa"/>
              <w:left w:w="0" w:type="dxa"/>
              <w:bottom w:w="0" w:type="dxa"/>
              <w:right w:w="0" w:type="dxa"/>
            </w:tcMar>
            <w:vAlign w:val="bottom"/>
            <w:hideMark/>
          </w:tcPr>
          <w:p w:rsidR="00000000" w:rsidRDefault="00FF2C06">
            <w:pPr>
              <w:pStyle w:val="a3"/>
              <w:spacing w:before="0" w:beforeAutospacing="0" w:after="0" w:afterAutospacing="0"/>
              <w:ind w:right="72"/>
              <w:jc w:val="right"/>
              <w:rPr>
                <w:sz w:val="20"/>
                <w:szCs w:val="20"/>
              </w:rPr>
            </w:pPr>
            <w:r>
              <w:rPr>
                <w:sz w:val="20"/>
                <w:szCs w:val="20"/>
              </w:rPr>
              <w:t>15,59</w:t>
            </w:r>
            <w:r>
              <w:rPr>
                <w:sz w:val="20"/>
                <w:szCs w:val="20"/>
              </w:rPr>
              <w:t>0</w:t>
            </w:r>
          </w:p>
        </w:tc>
        <w:tc>
          <w:tcPr>
            <w:tcW w:w="77"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 </w:t>
            </w:r>
          </w:p>
        </w:tc>
        <w:tc>
          <w:tcPr>
            <w:tcW w:w="311" w:type="pct"/>
            <w:noWrap/>
            <w:tcMar>
              <w:top w:w="0" w:type="dxa"/>
              <w:left w:w="0" w:type="dxa"/>
              <w:bottom w:w="0" w:type="dxa"/>
              <w:right w:w="0" w:type="dxa"/>
            </w:tcMar>
            <w:vAlign w:val="bottom"/>
            <w:hideMark/>
          </w:tcPr>
          <w:p w:rsidR="00000000" w:rsidRDefault="00FF2C06">
            <w:pPr>
              <w:pStyle w:val="a3"/>
              <w:spacing w:before="0" w:beforeAutospacing="0" w:after="0" w:afterAutospacing="0"/>
              <w:ind w:right="72"/>
              <w:jc w:val="right"/>
              <w:rPr>
                <w:sz w:val="20"/>
                <w:szCs w:val="20"/>
              </w:rPr>
            </w:pPr>
            <w:r>
              <w:rPr>
                <w:sz w:val="20"/>
                <w:szCs w:val="20"/>
              </w:rPr>
              <w:t>10,10</w:t>
            </w:r>
            <w:r>
              <w:rPr>
                <w:sz w:val="20"/>
                <w:szCs w:val="20"/>
              </w:rPr>
              <w:t>3</w:t>
            </w:r>
          </w:p>
        </w:tc>
        <w:tc>
          <w:tcPr>
            <w:tcW w:w="77"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45"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 </w:t>
            </w:r>
          </w:p>
        </w:tc>
        <w:tc>
          <w:tcPr>
            <w:tcW w:w="311" w:type="pct"/>
            <w:noWrap/>
            <w:tcMar>
              <w:top w:w="0" w:type="dxa"/>
              <w:left w:w="0" w:type="dxa"/>
              <w:bottom w:w="0" w:type="dxa"/>
              <w:right w:w="0" w:type="dxa"/>
            </w:tcMar>
            <w:vAlign w:val="bottom"/>
            <w:hideMark/>
          </w:tcPr>
          <w:p w:rsidR="00000000" w:rsidRDefault="00FF2C06">
            <w:pPr>
              <w:pStyle w:val="a3"/>
              <w:spacing w:before="0" w:beforeAutospacing="0" w:after="0" w:afterAutospacing="0"/>
              <w:ind w:right="72"/>
              <w:jc w:val="right"/>
              <w:rPr>
                <w:sz w:val="20"/>
                <w:szCs w:val="20"/>
              </w:rPr>
            </w:pPr>
            <w:r>
              <w:rPr>
                <w:sz w:val="20"/>
                <w:szCs w:val="20"/>
              </w:rPr>
              <w:t>5,48</w:t>
            </w:r>
            <w:r>
              <w:rPr>
                <w:sz w:val="20"/>
                <w:szCs w:val="20"/>
              </w:rPr>
              <w:t>7</w:t>
            </w:r>
          </w:p>
        </w:tc>
        <w:tc>
          <w:tcPr>
            <w:tcW w:w="78" w:type="pct"/>
            <w:noWrap/>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20"/>
                <w:szCs w:val="20"/>
              </w:rPr>
            </w:pPr>
            <w:r>
              <w:rPr>
                <w:sz w:val="20"/>
                <w:szCs w:val="20"/>
              </w:rPr>
              <w:t>​</w:t>
            </w:r>
          </w:p>
        </w:tc>
        <w:tc>
          <w:tcPr>
            <w:tcW w:w="273" w:type="pct"/>
            <w:noWrap/>
            <w:tcMar>
              <w:top w:w="0" w:type="dxa"/>
              <w:left w:w="0" w:type="dxa"/>
              <w:bottom w:w="0" w:type="dxa"/>
              <w:right w:w="0" w:type="dxa"/>
            </w:tcMar>
            <w:vAlign w:val="bottom"/>
            <w:hideMark/>
          </w:tcPr>
          <w:p w:rsidR="00000000" w:rsidRDefault="00FF2C06">
            <w:pPr>
              <w:pStyle w:val="a3"/>
              <w:spacing w:before="0" w:beforeAutospacing="0" w:after="0" w:afterAutospacing="0"/>
              <w:ind w:right="72"/>
              <w:jc w:val="right"/>
              <w:rPr>
                <w:sz w:val="20"/>
                <w:szCs w:val="20"/>
              </w:rPr>
            </w:pPr>
            <w:r>
              <w:rPr>
                <w:sz w:val="20"/>
                <w:szCs w:val="20"/>
              </w:rPr>
              <w:t>5</w:t>
            </w:r>
            <w:r>
              <w:rPr>
                <w:sz w:val="20"/>
                <w:szCs w:val="20"/>
              </w:rPr>
              <w:t>4</w:t>
            </w:r>
          </w:p>
        </w:tc>
        <w:tc>
          <w:tcPr>
            <w:tcW w:w="77"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15"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r>
    </w:tbl>
    <w:p w:rsidR="00000000" w:rsidRDefault="00FF2C06">
      <w:pPr>
        <w:pStyle w:val="a3"/>
        <w:spacing w:before="0" w:beforeAutospacing="0" w:after="0" w:afterAutospacing="0"/>
        <w:jc w:val="both"/>
        <w:divId w:val="1768843134"/>
        <w:rPr>
          <w:sz w:val="20"/>
          <w:szCs w:val="20"/>
        </w:rPr>
      </w:pPr>
      <w:r>
        <w:rPr>
          <w:sz w:val="20"/>
          <w:szCs w:val="20"/>
        </w:rPr>
        <w:t>​</w:t>
      </w:r>
    </w:p>
    <w:p w:rsidR="00000000" w:rsidRDefault="00FF2C06">
      <w:pPr>
        <w:pStyle w:val="a3"/>
        <w:spacing w:before="0" w:beforeAutospacing="0" w:after="200" w:afterAutospacing="0"/>
        <w:ind w:firstLine="547"/>
        <w:divId w:val="1768843134"/>
        <w:rPr>
          <w:sz w:val="20"/>
          <w:szCs w:val="20"/>
        </w:rPr>
      </w:pPr>
      <w:r>
        <w:rPr>
          <w:sz w:val="20"/>
          <w:szCs w:val="20"/>
        </w:rPr>
        <w:t>General and administrative expenses for the three months ended September 30, 2020 increased by $5.9 million, or 59%, compared to the same period in 2019. The increase was primarily attributable to a $1.9 million increase in payroll and related expenses and</w:t>
      </w:r>
      <w:r>
        <w:rPr>
          <w:sz w:val="20"/>
          <w:szCs w:val="20"/>
        </w:rPr>
        <w:t xml:space="preserve"> a $2.2 million increase in stock-based compensation expenses driven by a higher number of full-time general and administrative employees and a higher average stock price.</w:t>
      </w:r>
    </w:p>
    <w:p w:rsidR="00000000" w:rsidRDefault="00FF2C06">
      <w:pPr>
        <w:pStyle w:val="a3"/>
        <w:spacing w:before="0" w:beforeAutospacing="0" w:after="200" w:afterAutospacing="0"/>
        <w:ind w:firstLine="547"/>
        <w:divId w:val="1768843134"/>
        <w:rPr>
          <w:sz w:val="20"/>
          <w:szCs w:val="20"/>
        </w:rPr>
      </w:pPr>
      <w:r>
        <w:rPr>
          <w:sz w:val="20"/>
          <w:szCs w:val="20"/>
        </w:rPr>
        <w:t>General and administrative expenses for the nine months ended September 30, 2020 inc</w:t>
      </w:r>
      <w:r>
        <w:rPr>
          <w:sz w:val="20"/>
          <w:szCs w:val="20"/>
        </w:rPr>
        <w:t>reased by $14.2 million, or 47%, compared to the same period in 2019. The increase was primarily attributable to (i) a $5.4 million increase in payroll and related expenses driven by a higher number of full-time general and administrative employees and a h</w:t>
      </w:r>
      <w:r>
        <w:rPr>
          <w:sz w:val="20"/>
          <w:szCs w:val="20"/>
        </w:rPr>
        <w:t>igher average stock price, (ii) a $5.5 million increase in stock-based compensation expenses, and (iii) a $1.7 million increase in director’s and officer’s insurance premiums.</w:t>
      </w:r>
    </w:p>
    <w:p w:rsidR="00000000" w:rsidRDefault="00FF2C06">
      <w:pPr>
        <w:pStyle w:val="a3"/>
        <w:spacing w:before="0" w:beforeAutospacing="0" w:after="0" w:afterAutospacing="0"/>
        <w:jc w:val="both"/>
        <w:divId w:val="1768843134"/>
        <w:rPr>
          <w:sz w:val="20"/>
          <w:szCs w:val="20"/>
        </w:rPr>
      </w:pPr>
      <w:r>
        <w:rPr>
          <w:i/>
          <w:iCs/>
          <w:sz w:val="20"/>
          <w:szCs w:val="20"/>
          <w:u w:val="single"/>
        </w:rPr>
        <w:t>Interest Income (in thousands)</w:t>
      </w:r>
    </w:p>
    <w:p w:rsidR="00000000" w:rsidRDefault="00FF2C06">
      <w:pPr>
        <w:pStyle w:val="a3"/>
        <w:spacing w:before="0" w:beforeAutospacing="0" w:after="0" w:afterAutospacing="0"/>
        <w:divId w:val="176884313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412"/>
        <w:gridCol w:w="200"/>
        <w:gridCol w:w="101"/>
        <w:gridCol w:w="547"/>
        <w:gridCol w:w="165"/>
        <w:gridCol w:w="100"/>
        <w:gridCol w:w="547"/>
        <w:gridCol w:w="160"/>
        <w:gridCol w:w="6"/>
        <w:gridCol w:w="584"/>
        <w:gridCol w:w="160"/>
        <w:gridCol w:w="334"/>
        <w:gridCol w:w="167"/>
        <w:gridCol w:w="100"/>
        <w:gridCol w:w="523"/>
        <w:gridCol w:w="160"/>
        <w:gridCol w:w="100"/>
        <w:gridCol w:w="523"/>
        <w:gridCol w:w="160"/>
        <w:gridCol w:w="6"/>
        <w:gridCol w:w="584"/>
        <w:gridCol w:w="160"/>
        <w:gridCol w:w="334"/>
        <w:gridCol w:w="167"/>
        <w:gridCol w:w="6"/>
      </w:tblGrid>
      <w:tr w:rsidR="00000000">
        <w:trPr>
          <w:divId w:val="1768843134"/>
          <w:trHeight w:val="20"/>
        </w:trPr>
        <w:tc>
          <w:tcPr>
            <w:tcW w:w="1643" w:type="pct"/>
            <w:tcMar>
              <w:top w:w="0" w:type="dxa"/>
              <w:left w:w="0" w:type="dxa"/>
              <w:bottom w:w="0" w:type="dxa"/>
              <w:right w:w="0" w:type="dxa"/>
            </w:tcMar>
            <w:vAlign w:val="bottom"/>
            <w:hideMark/>
          </w:tcPr>
          <w:p w:rsidR="00000000" w:rsidRDefault="00FF2C06">
            <w:pPr>
              <w:pStyle w:val="a3"/>
              <w:spacing w:before="0" w:beforeAutospacing="0" w:after="0" w:afterAutospacing="0"/>
              <w:divId w:val="1121921598"/>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558397838"/>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2008900872"/>
              <w:rPr>
                <w:sz w:val="20"/>
                <w:szCs w:val="20"/>
              </w:rPr>
            </w:pPr>
            <w:r>
              <w:rPr>
                <w:sz w:val="2"/>
                <w:szCs w:val="2"/>
              </w:rPr>
              <w:t>​</w:t>
            </w:r>
          </w:p>
        </w:tc>
        <w:tc>
          <w:tcPr>
            <w:tcW w:w="279"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2018847187"/>
              <w:rPr>
                <w:sz w:val="20"/>
                <w:szCs w:val="20"/>
              </w:rPr>
            </w:pPr>
            <w:r>
              <w:rPr>
                <w:sz w:val="2"/>
                <w:szCs w:val="2"/>
              </w:rPr>
              <w:t>​</w:t>
            </w:r>
          </w:p>
        </w:tc>
        <w:tc>
          <w:tcPr>
            <w:tcW w:w="84"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226405676"/>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402723790"/>
              <w:rPr>
                <w:sz w:val="20"/>
                <w:szCs w:val="20"/>
              </w:rPr>
            </w:pPr>
            <w:r>
              <w:rPr>
                <w:sz w:val="2"/>
                <w:szCs w:val="2"/>
              </w:rPr>
              <w:t>​</w:t>
            </w:r>
          </w:p>
        </w:tc>
        <w:tc>
          <w:tcPr>
            <w:tcW w:w="279"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764258001"/>
              <w:rPr>
                <w:sz w:val="20"/>
                <w:szCs w:val="20"/>
              </w:rPr>
            </w:pPr>
            <w:r>
              <w:rPr>
                <w:sz w:val="2"/>
                <w:szCs w:val="2"/>
              </w:rPr>
              <w:t>​</w:t>
            </w:r>
          </w:p>
        </w:tc>
        <w:tc>
          <w:tcPr>
            <w:tcW w:w="84"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191380508"/>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239677224"/>
              <w:rPr>
                <w:sz w:val="20"/>
                <w:szCs w:val="20"/>
              </w:rPr>
            </w:pPr>
            <w:r>
              <w:rPr>
                <w:sz w:val="2"/>
                <w:szCs w:val="2"/>
              </w:rPr>
              <w:t>​</w:t>
            </w:r>
          </w:p>
        </w:tc>
        <w:tc>
          <w:tcPr>
            <w:tcW w:w="293"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992636695"/>
              <w:rPr>
                <w:sz w:val="20"/>
                <w:szCs w:val="20"/>
              </w:rPr>
            </w:pPr>
            <w:r>
              <w:rPr>
                <w:sz w:val="2"/>
                <w:szCs w:val="2"/>
              </w:rPr>
              <w:t>​</w:t>
            </w:r>
          </w:p>
        </w:tc>
        <w:tc>
          <w:tcPr>
            <w:tcW w:w="84"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677923093"/>
              <w:rPr>
                <w:sz w:val="20"/>
                <w:szCs w:val="20"/>
              </w:rPr>
            </w:pPr>
            <w:r>
              <w:rPr>
                <w:sz w:val="2"/>
                <w:szCs w:val="2"/>
              </w:rPr>
              <w:t>​</w:t>
            </w:r>
          </w:p>
        </w:tc>
        <w:tc>
          <w:tcPr>
            <w:tcW w:w="279"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832520318"/>
              <w:rPr>
                <w:sz w:val="20"/>
                <w:szCs w:val="20"/>
              </w:rPr>
            </w:pPr>
            <w:r>
              <w:rPr>
                <w:sz w:val="2"/>
                <w:szCs w:val="2"/>
              </w:rPr>
              <w:t>​</w:t>
            </w:r>
          </w:p>
        </w:tc>
        <w:tc>
          <w:tcPr>
            <w:tcW w:w="84"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116096442"/>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800000324"/>
              <w:rPr>
                <w:sz w:val="20"/>
                <w:szCs w:val="20"/>
              </w:rPr>
            </w:pPr>
            <w:r>
              <w:rPr>
                <w:sz w:val="2"/>
                <w:szCs w:val="2"/>
              </w:rPr>
              <w:t>​</w:t>
            </w:r>
          </w:p>
        </w:tc>
        <w:tc>
          <w:tcPr>
            <w:tcW w:w="279"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575773776"/>
              <w:rPr>
                <w:sz w:val="20"/>
                <w:szCs w:val="20"/>
              </w:rPr>
            </w:pPr>
            <w:r>
              <w:rPr>
                <w:sz w:val="2"/>
                <w:szCs w:val="2"/>
              </w:rPr>
              <w:t>​</w:t>
            </w:r>
          </w:p>
        </w:tc>
        <w:tc>
          <w:tcPr>
            <w:tcW w:w="84"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385786768"/>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85871489"/>
              <w:rPr>
                <w:sz w:val="20"/>
                <w:szCs w:val="20"/>
              </w:rPr>
            </w:pPr>
            <w:r>
              <w:rPr>
                <w:sz w:val="2"/>
                <w:szCs w:val="2"/>
              </w:rPr>
              <w:t>​</w:t>
            </w:r>
          </w:p>
        </w:tc>
        <w:tc>
          <w:tcPr>
            <w:tcW w:w="279"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682465341"/>
              <w:rPr>
                <w:sz w:val="20"/>
                <w:szCs w:val="20"/>
              </w:rPr>
            </w:pPr>
            <w:r>
              <w:rPr>
                <w:sz w:val="2"/>
                <w:szCs w:val="2"/>
              </w:rPr>
              <w:t>​</w:t>
            </w:r>
          </w:p>
        </w:tc>
        <w:tc>
          <w:tcPr>
            <w:tcW w:w="84"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646395351"/>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657732308"/>
              <w:rPr>
                <w:sz w:val="20"/>
                <w:szCs w:val="20"/>
              </w:rPr>
            </w:pPr>
            <w:r>
              <w:rPr>
                <w:sz w:val="2"/>
                <w:szCs w:val="2"/>
              </w:rPr>
              <w:t>​</w:t>
            </w:r>
          </w:p>
        </w:tc>
        <w:tc>
          <w:tcPr>
            <w:tcW w:w="293"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234657471"/>
              <w:rPr>
                <w:sz w:val="20"/>
                <w:szCs w:val="20"/>
              </w:rPr>
            </w:pPr>
            <w:r>
              <w:rPr>
                <w:sz w:val="2"/>
                <w:szCs w:val="2"/>
              </w:rPr>
              <w:t>​</w:t>
            </w:r>
          </w:p>
        </w:tc>
        <w:tc>
          <w:tcPr>
            <w:tcW w:w="84"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500049747"/>
              <w:rPr>
                <w:sz w:val="20"/>
                <w:szCs w:val="20"/>
              </w:rPr>
            </w:pPr>
            <w:r>
              <w:rPr>
                <w:sz w:val="2"/>
                <w:szCs w:val="2"/>
              </w:rPr>
              <w:t>​</w:t>
            </w:r>
          </w:p>
        </w:tc>
        <w:tc>
          <w:tcPr>
            <w:tcW w:w="279"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465975331"/>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889950802"/>
              <w:rPr>
                <w:sz w:val="20"/>
                <w:szCs w:val="20"/>
              </w:rPr>
            </w:pPr>
            <w:r>
              <w:rPr>
                <w:sz w:val="2"/>
                <w:szCs w:val="2"/>
              </w:rPr>
              <w:t>​</w:t>
            </w:r>
          </w:p>
        </w:tc>
        <w:tc>
          <w:tcPr>
            <w:tcW w:w="21"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703405218"/>
              <w:rPr>
                <w:sz w:val="20"/>
                <w:szCs w:val="20"/>
              </w:rPr>
            </w:pPr>
            <w:r>
              <w:rPr>
                <w:sz w:val="2"/>
                <w:szCs w:val="2"/>
              </w:rPr>
              <w:t>​</w:t>
            </w:r>
          </w:p>
        </w:tc>
      </w:tr>
      <w:tr w:rsidR="00000000">
        <w:trPr>
          <w:divId w:val="1768843134"/>
        </w:trPr>
        <w:tc>
          <w:tcPr>
            <w:tcW w:w="1643" w:type="pct"/>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92"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b/>
                <w:bCs/>
                <w:sz w:val="16"/>
                <w:szCs w:val="16"/>
              </w:rPr>
              <w:t>​</w:t>
            </w:r>
          </w:p>
        </w:tc>
        <w:tc>
          <w:tcPr>
            <w:tcW w:w="745" w:type="pct"/>
            <w:gridSpan w:val="5"/>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 xml:space="preserve">Three Months Ended </w:t>
            </w:r>
          </w:p>
        </w:tc>
        <w:tc>
          <w:tcPr>
            <w:tcW w:w="84"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sz w:val="16"/>
                <w:szCs w:val="16"/>
              </w:rPr>
              <w:t>​</w:t>
            </w:r>
          </w:p>
        </w:tc>
        <w:tc>
          <w:tcPr>
            <w:tcW w:w="708" w:type="pct"/>
            <w:gridSpan w:val="4"/>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Increase </w:t>
            </w:r>
          </w:p>
        </w:tc>
        <w:tc>
          <w:tcPr>
            <w:tcW w:w="84"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sz w:val="16"/>
                <w:szCs w:val="16"/>
              </w:rPr>
              <w:t> </w:t>
            </w:r>
          </w:p>
        </w:tc>
        <w:tc>
          <w:tcPr>
            <w:tcW w:w="747" w:type="pct"/>
            <w:gridSpan w:val="5"/>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 xml:space="preserve">Nine Months Ended </w:t>
            </w:r>
          </w:p>
        </w:tc>
        <w:tc>
          <w:tcPr>
            <w:tcW w:w="84"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sz w:val="16"/>
                <w:szCs w:val="16"/>
              </w:rPr>
              <w:t>​</w:t>
            </w:r>
          </w:p>
        </w:tc>
        <w:tc>
          <w:tcPr>
            <w:tcW w:w="709" w:type="pct"/>
            <w:gridSpan w:val="4"/>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Increase </w:t>
            </w:r>
          </w:p>
        </w:tc>
        <w:tc>
          <w:tcPr>
            <w:tcW w:w="77"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sz w:val="16"/>
                <w:szCs w:val="16"/>
              </w:rPr>
              <w:t> </w:t>
            </w:r>
          </w:p>
        </w:tc>
        <w:tc>
          <w:tcPr>
            <w:tcW w:w="21"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b/>
                <w:bCs/>
                <w:sz w:val="16"/>
                <w:szCs w:val="16"/>
              </w:rPr>
              <w:t>​</w:t>
            </w:r>
          </w:p>
        </w:tc>
      </w:tr>
      <w:tr w:rsidR="00000000">
        <w:trPr>
          <w:divId w:val="1768843134"/>
        </w:trPr>
        <w:tc>
          <w:tcPr>
            <w:tcW w:w="1643" w:type="pct"/>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92"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b/>
                <w:bCs/>
                <w:sz w:val="16"/>
                <w:szCs w:val="16"/>
              </w:rPr>
              <w:t>​</w:t>
            </w:r>
          </w:p>
        </w:tc>
        <w:tc>
          <w:tcPr>
            <w:tcW w:w="745" w:type="pct"/>
            <w:gridSpan w:val="5"/>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September 30, </w:t>
            </w:r>
          </w:p>
        </w:tc>
        <w:tc>
          <w:tcPr>
            <w:tcW w:w="84"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sz w:val="16"/>
                <w:szCs w:val="16"/>
              </w:rPr>
              <w:t>​</w:t>
            </w:r>
          </w:p>
        </w:tc>
        <w:tc>
          <w:tcPr>
            <w:tcW w:w="708" w:type="pct"/>
            <w:gridSpan w:val="4"/>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(Decrease)</w:t>
            </w:r>
          </w:p>
        </w:tc>
        <w:tc>
          <w:tcPr>
            <w:tcW w:w="84"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sz w:val="16"/>
                <w:szCs w:val="16"/>
              </w:rPr>
              <w:t>​</w:t>
            </w:r>
          </w:p>
        </w:tc>
        <w:tc>
          <w:tcPr>
            <w:tcW w:w="747" w:type="pct"/>
            <w:gridSpan w:val="5"/>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September 30, </w:t>
            </w:r>
          </w:p>
        </w:tc>
        <w:tc>
          <w:tcPr>
            <w:tcW w:w="84"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sz w:val="16"/>
                <w:szCs w:val="16"/>
              </w:rPr>
              <w:t>​</w:t>
            </w:r>
          </w:p>
        </w:tc>
        <w:tc>
          <w:tcPr>
            <w:tcW w:w="709" w:type="pct"/>
            <w:gridSpan w:val="4"/>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(Decrease)</w:t>
            </w:r>
          </w:p>
        </w:tc>
        <w:tc>
          <w:tcPr>
            <w:tcW w:w="77"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sz w:val="16"/>
                <w:szCs w:val="16"/>
              </w:rPr>
              <w:t>​</w:t>
            </w:r>
          </w:p>
        </w:tc>
        <w:tc>
          <w:tcPr>
            <w:tcW w:w="21"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b/>
                <w:bCs/>
                <w:sz w:val="16"/>
                <w:szCs w:val="16"/>
              </w:rPr>
              <w:t>​</w:t>
            </w:r>
          </w:p>
        </w:tc>
      </w:tr>
      <w:tr w:rsidR="00000000">
        <w:trPr>
          <w:divId w:val="1768843134"/>
        </w:trPr>
        <w:tc>
          <w:tcPr>
            <w:tcW w:w="1643" w:type="pct"/>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92"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w:t>
            </w:r>
          </w:p>
        </w:tc>
        <w:tc>
          <w:tcPr>
            <w:tcW w:w="330"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2020</w:t>
            </w:r>
          </w:p>
        </w:tc>
        <w:tc>
          <w:tcPr>
            <w:tcW w:w="84"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sz w:val="16"/>
                <w:szCs w:val="16"/>
              </w:rPr>
              <w:t>    </w:t>
            </w:r>
          </w:p>
        </w:tc>
        <w:tc>
          <w:tcPr>
            <w:tcW w:w="330"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2019</w:t>
            </w:r>
          </w:p>
        </w:tc>
        <w:tc>
          <w:tcPr>
            <w:tcW w:w="84"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sz w:val="16"/>
                <w:szCs w:val="16"/>
              </w:rPr>
              <w:t>    </w:t>
            </w:r>
          </w:p>
        </w:tc>
        <w:tc>
          <w:tcPr>
            <w:tcW w:w="344"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w:t>
            </w:r>
          </w:p>
        </w:tc>
        <w:tc>
          <w:tcPr>
            <w:tcW w:w="84"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    </w:t>
            </w:r>
          </w:p>
        </w:tc>
        <w:tc>
          <w:tcPr>
            <w:tcW w:w="279"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w:t>
            </w:r>
          </w:p>
        </w:tc>
        <w:tc>
          <w:tcPr>
            <w:tcW w:w="84"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sz w:val="16"/>
                <w:szCs w:val="16"/>
              </w:rPr>
              <w:t> </w:t>
            </w:r>
          </w:p>
        </w:tc>
        <w:tc>
          <w:tcPr>
            <w:tcW w:w="331"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2020</w:t>
            </w:r>
          </w:p>
        </w:tc>
        <w:tc>
          <w:tcPr>
            <w:tcW w:w="84"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sz w:val="16"/>
                <w:szCs w:val="16"/>
              </w:rPr>
              <w:t>    </w:t>
            </w:r>
          </w:p>
        </w:tc>
        <w:tc>
          <w:tcPr>
            <w:tcW w:w="331"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2019</w:t>
            </w:r>
          </w:p>
        </w:tc>
        <w:tc>
          <w:tcPr>
            <w:tcW w:w="84"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sz w:val="16"/>
                <w:szCs w:val="16"/>
              </w:rPr>
              <w:t>    </w:t>
            </w:r>
          </w:p>
        </w:tc>
        <w:tc>
          <w:tcPr>
            <w:tcW w:w="345"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w:t>
            </w:r>
          </w:p>
        </w:tc>
        <w:tc>
          <w:tcPr>
            <w:tcW w:w="84"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    </w:t>
            </w:r>
          </w:p>
        </w:tc>
        <w:tc>
          <w:tcPr>
            <w:tcW w:w="279"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w:t>
            </w:r>
          </w:p>
        </w:tc>
        <w:tc>
          <w:tcPr>
            <w:tcW w:w="77"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sz w:val="16"/>
                <w:szCs w:val="16"/>
              </w:rPr>
              <w:t> </w:t>
            </w:r>
          </w:p>
        </w:tc>
        <w:tc>
          <w:tcPr>
            <w:tcW w:w="21"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b/>
                <w:bCs/>
                <w:sz w:val="16"/>
                <w:szCs w:val="16"/>
              </w:rPr>
              <w:t>​</w:t>
            </w:r>
          </w:p>
        </w:tc>
      </w:tr>
      <w:tr w:rsidR="00000000">
        <w:trPr>
          <w:divId w:val="1768843134"/>
        </w:trPr>
        <w:tc>
          <w:tcPr>
            <w:tcW w:w="1643" w:type="pct"/>
            <w:shd w:val="clear" w:color="auto" w:fill="CCEEFF"/>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Net interest income</w:t>
            </w:r>
          </w:p>
        </w:tc>
        <w:tc>
          <w:tcPr>
            <w:tcW w:w="9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b/>
                <w:bCs/>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27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72"/>
              <w:jc w:val="right"/>
              <w:rPr>
                <w:sz w:val="20"/>
                <w:szCs w:val="20"/>
              </w:rPr>
            </w:pPr>
            <w:r>
              <w:rPr>
                <w:sz w:val="20"/>
                <w:szCs w:val="20"/>
              </w:rPr>
              <w:t>39</w:t>
            </w:r>
            <w:r>
              <w:rPr>
                <w:sz w:val="20"/>
                <w:szCs w:val="20"/>
              </w:rPr>
              <w:t>5</w:t>
            </w:r>
          </w:p>
        </w:tc>
        <w:tc>
          <w:tcPr>
            <w:tcW w:w="8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27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72"/>
              <w:jc w:val="right"/>
              <w:rPr>
                <w:sz w:val="20"/>
                <w:szCs w:val="20"/>
              </w:rPr>
            </w:pPr>
            <w:r>
              <w:rPr>
                <w:sz w:val="20"/>
                <w:szCs w:val="20"/>
              </w:rPr>
              <w:t>2,12</w:t>
            </w:r>
            <w:r>
              <w:rPr>
                <w:sz w:val="20"/>
                <w:szCs w:val="20"/>
              </w:rPr>
              <w:t>4</w:t>
            </w:r>
          </w:p>
        </w:tc>
        <w:tc>
          <w:tcPr>
            <w:tcW w:w="8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29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20"/>
                <w:szCs w:val="20"/>
              </w:rPr>
            </w:pPr>
            <w:r>
              <w:rPr>
                <w:sz w:val="20"/>
                <w:szCs w:val="20"/>
              </w:rPr>
              <w:t>(1,729</w:t>
            </w: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20"/>
                <w:szCs w:val="20"/>
              </w:rPr>
            </w:pPr>
            <w:r>
              <w:rPr>
                <w:sz w:val="20"/>
                <w:szCs w:val="20"/>
              </w:rPr>
              <w:t>​</w:t>
            </w:r>
          </w:p>
        </w:tc>
        <w:tc>
          <w:tcPr>
            <w:tcW w:w="27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20"/>
                <w:szCs w:val="20"/>
              </w:rPr>
            </w:pPr>
            <w:r>
              <w:rPr>
                <w:sz w:val="20"/>
                <w:szCs w:val="20"/>
              </w:rPr>
              <w:t>(81</w:t>
            </w: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27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72"/>
              <w:jc w:val="right"/>
              <w:rPr>
                <w:sz w:val="20"/>
                <w:szCs w:val="20"/>
              </w:rPr>
            </w:pPr>
            <w:r>
              <w:rPr>
                <w:sz w:val="20"/>
                <w:szCs w:val="20"/>
              </w:rPr>
              <w:t>2,21</w:t>
            </w:r>
            <w:r>
              <w:rPr>
                <w:sz w:val="20"/>
                <w:szCs w:val="20"/>
              </w:rPr>
              <w:t>9</w:t>
            </w:r>
          </w:p>
        </w:tc>
        <w:tc>
          <w:tcPr>
            <w:tcW w:w="8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27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72"/>
              <w:jc w:val="right"/>
              <w:rPr>
                <w:sz w:val="20"/>
                <w:szCs w:val="20"/>
              </w:rPr>
            </w:pPr>
            <w:r>
              <w:rPr>
                <w:sz w:val="20"/>
                <w:szCs w:val="20"/>
              </w:rPr>
              <w:t>7,77</w:t>
            </w:r>
            <w:r>
              <w:rPr>
                <w:sz w:val="20"/>
                <w:szCs w:val="20"/>
              </w:rPr>
              <w:t>4</w:t>
            </w:r>
          </w:p>
        </w:tc>
        <w:tc>
          <w:tcPr>
            <w:tcW w:w="8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29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20"/>
                <w:szCs w:val="20"/>
              </w:rPr>
            </w:pPr>
            <w:r>
              <w:rPr>
                <w:sz w:val="20"/>
                <w:szCs w:val="20"/>
              </w:rPr>
              <w:t>(5,555</w:t>
            </w: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20"/>
                <w:szCs w:val="20"/>
              </w:rPr>
            </w:pPr>
            <w:r>
              <w:rPr>
                <w:sz w:val="20"/>
                <w:szCs w:val="20"/>
              </w:rPr>
              <w:t>​</w:t>
            </w:r>
          </w:p>
        </w:tc>
        <w:tc>
          <w:tcPr>
            <w:tcW w:w="27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20"/>
                <w:szCs w:val="20"/>
              </w:rPr>
            </w:pPr>
            <w:r>
              <w:rPr>
                <w:sz w:val="20"/>
                <w:szCs w:val="20"/>
              </w:rPr>
              <w:t>(71</w:t>
            </w: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2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b/>
                <w:bCs/>
                <w:sz w:val="20"/>
                <w:szCs w:val="20"/>
              </w:rPr>
              <w:t>​</w:t>
            </w:r>
          </w:p>
        </w:tc>
      </w:tr>
    </w:tbl>
    <w:p w:rsidR="00000000" w:rsidRDefault="00FF2C06">
      <w:pPr>
        <w:pStyle w:val="a3"/>
        <w:spacing w:before="0" w:beforeAutospacing="0" w:after="0" w:afterAutospacing="0"/>
        <w:divId w:val="1768843134"/>
        <w:rPr>
          <w:sz w:val="20"/>
          <w:szCs w:val="20"/>
        </w:rPr>
      </w:pPr>
      <w:r>
        <w:rPr>
          <w:sz w:val="16"/>
          <w:szCs w:val="16"/>
        </w:rPr>
        <w:t>​</w:t>
      </w:r>
    </w:p>
    <w:p w:rsidR="00000000" w:rsidRDefault="00FF2C06">
      <w:pPr>
        <w:pStyle w:val="a3"/>
        <w:spacing w:before="0" w:beforeAutospacing="0" w:after="200" w:afterAutospacing="0"/>
        <w:ind w:firstLine="547"/>
        <w:divId w:val="1768843134"/>
        <w:rPr>
          <w:sz w:val="20"/>
          <w:szCs w:val="20"/>
        </w:rPr>
      </w:pPr>
      <w:r>
        <w:rPr>
          <w:sz w:val="20"/>
          <w:szCs w:val="20"/>
        </w:rPr>
        <w:t>Net interest income for the three and nine months ended September 30, 2020 and 2019 decreased by $1.7 million or 81% and $5.6 million or 71% respectively, due primarily to a decrease in interest rates for the three and nine months period ended September 30</w:t>
      </w:r>
      <w:r>
        <w:rPr>
          <w:sz w:val="20"/>
          <w:szCs w:val="20"/>
        </w:rPr>
        <w:t>, 2020 as compared to the same periods in 2019.</w:t>
      </w:r>
    </w:p>
    <w:p w:rsidR="00000000" w:rsidRDefault="00FF2C06">
      <w:pPr>
        <w:pStyle w:val="a3"/>
        <w:spacing w:before="480" w:beforeAutospacing="0" w:after="0" w:afterAutospacing="0"/>
        <w:jc w:val="center"/>
        <w:divId w:val="2141605327"/>
        <w:rPr>
          <w:sz w:val="20"/>
          <w:szCs w:val="20"/>
        </w:rPr>
      </w:pPr>
      <w:r>
        <w:rPr>
          <w:sz w:val="20"/>
          <w:szCs w:val="20"/>
        </w:rPr>
        <w:t>32</w:t>
      </w:r>
    </w:p>
    <w:p w:rsidR="00000000" w:rsidRDefault="00FF2C06">
      <w:pPr>
        <w:pStyle w:val="a3"/>
        <w:spacing w:before="0" w:beforeAutospacing="0" w:after="600" w:afterAutospacing="0"/>
        <w:divId w:val="926766659"/>
        <w:rPr>
          <w:sz w:val="20"/>
          <w:szCs w:val="20"/>
        </w:rPr>
      </w:pPr>
      <w:hyperlink w:anchor="TOC" w:history="1">
        <w:r>
          <w:rPr>
            <w:rStyle w:val="a4"/>
            <w:sz w:val="20"/>
            <w:szCs w:val="20"/>
          </w:rPr>
          <w:t>Table of Contents</w:t>
        </w:r>
      </w:hyperlink>
    </w:p>
    <w:p w:rsidR="00000000" w:rsidRDefault="00FF2C06">
      <w:pPr>
        <w:pStyle w:val="a3"/>
        <w:spacing w:before="0" w:beforeAutospacing="0" w:after="0" w:afterAutospacing="0"/>
        <w:jc w:val="both"/>
        <w:divId w:val="1538161674"/>
        <w:rPr>
          <w:sz w:val="20"/>
          <w:szCs w:val="20"/>
        </w:rPr>
      </w:pPr>
      <w:r>
        <w:rPr>
          <w:i/>
          <w:iCs/>
          <w:sz w:val="20"/>
          <w:szCs w:val="20"/>
          <w:u w:val="single"/>
        </w:rPr>
        <w:t>Net Loss (in thousands)</w:t>
      </w:r>
    </w:p>
    <w:p w:rsidR="00000000" w:rsidRDefault="00FF2C06">
      <w:pPr>
        <w:pStyle w:val="a3"/>
        <w:spacing w:before="0" w:beforeAutospacing="0" w:after="0" w:afterAutospacing="0"/>
        <w:jc w:val="both"/>
        <w:divId w:val="1538161674"/>
        <w:rPr>
          <w:sz w:val="20"/>
          <w:szCs w:val="20"/>
        </w:rPr>
      </w:pPr>
      <w:r>
        <w:rPr>
          <w:i/>
          <w:i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004"/>
        <w:gridCol w:w="200"/>
        <w:gridCol w:w="100"/>
        <w:gridCol w:w="623"/>
        <w:gridCol w:w="160"/>
        <w:gridCol w:w="100"/>
        <w:gridCol w:w="623"/>
        <w:gridCol w:w="160"/>
        <w:gridCol w:w="6"/>
        <w:gridCol w:w="523"/>
        <w:gridCol w:w="160"/>
        <w:gridCol w:w="273"/>
        <w:gridCol w:w="167"/>
        <w:gridCol w:w="6"/>
        <w:gridCol w:w="100"/>
        <w:gridCol w:w="723"/>
        <w:gridCol w:w="160"/>
        <w:gridCol w:w="100"/>
        <w:gridCol w:w="723"/>
        <w:gridCol w:w="160"/>
        <w:gridCol w:w="6"/>
        <w:gridCol w:w="623"/>
        <w:gridCol w:w="160"/>
        <w:gridCol w:w="273"/>
        <w:gridCol w:w="167"/>
        <w:gridCol w:w="6"/>
      </w:tblGrid>
      <w:tr w:rsidR="00000000">
        <w:trPr>
          <w:divId w:val="1538161674"/>
          <w:trHeight w:val="20"/>
        </w:trPr>
        <w:tc>
          <w:tcPr>
            <w:tcW w:w="1843" w:type="pct"/>
            <w:tcMar>
              <w:top w:w="0" w:type="dxa"/>
              <w:left w:w="0" w:type="dxa"/>
              <w:bottom w:w="0" w:type="dxa"/>
              <w:right w:w="0" w:type="dxa"/>
            </w:tcMar>
            <w:vAlign w:val="bottom"/>
            <w:hideMark/>
          </w:tcPr>
          <w:p w:rsidR="00000000" w:rsidRDefault="00FF2C06">
            <w:pPr>
              <w:pStyle w:val="a3"/>
              <w:spacing w:before="0" w:beforeAutospacing="0" w:after="0" w:afterAutospacing="0"/>
              <w:divId w:val="1556040067"/>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722942428"/>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864833673"/>
              <w:rPr>
                <w:sz w:val="20"/>
                <w:szCs w:val="20"/>
              </w:rPr>
            </w:pPr>
            <w:r>
              <w:rPr>
                <w:sz w:val="2"/>
                <w:szCs w:val="2"/>
              </w:rPr>
              <w:t>​</w:t>
            </w:r>
          </w:p>
        </w:tc>
        <w:tc>
          <w:tcPr>
            <w:tcW w:w="311"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108698942"/>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593662116"/>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840584998"/>
              <w:rPr>
                <w:sz w:val="20"/>
                <w:szCs w:val="20"/>
              </w:rPr>
            </w:pPr>
            <w:r>
              <w:rPr>
                <w:sz w:val="2"/>
                <w:szCs w:val="2"/>
              </w:rPr>
              <w:t>​</w:t>
            </w:r>
          </w:p>
        </w:tc>
        <w:tc>
          <w:tcPr>
            <w:tcW w:w="311"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441534831"/>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743868173"/>
              <w:rPr>
                <w:sz w:val="20"/>
                <w:szCs w:val="20"/>
              </w:rPr>
            </w:pPr>
            <w:r>
              <w:rPr>
                <w:sz w:val="2"/>
                <w:szCs w:val="2"/>
              </w:rPr>
              <w:t>​</w:t>
            </w:r>
          </w:p>
        </w:tc>
        <w:tc>
          <w:tcPr>
            <w:tcW w:w="2"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738169307"/>
              <w:rPr>
                <w:sz w:val="20"/>
                <w:szCs w:val="20"/>
              </w:rPr>
            </w:pPr>
            <w:r>
              <w:rPr>
                <w:sz w:val="2"/>
                <w:szCs w:val="2"/>
              </w:rPr>
              <w:t>​</w:t>
            </w:r>
          </w:p>
        </w:tc>
        <w:tc>
          <w:tcPr>
            <w:tcW w:w="265"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252355906"/>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872305467"/>
              <w:rPr>
                <w:sz w:val="20"/>
                <w:szCs w:val="20"/>
              </w:rPr>
            </w:pPr>
            <w:r>
              <w:rPr>
                <w:sz w:val="2"/>
                <w:szCs w:val="2"/>
              </w:rPr>
              <w:t>​</w:t>
            </w:r>
          </w:p>
        </w:tc>
        <w:tc>
          <w:tcPr>
            <w:tcW w:w="171"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480418601"/>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285357642"/>
              <w:rPr>
                <w:sz w:val="20"/>
                <w:szCs w:val="20"/>
              </w:rPr>
            </w:pPr>
            <w:r>
              <w:rPr>
                <w:sz w:val="2"/>
                <w:szCs w:val="2"/>
              </w:rPr>
              <w:t>​</w:t>
            </w:r>
          </w:p>
        </w:tc>
        <w:tc>
          <w:tcPr>
            <w:tcW w:w="34"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186477966"/>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913585155"/>
              <w:rPr>
                <w:sz w:val="20"/>
                <w:szCs w:val="20"/>
              </w:rPr>
            </w:pPr>
            <w:r>
              <w:rPr>
                <w:sz w:val="2"/>
                <w:szCs w:val="2"/>
              </w:rPr>
              <w:t>​</w:t>
            </w:r>
          </w:p>
        </w:tc>
        <w:tc>
          <w:tcPr>
            <w:tcW w:w="357"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893128627"/>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758285425"/>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471239919"/>
              <w:rPr>
                <w:sz w:val="20"/>
                <w:szCs w:val="20"/>
              </w:rPr>
            </w:pPr>
            <w:r>
              <w:rPr>
                <w:sz w:val="2"/>
                <w:szCs w:val="2"/>
              </w:rPr>
              <w:t>​</w:t>
            </w:r>
          </w:p>
        </w:tc>
        <w:tc>
          <w:tcPr>
            <w:tcW w:w="357"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510609888"/>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778062174"/>
              <w:rPr>
                <w:sz w:val="20"/>
                <w:szCs w:val="20"/>
              </w:rPr>
            </w:pPr>
            <w:r>
              <w:rPr>
                <w:sz w:val="2"/>
                <w:szCs w:val="2"/>
              </w:rPr>
              <w:t>​</w:t>
            </w:r>
          </w:p>
        </w:tc>
        <w:tc>
          <w:tcPr>
            <w:tcW w:w="2"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326937438"/>
              <w:rPr>
                <w:sz w:val="20"/>
                <w:szCs w:val="20"/>
              </w:rPr>
            </w:pPr>
            <w:r>
              <w:rPr>
                <w:sz w:val="2"/>
                <w:szCs w:val="2"/>
              </w:rPr>
              <w:t>​</w:t>
            </w:r>
          </w:p>
        </w:tc>
        <w:tc>
          <w:tcPr>
            <w:tcW w:w="311"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994602088"/>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882670803"/>
              <w:rPr>
                <w:sz w:val="20"/>
                <w:szCs w:val="20"/>
              </w:rPr>
            </w:pPr>
            <w:r>
              <w:rPr>
                <w:sz w:val="2"/>
                <w:szCs w:val="2"/>
              </w:rPr>
              <w:t>​</w:t>
            </w:r>
          </w:p>
        </w:tc>
        <w:tc>
          <w:tcPr>
            <w:tcW w:w="149"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231892433"/>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760955608"/>
              <w:rPr>
                <w:sz w:val="20"/>
                <w:szCs w:val="20"/>
              </w:rPr>
            </w:pPr>
            <w:r>
              <w:rPr>
                <w:sz w:val="2"/>
                <w:szCs w:val="2"/>
              </w:rPr>
              <w:t>​</w:t>
            </w:r>
          </w:p>
        </w:tc>
        <w:tc>
          <w:tcPr>
            <w:tcW w:w="2"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482893269"/>
              <w:rPr>
                <w:sz w:val="20"/>
                <w:szCs w:val="20"/>
              </w:rPr>
            </w:pPr>
            <w:r>
              <w:rPr>
                <w:sz w:val="2"/>
                <w:szCs w:val="2"/>
              </w:rPr>
              <w:t>​</w:t>
            </w:r>
          </w:p>
        </w:tc>
      </w:tr>
      <w:tr w:rsidR="00000000">
        <w:trPr>
          <w:divId w:val="1538161674"/>
        </w:trPr>
        <w:tc>
          <w:tcPr>
            <w:tcW w:w="1843" w:type="pct"/>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92"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b/>
                <w:bCs/>
                <w:sz w:val="16"/>
                <w:szCs w:val="16"/>
              </w:rPr>
              <w:t>​</w:t>
            </w:r>
          </w:p>
        </w:tc>
        <w:tc>
          <w:tcPr>
            <w:tcW w:w="789" w:type="pct"/>
            <w:gridSpan w:val="5"/>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 xml:space="preserve">Three Months Ended </w:t>
            </w:r>
          </w:p>
        </w:tc>
        <w:tc>
          <w:tcPr>
            <w:tcW w:w="74"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sz w:val="16"/>
                <w:szCs w:val="16"/>
              </w:rPr>
              <w:t>​</w:t>
            </w:r>
          </w:p>
        </w:tc>
        <w:tc>
          <w:tcPr>
            <w:tcW w:w="513" w:type="pct"/>
            <w:gridSpan w:val="4"/>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Increase</w:t>
            </w:r>
          </w:p>
        </w:tc>
        <w:tc>
          <w:tcPr>
            <w:tcW w:w="77"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sz w:val="16"/>
                <w:szCs w:val="16"/>
              </w:rPr>
              <w:t> </w:t>
            </w:r>
          </w:p>
        </w:tc>
        <w:tc>
          <w:tcPr>
            <w:tcW w:w="34"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sz w:val="16"/>
                <w:szCs w:val="16"/>
              </w:rPr>
              <w:t>​</w:t>
            </w:r>
          </w:p>
        </w:tc>
        <w:tc>
          <w:tcPr>
            <w:tcW w:w="882" w:type="pct"/>
            <w:gridSpan w:val="5"/>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 xml:space="preserve">Nine Months Ended </w:t>
            </w:r>
          </w:p>
        </w:tc>
        <w:tc>
          <w:tcPr>
            <w:tcW w:w="74"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sz w:val="16"/>
                <w:szCs w:val="16"/>
              </w:rPr>
              <w:t>​</w:t>
            </w:r>
          </w:p>
        </w:tc>
        <w:tc>
          <w:tcPr>
            <w:tcW w:w="537" w:type="pct"/>
            <w:gridSpan w:val="4"/>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Increase </w:t>
            </w:r>
          </w:p>
        </w:tc>
        <w:tc>
          <w:tcPr>
            <w:tcW w:w="77"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sz w:val="16"/>
                <w:szCs w:val="16"/>
              </w:rPr>
              <w:t> </w:t>
            </w:r>
          </w:p>
        </w:tc>
        <w:tc>
          <w:tcPr>
            <w:tcW w:w="2"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b/>
                <w:bCs/>
                <w:sz w:val="16"/>
                <w:szCs w:val="16"/>
              </w:rPr>
              <w:t>​</w:t>
            </w:r>
          </w:p>
        </w:tc>
      </w:tr>
      <w:tr w:rsidR="00000000">
        <w:trPr>
          <w:divId w:val="1538161674"/>
        </w:trPr>
        <w:tc>
          <w:tcPr>
            <w:tcW w:w="1843" w:type="pct"/>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92"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b/>
                <w:bCs/>
                <w:sz w:val="16"/>
                <w:szCs w:val="16"/>
              </w:rPr>
              <w:t>​</w:t>
            </w:r>
          </w:p>
        </w:tc>
        <w:tc>
          <w:tcPr>
            <w:tcW w:w="789" w:type="pct"/>
            <w:gridSpan w:val="5"/>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September 30, </w:t>
            </w:r>
          </w:p>
        </w:tc>
        <w:tc>
          <w:tcPr>
            <w:tcW w:w="74"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sz w:val="16"/>
                <w:szCs w:val="16"/>
              </w:rPr>
              <w:t>​</w:t>
            </w:r>
          </w:p>
        </w:tc>
        <w:tc>
          <w:tcPr>
            <w:tcW w:w="513" w:type="pct"/>
            <w:gridSpan w:val="4"/>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(Decrease)</w:t>
            </w:r>
          </w:p>
        </w:tc>
        <w:tc>
          <w:tcPr>
            <w:tcW w:w="77"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sz w:val="16"/>
                <w:szCs w:val="16"/>
              </w:rPr>
              <w:t>​</w:t>
            </w:r>
          </w:p>
        </w:tc>
        <w:tc>
          <w:tcPr>
            <w:tcW w:w="34"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sz w:val="16"/>
                <w:szCs w:val="16"/>
              </w:rPr>
              <w:t>​</w:t>
            </w:r>
          </w:p>
        </w:tc>
        <w:tc>
          <w:tcPr>
            <w:tcW w:w="882" w:type="pct"/>
            <w:gridSpan w:val="5"/>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September 30, </w:t>
            </w:r>
          </w:p>
        </w:tc>
        <w:tc>
          <w:tcPr>
            <w:tcW w:w="74"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sz w:val="16"/>
                <w:szCs w:val="16"/>
              </w:rPr>
              <w:t>​</w:t>
            </w:r>
          </w:p>
        </w:tc>
        <w:tc>
          <w:tcPr>
            <w:tcW w:w="537" w:type="pct"/>
            <w:gridSpan w:val="4"/>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(Decrease)</w:t>
            </w:r>
          </w:p>
        </w:tc>
        <w:tc>
          <w:tcPr>
            <w:tcW w:w="77"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sz w:val="16"/>
                <w:szCs w:val="16"/>
              </w:rPr>
              <w:t>​</w:t>
            </w:r>
          </w:p>
        </w:tc>
        <w:tc>
          <w:tcPr>
            <w:tcW w:w="2"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b/>
                <w:bCs/>
                <w:sz w:val="16"/>
                <w:szCs w:val="16"/>
              </w:rPr>
              <w:t>​</w:t>
            </w:r>
          </w:p>
        </w:tc>
      </w:tr>
      <w:tr w:rsidR="00000000">
        <w:trPr>
          <w:divId w:val="1538161674"/>
        </w:trPr>
        <w:tc>
          <w:tcPr>
            <w:tcW w:w="1843" w:type="pct"/>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92"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w:t>
            </w:r>
          </w:p>
        </w:tc>
        <w:tc>
          <w:tcPr>
            <w:tcW w:w="357"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2020</w:t>
            </w:r>
          </w:p>
        </w:tc>
        <w:tc>
          <w:tcPr>
            <w:tcW w:w="74"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    </w:t>
            </w:r>
          </w:p>
        </w:tc>
        <w:tc>
          <w:tcPr>
            <w:tcW w:w="357"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2019</w:t>
            </w:r>
          </w:p>
        </w:tc>
        <w:tc>
          <w:tcPr>
            <w:tcW w:w="74"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    </w:t>
            </w:r>
          </w:p>
        </w:tc>
        <w:tc>
          <w:tcPr>
            <w:tcW w:w="267"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w:t>
            </w:r>
          </w:p>
        </w:tc>
        <w:tc>
          <w:tcPr>
            <w:tcW w:w="74"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    </w:t>
            </w:r>
          </w:p>
        </w:tc>
        <w:tc>
          <w:tcPr>
            <w:tcW w:w="171"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w:t>
            </w:r>
          </w:p>
        </w:tc>
        <w:tc>
          <w:tcPr>
            <w:tcW w:w="77"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b/>
                <w:bCs/>
                <w:sz w:val="16"/>
                <w:szCs w:val="16"/>
              </w:rPr>
              <w:t>​</w:t>
            </w:r>
          </w:p>
        </w:tc>
        <w:tc>
          <w:tcPr>
            <w:tcW w:w="34"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b/>
                <w:bCs/>
                <w:sz w:val="16"/>
                <w:szCs w:val="16"/>
              </w:rPr>
              <w:t>​</w:t>
            </w:r>
          </w:p>
        </w:tc>
        <w:tc>
          <w:tcPr>
            <w:tcW w:w="404"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2020</w:t>
            </w:r>
          </w:p>
        </w:tc>
        <w:tc>
          <w:tcPr>
            <w:tcW w:w="74"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    </w:t>
            </w:r>
          </w:p>
        </w:tc>
        <w:tc>
          <w:tcPr>
            <w:tcW w:w="404"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2019</w:t>
            </w:r>
          </w:p>
        </w:tc>
        <w:tc>
          <w:tcPr>
            <w:tcW w:w="74"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    </w:t>
            </w:r>
          </w:p>
        </w:tc>
        <w:tc>
          <w:tcPr>
            <w:tcW w:w="314" w:type="pct"/>
            <w:gridSpan w:val="2"/>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w:t>
            </w:r>
          </w:p>
        </w:tc>
        <w:tc>
          <w:tcPr>
            <w:tcW w:w="74"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    </w:t>
            </w:r>
          </w:p>
        </w:tc>
        <w:tc>
          <w:tcPr>
            <w:tcW w:w="149"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w:t>
            </w:r>
          </w:p>
        </w:tc>
        <w:tc>
          <w:tcPr>
            <w:tcW w:w="77"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b/>
                <w:bCs/>
                <w:sz w:val="16"/>
                <w:szCs w:val="16"/>
              </w:rPr>
              <w:t>​</w:t>
            </w:r>
          </w:p>
        </w:tc>
        <w:tc>
          <w:tcPr>
            <w:tcW w:w="2"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b/>
                <w:bCs/>
                <w:sz w:val="16"/>
                <w:szCs w:val="16"/>
              </w:rPr>
              <w:t>​</w:t>
            </w:r>
          </w:p>
        </w:tc>
      </w:tr>
      <w:tr w:rsidR="00FF2C06">
        <w:trPr>
          <w:divId w:val="1538161674"/>
        </w:trPr>
        <w:tc>
          <w:tcPr>
            <w:tcW w:w="1843" w:type="pct"/>
            <w:shd w:val="clear" w:color="auto" w:fill="CCEEFF"/>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Net loss</w:t>
            </w:r>
          </w:p>
        </w:tc>
        <w:tc>
          <w:tcPr>
            <w:tcW w:w="9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b/>
                <w:bCs/>
                <w:sz w:val="20"/>
                <w:szCs w:val="20"/>
              </w:rPr>
              <w:t>    </w:t>
            </w:r>
          </w:p>
        </w:tc>
        <w:tc>
          <w:tcPr>
            <w:tcW w:w="4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31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72"/>
              <w:jc w:val="right"/>
              <w:rPr>
                <w:sz w:val="20"/>
                <w:szCs w:val="20"/>
              </w:rPr>
            </w:pPr>
            <w:r>
              <w:rPr>
                <w:sz w:val="20"/>
                <w:szCs w:val="20"/>
              </w:rPr>
              <w:t>58,57</w:t>
            </w:r>
            <w:r>
              <w:rPr>
                <w:sz w:val="20"/>
                <w:szCs w:val="20"/>
              </w:rPr>
              <w:t>1</w:t>
            </w:r>
          </w:p>
        </w:tc>
        <w:tc>
          <w:tcPr>
            <w:tcW w:w="7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31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72"/>
              <w:jc w:val="right"/>
              <w:rPr>
                <w:sz w:val="20"/>
                <w:szCs w:val="20"/>
              </w:rPr>
            </w:pPr>
            <w:r>
              <w:rPr>
                <w:sz w:val="20"/>
                <w:szCs w:val="20"/>
              </w:rPr>
              <w:t>49,48</w:t>
            </w:r>
            <w:r>
              <w:rPr>
                <w:sz w:val="20"/>
                <w:szCs w:val="20"/>
              </w:rPr>
              <w:t>7</w:t>
            </w:r>
          </w:p>
        </w:tc>
        <w:tc>
          <w:tcPr>
            <w:tcW w:w="7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26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72"/>
              <w:jc w:val="right"/>
              <w:rPr>
                <w:sz w:val="20"/>
                <w:szCs w:val="20"/>
              </w:rPr>
            </w:pPr>
            <w:r>
              <w:rPr>
                <w:sz w:val="20"/>
                <w:szCs w:val="20"/>
              </w:rPr>
              <w:t>9,08</w:t>
            </w:r>
            <w:r>
              <w:rPr>
                <w:sz w:val="20"/>
                <w:szCs w:val="20"/>
              </w:rPr>
              <w:t>4</w:t>
            </w:r>
          </w:p>
        </w:tc>
        <w:tc>
          <w:tcPr>
            <w:tcW w:w="7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20"/>
                <w:szCs w:val="20"/>
              </w:rPr>
            </w:pPr>
            <w:r>
              <w:rPr>
                <w:sz w:val="20"/>
                <w:szCs w:val="20"/>
              </w:rPr>
              <w:t>​</w:t>
            </w:r>
          </w:p>
        </w:tc>
        <w:tc>
          <w:tcPr>
            <w:tcW w:w="17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72"/>
              <w:jc w:val="right"/>
              <w:rPr>
                <w:sz w:val="20"/>
                <w:szCs w:val="20"/>
              </w:rPr>
            </w:pPr>
            <w:r>
              <w:rPr>
                <w:sz w:val="20"/>
                <w:szCs w:val="20"/>
              </w:rPr>
              <w:t>1</w:t>
            </w:r>
            <w:r>
              <w:rPr>
                <w:sz w:val="20"/>
                <w:szCs w:val="20"/>
              </w:rPr>
              <w:t>8</w:t>
            </w:r>
          </w:p>
        </w:tc>
        <w:tc>
          <w:tcPr>
            <w:tcW w:w="77"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3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357"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72"/>
              <w:jc w:val="right"/>
              <w:rPr>
                <w:sz w:val="20"/>
                <w:szCs w:val="20"/>
              </w:rPr>
            </w:pPr>
            <w:r>
              <w:rPr>
                <w:sz w:val="20"/>
                <w:szCs w:val="20"/>
              </w:rPr>
              <w:t>191,18</w:t>
            </w:r>
            <w:r>
              <w:rPr>
                <w:sz w:val="20"/>
                <w:szCs w:val="20"/>
              </w:rPr>
              <w:t>4</w:t>
            </w:r>
          </w:p>
        </w:tc>
        <w:tc>
          <w:tcPr>
            <w:tcW w:w="7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357"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72"/>
              <w:jc w:val="right"/>
              <w:rPr>
                <w:sz w:val="20"/>
                <w:szCs w:val="20"/>
              </w:rPr>
            </w:pPr>
            <w:r>
              <w:rPr>
                <w:sz w:val="20"/>
                <w:szCs w:val="20"/>
              </w:rPr>
              <w:t>133,98</w:t>
            </w:r>
            <w:r>
              <w:rPr>
                <w:sz w:val="20"/>
                <w:szCs w:val="20"/>
              </w:rPr>
              <w:t>8</w:t>
            </w:r>
          </w:p>
        </w:tc>
        <w:tc>
          <w:tcPr>
            <w:tcW w:w="7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311"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72"/>
              <w:jc w:val="right"/>
              <w:rPr>
                <w:sz w:val="20"/>
                <w:szCs w:val="20"/>
              </w:rPr>
            </w:pPr>
            <w:r>
              <w:rPr>
                <w:sz w:val="20"/>
                <w:szCs w:val="20"/>
              </w:rPr>
              <w:t>57,19</w:t>
            </w:r>
            <w:r>
              <w:rPr>
                <w:sz w:val="20"/>
                <w:szCs w:val="20"/>
              </w:rPr>
              <w:t>6</w:t>
            </w:r>
          </w:p>
        </w:tc>
        <w:tc>
          <w:tcPr>
            <w:tcW w:w="7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20"/>
                <w:szCs w:val="20"/>
              </w:rPr>
            </w:pPr>
            <w:r>
              <w:rPr>
                <w:sz w:val="20"/>
                <w:szCs w:val="20"/>
              </w:rPr>
              <w:t>​</w:t>
            </w:r>
          </w:p>
        </w:tc>
        <w:tc>
          <w:tcPr>
            <w:tcW w:w="149"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72"/>
              <w:jc w:val="right"/>
              <w:rPr>
                <w:sz w:val="20"/>
                <w:szCs w:val="20"/>
              </w:rPr>
            </w:pPr>
            <w:r>
              <w:rPr>
                <w:sz w:val="20"/>
                <w:szCs w:val="20"/>
              </w:rPr>
              <w:t>4</w:t>
            </w:r>
            <w:r>
              <w:rPr>
                <w:sz w:val="20"/>
                <w:szCs w:val="20"/>
              </w:rPr>
              <w:t>3</w:t>
            </w:r>
          </w:p>
        </w:tc>
        <w:tc>
          <w:tcPr>
            <w:tcW w:w="77"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2"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b/>
                <w:bCs/>
                <w:sz w:val="20"/>
                <w:szCs w:val="20"/>
              </w:rPr>
              <w:t>​</w:t>
            </w:r>
          </w:p>
        </w:tc>
      </w:tr>
    </w:tbl>
    <w:p w:rsidR="00000000" w:rsidRDefault="00FF2C06">
      <w:pPr>
        <w:pStyle w:val="a3"/>
        <w:spacing w:before="0" w:beforeAutospacing="0" w:after="0" w:afterAutospacing="0"/>
        <w:divId w:val="1538161674"/>
        <w:rPr>
          <w:sz w:val="20"/>
          <w:szCs w:val="20"/>
        </w:rPr>
      </w:pPr>
      <w:r>
        <w:rPr>
          <w:sz w:val="20"/>
          <w:szCs w:val="20"/>
        </w:rPr>
        <w:t>​</w:t>
      </w:r>
    </w:p>
    <w:p w:rsidR="00000000" w:rsidRDefault="00FF2C06">
      <w:pPr>
        <w:pStyle w:val="a3"/>
        <w:spacing w:before="0" w:beforeAutospacing="0" w:after="200" w:afterAutospacing="0"/>
        <w:ind w:firstLine="547"/>
        <w:divId w:val="1538161674"/>
        <w:rPr>
          <w:sz w:val="20"/>
          <w:szCs w:val="20"/>
        </w:rPr>
      </w:pPr>
      <w:r>
        <w:rPr>
          <w:sz w:val="20"/>
          <w:szCs w:val="20"/>
        </w:rPr>
        <w:t xml:space="preserve">Net loss for the three and nine months ended September 30, 2020 increased by $9.1 million or 18% and $57.2 million or 43% compared to the same periods in 2019. The increase in our net loss was due to the continued expansion of our research and development </w:t>
      </w:r>
      <w:r>
        <w:rPr>
          <w:sz w:val="20"/>
          <w:szCs w:val="20"/>
        </w:rPr>
        <w:t>activities, increased clinical trials and manufacturing activities, and the overall growth of our corporate infrastructure. We anticipate that we will continue to incur net losses in the future as we further invest in our research and development activitie</w:t>
      </w:r>
      <w:r>
        <w:rPr>
          <w:sz w:val="20"/>
          <w:szCs w:val="20"/>
        </w:rPr>
        <w:t>s and commercial preparation activities.</w:t>
      </w:r>
    </w:p>
    <w:p w:rsidR="00000000" w:rsidRDefault="00FF2C06">
      <w:pPr>
        <w:pStyle w:val="a3"/>
        <w:spacing w:before="0" w:beforeAutospacing="0" w:after="200" w:afterAutospacing="0"/>
        <w:divId w:val="1538161674"/>
        <w:rPr>
          <w:b/>
          <w:bCs/>
          <w:i/>
          <w:iCs/>
          <w:sz w:val="20"/>
          <w:szCs w:val="20"/>
        </w:rPr>
      </w:pPr>
      <w:r>
        <w:rPr>
          <w:b/>
          <w:bCs/>
          <w:i/>
          <w:iCs/>
          <w:sz w:val="20"/>
          <w:szCs w:val="20"/>
        </w:rPr>
        <w:t>Liquidity and Capital Resources</w:t>
      </w:r>
    </w:p>
    <w:p w:rsidR="00000000" w:rsidRDefault="00FF2C06">
      <w:pPr>
        <w:pStyle w:val="a3"/>
        <w:spacing w:before="0" w:beforeAutospacing="0" w:after="200" w:afterAutospacing="0"/>
        <w:ind w:firstLine="547"/>
        <w:divId w:val="1538161674"/>
        <w:rPr>
          <w:sz w:val="20"/>
          <w:szCs w:val="20"/>
        </w:rPr>
      </w:pPr>
      <w:r>
        <w:rPr>
          <w:sz w:val="20"/>
          <w:szCs w:val="20"/>
        </w:rPr>
        <w:t>We have incurred losses and generated negative cash flows from operations since inception. We expect to continue to incur significant losses in 2020 and may incur significant losses a</w:t>
      </w:r>
      <w:r>
        <w:rPr>
          <w:sz w:val="20"/>
          <w:szCs w:val="20"/>
        </w:rPr>
        <w:t>nd negative cash flows from operations for the foreseeable future. Historically, we have funded our operations from various public and private offerings of our equity securities (both common stock and preferred stock), from option and warrant exercises, an</w:t>
      </w:r>
      <w:r>
        <w:rPr>
          <w:sz w:val="20"/>
          <w:szCs w:val="20"/>
        </w:rPr>
        <w:t>d from interest income. Since 2017, our primary source of funds has been from the public sale of our common stock.</w:t>
      </w:r>
    </w:p>
    <w:p w:rsidR="00000000" w:rsidRDefault="00FF2C06">
      <w:pPr>
        <w:pStyle w:val="a3"/>
        <w:spacing w:before="0" w:beforeAutospacing="0" w:after="200" w:afterAutospacing="0"/>
        <w:ind w:firstLine="547"/>
        <w:divId w:val="1538161674"/>
        <w:rPr>
          <w:sz w:val="20"/>
          <w:szCs w:val="20"/>
        </w:rPr>
      </w:pPr>
      <w:r>
        <w:rPr>
          <w:sz w:val="20"/>
          <w:szCs w:val="20"/>
        </w:rPr>
        <w:t>On December 28, 2017, we filed a shelf registration statement, or the 2017 Shelf Registration Statement, with the SEC, for the issuance of co</w:t>
      </w:r>
      <w:r>
        <w:rPr>
          <w:sz w:val="20"/>
          <w:szCs w:val="20"/>
        </w:rPr>
        <w:t>mmon stock, preferred stock, warrants, rights, debt securities and units, which we refer to collectively as Shelf Securities, up to an aggregate amount of $250 million. The 2017 Shelf Registration Statement was declared effective on January 19, 2018. On Ja</w:t>
      </w:r>
      <w:r>
        <w:rPr>
          <w:sz w:val="20"/>
          <w:szCs w:val="20"/>
        </w:rPr>
        <w:t>nuary 29, 2018, we sold 15,000,000 shares of our common stock at a public offering price of $11.50 per share pursuant to the 2017 Shelf Registration Statement. We received gross proceeds of approximately $172.5 million and net proceeds of approximately $16</w:t>
      </w:r>
      <w:r>
        <w:rPr>
          <w:sz w:val="20"/>
          <w:szCs w:val="20"/>
        </w:rPr>
        <w:t>2.0 million, after deducting underwriting discounts and offering expenses. The 2017 Shelf Registration Statement was terminated upon effectiveness of the 2018 Shelf Registration Statement (as discussed below).</w:t>
      </w:r>
    </w:p>
    <w:p w:rsidR="00000000" w:rsidRDefault="00FF2C06">
      <w:pPr>
        <w:pStyle w:val="a3"/>
        <w:spacing w:before="0" w:beforeAutospacing="0" w:after="200" w:afterAutospacing="0"/>
        <w:ind w:firstLine="547"/>
        <w:divId w:val="1538161674"/>
        <w:rPr>
          <w:sz w:val="20"/>
          <w:szCs w:val="20"/>
        </w:rPr>
      </w:pPr>
      <w:r>
        <w:rPr>
          <w:sz w:val="20"/>
          <w:szCs w:val="20"/>
        </w:rPr>
        <w:t>On September 7, 2018, we filed a shelf registr</w:t>
      </w:r>
      <w:r>
        <w:rPr>
          <w:sz w:val="20"/>
          <w:szCs w:val="20"/>
        </w:rPr>
        <w:t xml:space="preserve">ation statement with the SEC for the issuance of up to an aggregate amount of $250 million of Shelf Securities, which we refer to as the 2018 Shelf Registration Statement. The 2018 Shelf Registration Statement was declared effective on October 3, 2018 and </w:t>
      </w:r>
      <w:r>
        <w:rPr>
          <w:sz w:val="20"/>
          <w:szCs w:val="20"/>
        </w:rPr>
        <w:t>the aggregate amount of securities we could issue thereunder was subsequently increased by $50 million through a post-effective amendment that we filed on October 11, 2018, pursuant to Rule 462(b) under the Securities Act of 1933, as amended. On October 17</w:t>
      </w:r>
      <w:r>
        <w:rPr>
          <w:sz w:val="20"/>
          <w:szCs w:val="20"/>
        </w:rPr>
        <w:t>, 2018, we sold 25,300,000 shares of our common stock at a public offering price of $9.97 per share pursuant to the 2018 Shelf Registration Statement. We received gross proceeds of approximately $252.2 million and net proceeds of $236.7 million, after dedu</w:t>
      </w:r>
      <w:r>
        <w:rPr>
          <w:sz w:val="20"/>
          <w:szCs w:val="20"/>
        </w:rPr>
        <w:t>cting underwriting discounts and offering expenses. The 2018 Shelf Registration Statement is no longer available for future offerings.</w:t>
      </w:r>
    </w:p>
    <w:p w:rsidR="00000000" w:rsidRDefault="00FF2C06">
      <w:pPr>
        <w:pStyle w:val="a3"/>
        <w:spacing w:before="0" w:beforeAutospacing="0" w:after="200" w:afterAutospacing="0"/>
        <w:ind w:firstLine="547"/>
        <w:divId w:val="1538161674"/>
        <w:rPr>
          <w:sz w:val="20"/>
          <w:szCs w:val="20"/>
        </w:rPr>
      </w:pPr>
      <w:r>
        <w:rPr>
          <w:sz w:val="20"/>
          <w:szCs w:val="20"/>
        </w:rPr>
        <w:t>On September 17, 2019, we filed a shelf registration statement with the SEC for the issuance of up to an aggregate amount</w:t>
      </w:r>
      <w:r>
        <w:rPr>
          <w:sz w:val="20"/>
          <w:szCs w:val="20"/>
        </w:rPr>
        <w:t xml:space="preserve"> of $400 million of Shelf Securities, which we refer to as the 2019 Shelf Registration Statement. The 2019 Shelf Registration Statement was declared effective on September 24, 2019. The 2019 Shelf Registration Statement was terminated upon effectiveness of</w:t>
      </w:r>
      <w:r>
        <w:rPr>
          <w:sz w:val="20"/>
          <w:szCs w:val="20"/>
        </w:rPr>
        <w:t xml:space="preserve"> the 2020 Automatic Shelf Registration Statement (as discussed below). No shares were sold under the 2019 Shelf Registration Statement prior to its termination.</w:t>
      </w:r>
    </w:p>
    <w:p w:rsidR="00000000" w:rsidRDefault="00FF2C06">
      <w:pPr>
        <w:pStyle w:val="a3"/>
        <w:spacing w:before="0" w:beforeAutospacing="0" w:after="200" w:afterAutospacing="0"/>
        <w:ind w:firstLine="547"/>
        <w:divId w:val="1538161674"/>
        <w:rPr>
          <w:sz w:val="20"/>
          <w:szCs w:val="20"/>
        </w:rPr>
      </w:pPr>
      <w:r>
        <w:rPr>
          <w:sz w:val="20"/>
          <w:szCs w:val="20"/>
        </w:rPr>
        <w:t>On May 27, 2020, we filed an automatic shelf registration statement with the SEC for the issuan</w:t>
      </w:r>
      <w:r>
        <w:rPr>
          <w:sz w:val="20"/>
          <w:szCs w:val="20"/>
        </w:rPr>
        <w:t>ce of an indeterminate amount of Shelf Securities, which we refer to as the 2020 Automatic Shelf Registration Statement. The 2020 Automatic Shelf Registration Statement was immediately effective upon filing with the SEC, and the 2019 Shelf Registration Sta</w:t>
      </w:r>
      <w:r>
        <w:rPr>
          <w:sz w:val="20"/>
          <w:szCs w:val="20"/>
        </w:rPr>
        <w:t>tement was simultaneously terminated.</w:t>
      </w:r>
    </w:p>
    <w:p w:rsidR="00000000" w:rsidRDefault="00FF2C06">
      <w:pPr>
        <w:pStyle w:val="a3"/>
        <w:spacing w:before="0" w:beforeAutospacing="0" w:after="200" w:afterAutospacing="0"/>
        <w:ind w:firstLine="547"/>
        <w:divId w:val="1538161674"/>
        <w:rPr>
          <w:sz w:val="20"/>
          <w:szCs w:val="20"/>
        </w:rPr>
      </w:pPr>
      <w:r>
        <w:rPr>
          <w:sz w:val="20"/>
          <w:szCs w:val="20"/>
        </w:rPr>
        <w:t>On June 2, 2020, we sold 19,475,806 shares of our common stock at a public offering price of $31.0 per share pursuant to the 2020 Automatic Shelf Registration Statement. We received gross proceeds of $603.7 million and</w:t>
      </w:r>
      <w:r>
        <w:rPr>
          <w:sz w:val="20"/>
          <w:szCs w:val="20"/>
        </w:rPr>
        <w:t xml:space="preserve"> net proceeds of $567.0 million, after deducting underwriting discounts and offering expenses. Following the public offering, the 2020 Automatic Shelf Registration Statement remains available for the future issuance of an indeterminate amount of Shelf Secu</w:t>
      </w:r>
      <w:r>
        <w:rPr>
          <w:sz w:val="20"/>
          <w:szCs w:val="20"/>
        </w:rPr>
        <w:t>rities.</w:t>
      </w:r>
    </w:p>
    <w:p w:rsidR="00000000" w:rsidRDefault="00FF2C06">
      <w:pPr>
        <w:pStyle w:val="a3"/>
        <w:spacing w:before="0" w:beforeAutospacing="0" w:after="0" w:afterAutospacing="0"/>
        <w:ind w:firstLine="547"/>
        <w:divId w:val="1538161674"/>
        <w:rPr>
          <w:sz w:val="20"/>
          <w:szCs w:val="20"/>
        </w:rPr>
      </w:pPr>
      <w:r>
        <w:rPr>
          <w:sz w:val="20"/>
          <w:szCs w:val="20"/>
        </w:rPr>
        <w:t>In the future, we may periodically offer one or more of the Shelf Securities in amounts, prices and terms to be announced when and if the securities are offered. If any of the Shelf Securities covered by the 2020 Automatic Shelf Registration Statem</w:t>
      </w:r>
      <w:r>
        <w:rPr>
          <w:sz w:val="20"/>
          <w:szCs w:val="20"/>
        </w:rPr>
        <w:t xml:space="preserve">ent are offered </w:t>
      </w:r>
    </w:p>
    <w:p w:rsidR="00000000" w:rsidRDefault="00FF2C06">
      <w:pPr>
        <w:pStyle w:val="a3"/>
        <w:spacing w:before="480" w:beforeAutospacing="0" w:after="0" w:afterAutospacing="0"/>
        <w:jc w:val="center"/>
        <w:divId w:val="1139032432"/>
        <w:rPr>
          <w:sz w:val="20"/>
          <w:szCs w:val="20"/>
        </w:rPr>
      </w:pPr>
      <w:r>
        <w:rPr>
          <w:sz w:val="20"/>
          <w:szCs w:val="20"/>
        </w:rPr>
        <w:t>33</w:t>
      </w:r>
    </w:p>
    <w:p w:rsidR="00000000" w:rsidRDefault="00FF2C06">
      <w:pPr>
        <w:pStyle w:val="a3"/>
        <w:spacing w:before="0" w:beforeAutospacing="0" w:after="600" w:afterAutospacing="0"/>
        <w:divId w:val="1229998070"/>
        <w:rPr>
          <w:sz w:val="20"/>
          <w:szCs w:val="20"/>
        </w:rPr>
      </w:pPr>
      <w:hyperlink w:anchor="TOC" w:history="1">
        <w:r>
          <w:rPr>
            <w:rStyle w:val="a4"/>
            <w:sz w:val="20"/>
            <w:szCs w:val="20"/>
          </w:rPr>
          <w:t>Table of Contents</w:t>
        </w:r>
      </w:hyperlink>
    </w:p>
    <w:p w:rsidR="00000000" w:rsidRDefault="00FF2C06">
      <w:pPr>
        <w:pStyle w:val="a3"/>
        <w:spacing w:before="0" w:beforeAutospacing="0" w:after="200" w:afterAutospacing="0"/>
        <w:divId w:val="1745760086"/>
        <w:rPr>
          <w:sz w:val="20"/>
          <w:szCs w:val="20"/>
        </w:rPr>
      </w:pPr>
      <w:r>
        <w:rPr>
          <w:sz w:val="20"/>
          <w:szCs w:val="20"/>
        </w:rPr>
        <w:t>for sale, a prospectus supplement will be prepared and filed with the SEC containing specific information about the terms of such offering at that time.</w:t>
      </w:r>
    </w:p>
    <w:p w:rsidR="00000000" w:rsidRDefault="00FF2C06">
      <w:pPr>
        <w:pStyle w:val="a3"/>
        <w:spacing w:before="0" w:beforeAutospacing="0" w:after="200" w:afterAutospacing="0"/>
        <w:ind w:firstLine="547"/>
        <w:divId w:val="1745760086"/>
        <w:rPr>
          <w:sz w:val="20"/>
          <w:szCs w:val="20"/>
        </w:rPr>
      </w:pPr>
      <w:r>
        <w:rPr>
          <w:sz w:val="20"/>
          <w:szCs w:val="20"/>
        </w:rPr>
        <w:t>We are currently engaged in the develop</w:t>
      </w:r>
      <w:r>
        <w:rPr>
          <w:sz w:val="20"/>
          <w:szCs w:val="20"/>
        </w:rPr>
        <w:t>ment of therapeutics to fight cancer. We do not have any commercial products and have not yet generated any revenues from our biopharmaceutical business. We currently do not anticipate that we will generate any significant revenues from the sale or licensi</w:t>
      </w:r>
      <w:r>
        <w:rPr>
          <w:sz w:val="20"/>
          <w:szCs w:val="20"/>
        </w:rPr>
        <w:t>ng of any products during the 12 months from the date these financial statements are issued. We have incurred a net loss of $191.2 million for the nine months ended September 30, 2020 and used $142.4 million of cash in our operating activities for the nine</w:t>
      </w:r>
      <w:r>
        <w:rPr>
          <w:sz w:val="20"/>
          <w:szCs w:val="20"/>
        </w:rPr>
        <w:t xml:space="preserve"> months ended September 30, 2020. As of September 30, 2020, we had $68.3 million of cash and cash equivalents, $645.8 million of short-term investments, $5.5 million of restricted cash, $711.8 million of stockholders’ equity and had working capital of $659</w:t>
      </w:r>
      <w:r>
        <w:rPr>
          <w:sz w:val="20"/>
          <w:szCs w:val="20"/>
        </w:rPr>
        <w:t>.2 million.</w:t>
      </w:r>
    </w:p>
    <w:p w:rsidR="00000000" w:rsidRDefault="00FF2C06">
      <w:pPr>
        <w:pStyle w:val="a3"/>
        <w:spacing w:before="0" w:beforeAutospacing="0" w:after="200" w:afterAutospacing="0"/>
        <w:ind w:firstLine="547"/>
        <w:divId w:val="1745760086"/>
        <w:rPr>
          <w:sz w:val="20"/>
          <w:szCs w:val="20"/>
        </w:rPr>
      </w:pPr>
      <w:r>
        <w:rPr>
          <w:sz w:val="20"/>
          <w:szCs w:val="20"/>
        </w:rPr>
        <w:t>We expect to continue our research and development activities, initiate pre-commercial activities and to begin construction on our tenant improvements to our new production facility, which will increase the amount of cash we will use during 202</w:t>
      </w:r>
      <w:r>
        <w:rPr>
          <w:sz w:val="20"/>
          <w:szCs w:val="20"/>
        </w:rPr>
        <w:t>0 and beyond. Specifically, we expect continued spending on clinical trials, research and development activities, higher payroll expenses as we increase our professional, commercial and scientific staff and continue our expansion of manufacturing activitie</w:t>
      </w:r>
      <w:r>
        <w:rPr>
          <w:sz w:val="20"/>
          <w:szCs w:val="20"/>
        </w:rPr>
        <w:t>s including building our own facility. Based on the funds we have available as of the date of filing of this Quarterly Report on Form 10-Q, and after consideration of the possible impacts of the COVID-19 Pandemic, we believe that we have sufficient capital</w:t>
      </w:r>
      <w:r>
        <w:rPr>
          <w:sz w:val="20"/>
          <w:szCs w:val="20"/>
        </w:rPr>
        <w:t xml:space="preserve"> to fund our anticipated operating expenses and capital expenditure for at least the next 12 months from the date of filing this report.</w:t>
      </w:r>
    </w:p>
    <w:p w:rsidR="00000000" w:rsidRDefault="00FF2C06">
      <w:pPr>
        <w:pStyle w:val="a3"/>
        <w:spacing w:before="0" w:beforeAutospacing="0" w:after="0" w:afterAutospacing="0"/>
        <w:ind w:firstLine="540"/>
        <w:divId w:val="1745760086"/>
        <w:rPr>
          <w:sz w:val="20"/>
          <w:szCs w:val="20"/>
        </w:rPr>
      </w:pPr>
      <w:r>
        <w:rPr>
          <w:sz w:val="20"/>
          <w:szCs w:val="20"/>
        </w:rPr>
        <w:t>The following table summarizes our cash flows for the periods presented from Operating, Investing and Financing Activit</w:t>
      </w:r>
      <w:r>
        <w:rPr>
          <w:sz w:val="20"/>
          <w:szCs w:val="20"/>
        </w:rPr>
        <w:t>ies (in thousands):</w:t>
      </w:r>
    </w:p>
    <w:p w:rsidR="00000000" w:rsidRDefault="00FF2C06">
      <w:pPr>
        <w:pStyle w:val="a3"/>
        <w:spacing w:before="0" w:beforeAutospacing="0" w:after="0" w:afterAutospacing="0"/>
        <w:ind w:firstLine="540"/>
        <w:divId w:val="174576008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713"/>
        <w:gridCol w:w="160"/>
        <w:gridCol w:w="152"/>
        <w:gridCol w:w="943"/>
        <w:gridCol w:w="236"/>
        <w:gridCol w:w="151"/>
        <w:gridCol w:w="945"/>
        <w:gridCol w:w="6"/>
      </w:tblGrid>
      <w:tr w:rsidR="00000000">
        <w:trPr>
          <w:divId w:val="1745760086"/>
          <w:trHeight w:val="20"/>
        </w:trPr>
        <w:tc>
          <w:tcPr>
            <w:tcW w:w="3640" w:type="pct"/>
            <w:tcMar>
              <w:top w:w="0" w:type="dxa"/>
              <w:left w:w="0" w:type="dxa"/>
              <w:bottom w:w="0" w:type="dxa"/>
              <w:right w:w="0" w:type="dxa"/>
            </w:tcMar>
            <w:vAlign w:val="bottom"/>
            <w:hideMark/>
          </w:tcPr>
          <w:p w:rsidR="00000000" w:rsidRDefault="00FF2C06">
            <w:pPr>
              <w:pStyle w:val="a3"/>
              <w:spacing w:before="0" w:beforeAutospacing="0" w:after="0" w:afterAutospacing="0"/>
              <w:divId w:val="860751847"/>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632787456"/>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311443091"/>
              <w:rPr>
                <w:sz w:val="20"/>
                <w:szCs w:val="20"/>
              </w:rPr>
            </w:pPr>
            <w:r>
              <w:rPr>
                <w:sz w:val="2"/>
                <w:szCs w:val="2"/>
              </w:rPr>
              <w:t>​</w:t>
            </w:r>
          </w:p>
        </w:tc>
        <w:tc>
          <w:tcPr>
            <w:tcW w:w="455"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937981472"/>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344283497"/>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405302327"/>
              <w:rPr>
                <w:sz w:val="20"/>
                <w:szCs w:val="20"/>
              </w:rPr>
            </w:pPr>
            <w:r>
              <w:rPr>
                <w:sz w:val="2"/>
                <w:szCs w:val="2"/>
              </w:rPr>
              <w:t>​</w:t>
            </w:r>
          </w:p>
        </w:tc>
        <w:tc>
          <w:tcPr>
            <w:tcW w:w="455"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1212035994"/>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FF2C06">
            <w:pPr>
              <w:pStyle w:val="a3"/>
              <w:spacing w:before="0" w:beforeAutospacing="0" w:after="0" w:afterAutospacing="0"/>
              <w:divId w:val="567113748"/>
              <w:rPr>
                <w:sz w:val="20"/>
                <w:szCs w:val="20"/>
              </w:rPr>
            </w:pPr>
            <w:r>
              <w:rPr>
                <w:sz w:val="2"/>
                <w:szCs w:val="2"/>
              </w:rPr>
              <w:t>​</w:t>
            </w:r>
          </w:p>
        </w:tc>
      </w:tr>
      <w:tr w:rsidR="00000000">
        <w:trPr>
          <w:divId w:val="1745760086"/>
        </w:trPr>
        <w:tc>
          <w:tcPr>
            <w:tcW w:w="3640" w:type="pct"/>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114"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    </w:t>
            </w:r>
          </w:p>
        </w:tc>
        <w:tc>
          <w:tcPr>
            <w:tcW w:w="1171" w:type="pct"/>
            <w:gridSpan w:val="5"/>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Nine Months Ended September 30, </w:t>
            </w:r>
          </w:p>
        </w:tc>
        <w:tc>
          <w:tcPr>
            <w:tcW w:w="73"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b/>
                <w:bCs/>
                <w:sz w:val="16"/>
                <w:szCs w:val="16"/>
              </w:rPr>
              <w:t>​</w:t>
            </w:r>
          </w:p>
        </w:tc>
      </w:tr>
      <w:tr w:rsidR="00000000">
        <w:trPr>
          <w:divId w:val="1745760086"/>
        </w:trPr>
        <w:tc>
          <w:tcPr>
            <w:tcW w:w="3640" w:type="pct"/>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16"/>
                <w:szCs w:val="16"/>
              </w:rPr>
              <w:t>​</w:t>
            </w:r>
          </w:p>
        </w:tc>
        <w:tc>
          <w:tcPr>
            <w:tcW w:w="114"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    </w:t>
            </w:r>
          </w:p>
        </w:tc>
        <w:tc>
          <w:tcPr>
            <w:tcW w:w="528" w:type="pct"/>
            <w:gridSpan w:val="2"/>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2020</w:t>
            </w:r>
          </w:p>
        </w:tc>
        <w:tc>
          <w:tcPr>
            <w:tcW w:w="114"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    </w:t>
            </w:r>
          </w:p>
        </w:tc>
        <w:tc>
          <w:tcPr>
            <w:tcW w:w="528" w:type="pct"/>
            <w:gridSpan w:val="2"/>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16"/>
                <w:szCs w:val="16"/>
              </w:rPr>
            </w:pPr>
            <w:r>
              <w:rPr>
                <w:b/>
                <w:bCs/>
                <w:sz w:val="16"/>
                <w:szCs w:val="16"/>
              </w:rPr>
              <w:t>2019</w:t>
            </w:r>
          </w:p>
        </w:tc>
        <w:tc>
          <w:tcPr>
            <w:tcW w:w="73" w:type="pct"/>
            <w:noWrap/>
            <w:tcMar>
              <w:top w:w="0" w:type="dxa"/>
              <w:left w:w="0" w:type="dxa"/>
              <w:bottom w:w="0" w:type="dxa"/>
              <w:right w:w="0" w:type="dxa"/>
            </w:tcMar>
            <w:vAlign w:val="bottom"/>
            <w:hideMark/>
          </w:tcPr>
          <w:p w:rsidR="00000000" w:rsidRDefault="00FF2C06">
            <w:pPr>
              <w:pStyle w:val="a3"/>
              <w:spacing w:before="0" w:beforeAutospacing="0" w:after="0" w:afterAutospacing="0"/>
              <w:jc w:val="center"/>
              <w:rPr>
                <w:sz w:val="20"/>
                <w:szCs w:val="20"/>
              </w:rPr>
            </w:pPr>
            <w:r>
              <w:rPr>
                <w:b/>
                <w:bCs/>
                <w:sz w:val="16"/>
                <w:szCs w:val="16"/>
              </w:rPr>
              <w:t>​</w:t>
            </w:r>
          </w:p>
        </w:tc>
      </w:tr>
      <w:tr w:rsidR="00000000">
        <w:trPr>
          <w:divId w:val="1745760086"/>
        </w:trPr>
        <w:tc>
          <w:tcPr>
            <w:tcW w:w="3640" w:type="pct"/>
            <w:shd w:val="clear" w:color="auto" w:fill="CCEEFF"/>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Net cash (used in) provided by:</w:t>
            </w:r>
          </w:p>
        </w:tc>
        <w:tc>
          <w:tcPr>
            <w:tcW w:w="11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 </w:t>
            </w:r>
          </w:p>
        </w:tc>
        <w:tc>
          <w:tcPr>
            <w:tcW w:w="7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45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60"/>
              <w:jc w:val="right"/>
              <w:rPr>
                <w:sz w:val="20"/>
                <w:szCs w:val="20"/>
              </w:rPr>
            </w:pPr>
            <w:r>
              <w:rPr>
                <w:sz w:val="20"/>
                <w:szCs w:val="20"/>
              </w:rPr>
              <w:t>  </w:t>
            </w:r>
          </w:p>
        </w:tc>
        <w:tc>
          <w:tcPr>
            <w:tcW w:w="11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 </w:t>
            </w:r>
          </w:p>
        </w:tc>
        <w:tc>
          <w:tcPr>
            <w:tcW w:w="7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45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60"/>
              <w:jc w:val="right"/>
              <w:rPr>
                <w:sz w:val="20"/>
                <w:szCs w:val="20"/>
              </w:rPr>
            </w:pPr>
            <w:r>
              <w:rPr>
                <w:sz w:val="20"/>
                <w:szCs w:val="20"/>
              </w:rPr>
              <w:t>  </w:t>
            </w:r>
          </w:p>
        </w:tc>
        <w:tc>
          <w:tcPr>
            <w:tcW w:w="7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r>
      <w:tr w:rsidR="00000000">
        <w:trPr>
          <w:divId w:val="1745760086"/>
        </w:trPr>
        <w:tc>
          <w:tcPr>
            <w:tcW w:w="3640" w:type="pct"/>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Operating activities</w:t>
            </w:r>
          </w:p>
        </w:tc>
        <w:tc>
          <w:tcPr>
            <w:tcW w:w="114"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455" w:type="pct"/>
            <w:noWrap/>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20"/>
                <w:szCs w:val="20"/>
              </w:rPr>
            </w:pPr>
            <w:r>
              <w:rPr>
                <w:sz w:val="20"/>
                <w:szCs w:val="20"/>
              </w:rPr>
              <w:t>(142,442</w:t>
            </w:r>
            <w:r>
              <w:rPr>
                <w:sz w:val="20"/>
                <w:szCs w:val="20"/>
              </w:rPr>
              <w:t>)</w:t>
            </w:r>
          </w:p>
        </w:tc>
        <w:tc>
          <w:tcPr>
            <w:tcW w:w="114"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455" w:type="pct"/>
            <w:noWrap/>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20"/>
                <w:szCs w:val="20"/>
              </w:rPr>
            </w:pPr>
            <w:r>
              <w:rPr>
                <w:sz w:val="20"/>
                <w:szCs w:val="20"/>
              </w:rPr>
              <w:t>(105,067</w:t>
            </w:r>
            <w:r>
              <w:rPr>
                <w:sz w:val="20"/>
                <w:szCs w:val="20"/>
              </w:rPr>
              <w:t>)</w:t>
            </w:r>
          </w:p>
        </w:tc>
        <w:tc>
          <w:tcPr>
            <w:tcW w:w="7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r>
      <w:tr w:rsidR="00000000">
        <w:trPr>
          <w:divId w:val="1745760086"/>
        </w:trPr>
        <w:tc>
          <w:tcPr>
            <w:tcW w:w="3640" w:type="pct"/>
            <w:shd w:val="clear" w:color="auto" w:fill="CCEEFF"/>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Investing activities</w:t>
            </w:r>
          </w:p>
        </w:tc>
        <w:tc>
          <w:tcPr>
            <w:tcW w:w="11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 </w:t>
            </w:r>
          </w:p>
        </w:tc>
        <w:tc>
          <w:tcPr>
            <w:tcW w:w="45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20"/>
                <w:szCs w:val="20"/>
              </w:rPr>
            </w:pPr>
            <w:r>
              <w:rPr>
                <w:sz w:val="20"/>
                <w:szCs w:val="20"/>
              </w:rPr>
              <w:t>(376,606</w:t>
            </w:r>
            <w:r>
              <w:rPr>
                <w:sz w:val="20"/>
                <w:szCs w:val="20"/>
              </w:rPr>
              <w:t>)</w:t>
            </w:r>
          </w:p>
        </w:tc>
        <w:tc>
          <w:tcPr>
            <w:tcW w:w="11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 </w:t>
            </w:r>
          </w:p>
        </w:tc>
        <w:tc>
          <w:tcPr>
            <w:tcW w:w="455"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60"/>
              <w:jc w:val="right"/>
              <w:rPr>
                <w:sz w:val="20"/>
                <w:szCs w:val="20"/>
              </w:rPr>
            </w:pPr>
            <w:r>
              <w:rPr>
                <w:sz w:val="20"/>
                <w:szCs w:val="20"/>
              </w:rPr>
              <w:t>63,21</w:t>
            </w:r>
            <w:r>
              <w:rPr>
                <w:sz w:val="20"/>
                <w:szCs w:val="20"/>
              </w:rPr>
              <w:t>1</w:t>
            </w:r>
          </w:p>
        </w:tc>
        <w:tc>
          <w:tcPr>
            <w:tcW w:w="7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r>
      <w:tr w:rsidR="00000000">
        <w:trPr>
          <w:divId w:val="1745760086"/>
        </w:trPr>
        <w:tc>
          <w:tcPr>
            <w:tcW w:w="3640" w:type="pct"/>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Financing activities</w:t>
            </w:r>
          </w:p>
        </w:tc>
        <w:tc>
          <w:tcPr>
            <w:tcW w:w="114"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 </w:t>
            </w:r>
          </w:p>
        </w:tc>
        <w:tc>
          <w:tcPr>
            <w:tcW w:w="455"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ind w:right="60"/>
              <w:jc w:val="right"/>
              <w:rPr>
                <w:sz w:val="20"/>
                <w:szCs w:val="20"/>
              </w:rPr>
            </w:pPr>
            <w:r>
              <w:rPr>
                <w:sz w:val="20"/>
                <w:szCs w:val="20"/>
              </w:rPr>
              <w:t>573,46</w:t>
            </w:r>
            <w:r>
              <w:rPr>
                <w:sz w:val="20"/>
                <w:szCs w:val="20"/>
              </w:rPr>
              <w:t>4</w:t>
            </w:r>
          </w:p>
        </w:tc>
        <w:tc>
          <w:tcPr>
            <w:tcW w:w="114"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 </w:t>
            </w:r>
          </w:p>
        </w:tc>
        <w:tc>
          <w:tcPr>
            <w:tcW w:w="455" w:type="pct"/>
            <w:tcBorders>
              <w:bottom w:val="single" w:sz="6" w:space="0" w:color="000000"/>
            </w:tcBorders>
            <w:noWrap/>
            <w:tcMar>
              <w:top w:w="0" w:type="dxa"/>
              <w:left w:w="0" w:type="dxa"/>
              <w:bottom w:w="0" w:type="dxa"/>
              <w:right w:w="0" w:type="dxa"/>
            </w:tcMar>
            <w:vAlign w:val="bottom"/>
            <w:hideMark/>
          </w:tcPr>
          <w:p w:rsidR="00000000" w:rsidRDefault="00FF2C06">
            <w:pPr>
              <w:pStyle w:val="a3"/>
              <w:spacing w:before="0" w:beforeAutospacing="0" w:after="0" w:afterAutospacing="0"/>
              <w:ind w:right="60"/>
              <w:jc w:val="right"/>
              <w:rPr>
                <w:sz w:val="20"/>
                <w:szCs w:val="20"/>
              </w:rPr>
            </w:pPr>
            <w:r>
              <w:rPr>
                <w:sz w:val="20"/>
                <w:szCs w:val="20"/>
              </w:rPr>
              <w:t>4,04</w:t>
            </w:r>
            <w:r>
              <w:rPr>
                <w:sz w:val="20"/>
                <w:szCs w:val="20"/>
              </w:rPr>
              <w:t>3</w:t>
            </w:r>
          </w:p>
        </w:tc>
        <w:tc>
          <w:tcPr>
            <w:tcW w:w="73" w:type="pct"/>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r>
      <w:tr w:rsidR="00000000">
        <w:trPr>
          <w:divId w:val="1745760086"/>
        </w:trPr>
        <w:tc>
          <w:tcPr>
            <w:tcW w:w="3640" w:type="pct"/>
            <w:shd w:val="clear" w:color="auto" w:fill="CCEEFF"/>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Net increase in cash, cash equivalents and restricted cash</w:t>
            </w:r>
          </w:p>
        </w:tc>
        <w:tc>
          <w:tcPr>
            <w:tcW w:w="11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4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ind w:right="60"/>
              <w:jc w:val="right"/>
              <w:rPr>
                <w:sz w:val="20"/>
                <w:szCs w:val="20"/>
              </w:rPr>
            </w:pPr>
            <w:r>
              <w:rPr>
                <w:sz w:val="20"/>
                <w:szCs w:val="20"/>
              </w:rPr>
              <w:t>54,41</w:t>
            </w:r>
            <w:r>
              <w:rPr>
                <w:sz w:val="20"/>
                <w:szCs w:val="20"/>
              </w:rPr>
              <w:t>6</w:t>
            </w:r>
          </w:p>
        </w:tc>
        <w:tc>
          <w:tcPr>
            <w:tcW w:w="114"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c>
          <w:tcPr>
            <w:tcW w:w="4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jc w:val="right"/>
              <w:rPr>
                <w:sz w:val="20"/>
                <w:szCs w:val="20"/>
              </w:rPr>
            </w:pPr>
            <w:r>
              <w:rPr>
                <w:sz w:val="20"/>
                <w:szCs w:val="20"/>
              </w:rPr>
              <w:t>(37,813</w:t>
            </w: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w:t>
            </w:r>
          </w:p>
        </w:tc>
      </w:tr>
    </w:tbl>
    <w:p w:rsidR="00000000" w:rsidRDefault="00FF2C06">
      <w:pPr>
        <w:pStyle w:val="a3"/>
        <w:spacing w:before="0" w:beforeAutospacing="0" w:after="0" w:afterAutospacing="0"/>
        <w:ind w:firstLine="540"/>
        <w:divId w:val="1745760086"/>
        <w:rPr>
          <w:sz w:val="20"/>
          <w:szCs w:val="20"/>
        </w:rPr>
      </w:pPr>
      <w:r>
        <w:rPr>
          <w:sz w:val="20"/>
          <w:szCs w:val="20"/>
        </w:rPr>
        <w:t>​</w:t>
      </w:r>
    </w:p>
    <w:p w:rsidR="00000000" w:rsidRDefault="00FF2C06">
      <w:pPr>
        <w:pStyle w:val="a3"/>
        <w:spacing w:before="0" w:beforeAutospacing="0" w:after="200" w:afterAutospacing="0"/>
        <w:ind w:left="547"/>
        <w:divId w:val="1745760086"/>
        <w:rPr>
          <w:i/>
          <w:iCs/>
          <w:sz w:val="20"/>
          <w:szCs w:val="20"/>
        </w:rPr>
      </w:pPr>
      <w:r>
        <w:rPr>
          <w:i/>
          <w:iCs/>
          <w:sz w:val="20"/>
          <w:szCs w:val="20"/>
        </w:rPr>
        <w:t>Operating Activities</w:t>
      </w:r>
    </w:p>
    <w:p w:rsidR="00000000" w:rsidRDefault="00FF2C06">
      <w:pPr>
        <w:pStyle w:val="a3"/>
        <w:spacing w:before="0" w:beforeAutospacing="0" w:after="200" w:afterAutospacing="0"/>
        <w:ind w:firstLine="547"/>
        <w:divId w:val="1745760086"/>
        <w:rPr>
          <w:sz w:val="20"/>
          <w:szCs w:val="20"/>
        </w:rPr>
      </w:pPr>
      <w:r>
        <w:rPr>
          <w:sz w:val="20"/>
          <w:szCs w:val="20"/>
        </w:rPr>
        <w:t>Net cash used in operating activities for the nine months ended September 30, 2020 was $142.4 million compared to $105.1 million for the same period in 2019. The increase of $37.4 million was primarily due to increased costs in research and development act</w:t>
      </w:r>
      <w:r>
        <w:rPr>
          <w:sz w:val="20"/>
          <w:szCs w:val="20"/>
        </w:rPr>
        <w:t>ivities. Included in $37.4 million was the $10.0 million upfront payment we paid for IOV-3001.</w:t>
      </w:r>
    </w:p>
    <w:p w:rsidR="00000000" w:rsidRDefault="00FF2C06">
      <w:pPr>
        <w:pStyle w:val="a3"/>
        <w:spacing w:before="0" w:beforeAutospacing="0" w:after="200" w:afterAutospacing="0"/>
        <w:ind w:left="547"/>
        <w:divId w:val="1745760086"/>
        <w:rPr>
          <w:i/>
          <w:iCs/>
          <w:sz w:val="20"/>
          <w:szCs w:val="20"/>
        </w:rPr>
      </w:pPr>
      <w:r>
        <w:rPr>
          <w:i/>
          <w:iCs/>
          <w:sz w:val="20"/>
          <w:szCs w:val="20"/>
        </w:rPr>
        <w:t>Investing Activities</w:t>
      </w:r>
    </w:p>
    <w:p w:rsidR="00000000" w:rsidRDefault="00FF2C06">
      <w:pPr>
        <w:pStyle w:val="a3"/>
        <w:spacing w:before="0" w:beforeAutospacing="0" w:after="200" w:afterAutospacing="0"/>
        <w:ind w:firstLine="547"/>
        <w:divId w:val="1745760086"/>
        <w:rPr>
          <w:sz w:val="20"/>
          <w:szCs w:val="20"/>
        </w:rPr>
      </w:pPr>
      <w:r>
        <w:rPr>
          <w:sz w:val="20"/>
          <w:szCs w:val="20"/>
        </w:rPr>
        <w:t>Net cash used in investing activities for the nine months ended September 30, 2020 was $376.6 million compared to net cash provided by inves</w:t>
      </w:r>
      <w:r>
        <w:rPr>
          <w:sz w:val="20"/>
          <w:szCs w:val="20"/>
        </w:rPr>
        <w:t>ting activities of $63.2 million for the same period in 2019. The increase in cash used in investing activities of $439.8 million was primarily due to the purchase of short-term investments to invest the net proceeds from our June 2020 public offering.</w:t>
      </w:r>
    </w:p>
    <w:p w:rsidR="00000000" w:rsidRDefault="00FF2C06">
      <w:pPr>
        <w:pStyle w:val="a3"/>
        <w:spacing w:before="0" w:beforeAutospacing="0" w:after="200" w:afterAutospacing="0"/>
        <w:ind w:left="547"/>
        <w:divId w:val="1745760086"/>
        <w:rPr>
          <w:i/>
          <w:iCs/>
          <w:sz w:val="20"/>
          <w:szCs w:val="20"/>
        </w:rPr>
      </w:pPr>
      <w:r>
        <w:rPr>
          <w:i/>
          <w:iCs/>
          <w:sz w:val="20"/>
          <w:szCs w:val="20"/>
        </w:rPr>
        <w:t>Fin</w:t>
      </w:r>
      <w:r>
        <w:rPr>
          <w:i/>
          <w:iCs/>
          <w:sz w:val="20"/>
          <w:szCs w:val="20"/>
        </w:rPr>
        <w:t>ancing Activities</w:t>
      </w:r>
    </w:p>
    <w:p w:rsidR="00000000" w:rsidRDefault="00FF2C06">
      <w:pPr>
        <w:pStyle w:val="a3"/>
        <w:spacing w:before="0" w:beforeAutospacing="0" w:after="200" w:afterAutospacing="0"/>
        <w:ind w:firstLine="547"/>
        <w:divId w:val="1745760086"/>
        <w:rPr>
          <w:sz w:val="20"/>
          <w:szCs w:val="20"/>
        </w:rPr>
      </w:pPr>
      <w:r>
        <w:rPr>
          <w:sz w:val="20"/>
          <w:szCs w:val="20"/>
        </w:rPr>
        <w:t>Net cash provided by financing activities for the nine months ended September 30, 2020 was $573.5 million compared to $4.0 million for the same period in 2019. The increase of $569.4 million was primarily due to net proceeds of $567.0 mil</w:t>
      </w:r>
      <w:r>
        <w:rPr>
          <w:sz w:val="20"/>
          <w:szCs w:val="20"/>
        </w:rPr>
        <w:t>lion from our June 2020 public offering.</w:t>
      </w:r>
    </w:p>
    <w:p w:rsidR="00000000" w:rsidRDefault="00FF2C06">
      <w:pPr>
        <w:pStyle w:val="a3"/>
        <w:spacing w:before="0" w:beforeAutospacing="0" w:after="200" w:afterAutospacing="0"/>
        <w:divId w:val="1745760086"/>
        <w:rPr>
          <w:sz w:val="20"/>
          <w:szCs w:val="20"/>
        </w:rPr>
      </w:pPr>
      <w:r>
        <w:rPr>
          <w:b/>
          <w:bCs/>
          <w:i/>
          <w:iCs/>
          <w:sz w:val="20"/>
          <w:szCs w:val="20"/>
        </w:rPr>
        <w:t>Impact of the CARES Act</w:t>
      </w:r>
    </w:p>
    <w:p w:rsidR="00000000" w:rsidRDefault="00FF2C06">
      <w:pPr>
        <w:pStyle w:val="a3"/>
        <w:spacing w:before="0" w:beforeAutospacing="0" w:after="200" w:afterAutospacing="0"/>
        <w:ind w:firstLine="547"/>
        <w:divId w:val="1745760086"/>
        <w:rPr>
          <w:sz w:val="20"/>
          <w:szCs w:val="20"/>
        </w:rPr>
      </w:pPr>
      <w:r>
        <w:rPr>
          <w:sz w:val="20"/>
          <w:szCs w:val="20"/>
        </w:rPr>
        <w:t xml:space="preserve">The CARES Act, among other things, permits net operating losses, or NOLs, carryovers and carrybacks to offset 100% of taxable income for taxable years beginning before 2021. In addition, the </w:t>
      </w:r>
      <w:r>
        <w:rPr>
          <w:sz w:val="20"/>
          <w:szCs w:val="20"/>
        </w:rPr>
        <w:t>CARES Act allows NOLs incurred in 2018, 2019, and 2020 to be carried back to each of the five preceding taxable years to generate a refund of previously paid income taxes. The CARES Act provides other reliefs and stimulus measures. We are currently evaluat</w:t>
      </w:r>
      <w:r>
        <w:rPr>
          <w:sz w:val="20"/>
          <w:szCs w:val="20"/>
        </w:rPr>
        <w:t>ing the impact of the CARES Act, however, at present we do not expect that any provision of the CARES Act would result in a material cash benefit to us or have a material impact on our financial statements or internal controls over financial reporting.</w:t>
      </w:r>
    </w:p>
    <w:p w:rsidR="00000000" w:rsidRDefault="00FF2C06">
      <w:pPr>
        <w:pStyle w:val="a3"/>
        <w:spacing w:before="480" w:beforeAutospacing="0" w:after="0" w:afterAutospacing="0"/>
        <w:jc w:val="center"/>
        <w:divId w:val="132186347"/>
        <w:rPr>
          <w:sz w:val="20"/>
          <w:szCs w:val="20"/>
        </w:rPr>
      </w:pPr>
      <w:r>
        <w:rPr>
          <w:sz w:val="20"/>
          <w:szCs w:val="20"/>
        </w:rPr>
        <w:t>34</w:t>
      </w:r>
    </w:p>
    <w:p w:rsidR="00000000" w:rsidRDefault="00FF2C06">
      <w:pPr>
        <w:pStyle w:val="a3"/>
        <w:spacing w:before="0" w:beforeAutospacing="0" w:after="600" w:afterAutospacing="0"/>
        <w:divId w:val="278802011"/>
        <w:rPr>
          <w:sz w:val="20"/>
          <w:szCs w:val="20"/>
        </w:rPr>
      </w:pPr>
      <w:hyperlink w:anchor="TOC" w:history="1">
        <w:r>
          <w:rPr>
            <w:rStyle w:val="a4"/>
            <w:sz w:val="20"/>
            <w:szCs w:val="20"/>
          </w:rPr>
          <w:t>Table of Contents</w:t>
        </w:r>
      </w:hyperlink>
    </w:p>
    <w:p w:rsidR="00000000" w:rsidRDefault="00FF2C06">
      <w:pPr>
        <w:pStyle w:val="a3"/>
        <w:spacing w:before="0" w:beforeAutospacing="0" w:after="200" w:afterAutospacing="0"/>
        <w:divId w:val="25569690"/>
        <w:rPr>
          <w:sz w:val="20"/>
          <w:szCs w:val="20"/>
        </w:rPr>
      </w:pPr>
      <w:r>
        <w:rPr>
          <w:b/>
          <w:bCs/>
          <w:i/>
          <w:iCs/>
          <w:sz w:val="20"/>
          <w:szCs w:val="20"/>
        </w:rPr>
        <w:t>Impact of COVID-19 on our Business</w:t>
      </w:r>
    </w:p>
    <w:p w:rsidR="00000000" w:rsidRDefault="00FF2C06">
      <w:pPr>
        <w:pStyle w:val="a3"/>
        <w:spacing w:before="0" w:beforeAutospacing="0" w:after="200" w:afterAutospacing="0"/>
        <w:ind w:firstLine="547"/>
        <w:divId w:val="25569690"/>
        <w:rPr>
          <w:sz w:val="20"/>
          <w:szCs w:val="20"/>
        </w:rPr>
      </w:pPr>
      <w:r>
        <w:rPr>
          <w:sz w:val="20"/>
          <w:szCs w:val="20"/>
        </w:rPr>
        <w:t>In December 2019, a novel coronavirus known as SARS-CoV-2 was first detected in Wuhan, Hubei Province, People’s Republic of China, causing outbreaks of the coronavirus disease, known as COVID-19, that has now spread globally. On January 30, 2020, the World</w:t>
      </w:r>
      <w:r>
        <w:rPr>
          <w:sz w:val="20"/>
          <w:szCs w:val="20"/>
        </w:rPr>
        <w:t xml:space="preserve"> Health Organization (WHO) declared COVID-19 a pandemic, which we refer to herein as the COVID-19 Pandemic. The Secretary of Health and Human Services declared a public health emergency on January 31, 2020, under section 319 of the Public Health Service Ac</w:t>
      </w:r>
      <w:r>
        <w:rPr>
          <w:sz w:val="20"/>
          <w:szCs w:val="20"/>
        </w:rPr>
        <w:t xml:space="preserve">t (42 U.S.C. 247d), in response to the COVID-19 Pandemic. </w:t>
      </w:r>
    </w:p>
    <w:p w:rsidR="00000000" w:rsidRDefault="00FF2C06">
      <w:pPr>
        <w:pStyle w:val="a3"/>
        <w:spacing w:before="0" w:beforeAutospacing="0" w:after="200" w:afterAutospacing="0"/>
        <w:divId w:val="25569690"/>
        <w:rPr>
          <w:sz w:val="20"/>
          <w:szCs w:val="20"/>
        </w:rPr>
      </w:pPr>
      <w:r>
        <w:rPr>
          <w:i/>
          <w:iCs/>
          <w:sz w:val="20"/>
          <w:szCs w:val="20"/>
        </w:rPr>
        <w:t>Operations and Liquidity</w:t>
      </w:r>
    </w:p>
    <w:p w:rsidR="00000000" w:rsidRDefault="00FF2C06">
      <w:pPr>
        <w:pStyle w:val="a3"/>
        <w:spacing w:before="0" w:beforeAutospacing="0" w:after="200" w:afterAutospacing="0"/>
        <w:ind w:firstLine="547"/>
        <w:divId w:val="25569690"/>
        <w:rPr>
          <w:sz w:val="20"/>
          <w:szCs w:val="20"/>
        </w:rPr>
      </w:pPr>
      <w:r>
        <w:rPr>
          <w:sz w:val="20"/>
          <w:szCs w:val="20"/>
        </w:rPr>
        <w:t xml:space="preserve">The full impact of the COVID-19 Pandemic is unknown and rapidly evolving. While the potential economic impact brought by and over the duration of the COVID-19 Pandemic may </w:t>
      </w:r>
      <w:r>
        <w:rPr>
          <w:sz w:val="20"/>
          <w:szCs w:val="20"/>
        </w:rPr>
        <w:t>be difficult to assess or predict, the COVID-19 Pandemic has resulted in significant disruption of global financial markets, which could in the future negatively affect our liquidity. In addition, a recession or market volatility resulting from the COVID-1</w:t>
      </w:r>
      <w:r>
        <w:rPr>
          <w:sz w:val="20"/>
          <w:szCs w:val="20"/>
        </w:rPr>
        <w:t>9 Pandemic could affect our business. We have taken proactive, aggressive action throughout the COVID-19 Pandemic to protect the health and safety of our employees, and expect to continue to implement these measures until we determine that the COVID-19 Pan</w:t>
      </w:r>
      <w:r>
        <w:rPr>
          <w:sz w:val="20"/>
          <w:szCs w:val="20"/>
        </w:rPr>
        <w:t>demic is adequately contained for purposes of our business. We may take further actions as government authorities require or recommend or as we determine to be in the best interests of our employees. To date, the COVID-19 Pandemic has not had significant e</w:t>
      </w:r>
      <w:r>
        <w:rPr>
          <w:sz w:val="20"/>
          <w:szCs w:val="20"/>
        </w:rPr>
        <w:t>ffects on our clinical trial enrollment. Given the nature and type of our short-term investments in U.S. government securities, we do not believe that the COVID-19 Pandemic will have a material impact on our current investment liquidity.</w:t>
      </w:r>
    </w:p>
    <w:p w:rsidR="00000000" w:rsidRDefault="00FF2C06">
      <w:pPr>
        <w:pStyle w:val="a3"/>
        <w:spacing w:before="0" w:beforeAutospacing="0" w:after="200" w:afterAutospacing="0"/>
        <w:divId w:val="25569690"/>
        <w:rPr>
          <w:sz w:val="20"/>
          <w:szCs w:val="20"/>
        </w:rPr>
      </w:pPr>
      <w:r>
        <w:rPr>
          <w:i/>
          <w:iCs/>
          <w:sz w:val="20"/>
          <w:szCs w:val="20"/>
        </w:rPr>
        <w:t>Outlook</w:t>
      </w:r>
    </w:p>
    <w:p w:rsidR="00000000" w:rsidRDefault="00FF2C06">
      <w:pPr>
        <w:pStyle w:val="a3"/>
        <w:spacing w:before="0" w:beforeAutospacing="0" w:after="200" w:afterAutospacing="0"/>
        <w:ind w:firstLine="547"/>
        <w:divId w:val="25569690"/>
        <w:rPr>
          <w:sz w:val="20"/>
          <w:szCs w:val="20"/>
        </w:rPr>
      </w:pPr>
      <w:r>
        <w:rPr>
          <w:sz w:val="20"/>
          <w:szCs w:val="20"/>
        </w:rPr>
        <w:t>Although t</w:t>
      </w:r>
      <w:r>
        <w:rPr>
          <w:sz w:val="20"/>
          <w:szCs w:val="20"/>
        </w:rPr>
        <w:t>here is uncertainty related to the anticipated impact of the recent COVID-19 Pandemic on our future results, we believe our current cash reserves leave us well-positioned to manage our business through this crisis as it continues to unfold. However, the im</w:t>
      </w:r>
      <w:r>
        <w:rPr>
          <w:sz w:val="20"/>
          <w:szCs w:val="20"/>
        </w:rPr>
        <w:t xml:space="preserve">pacts of the COVID-19 Pandemic are broad-reaching and continuing and the financial impacts associated with the COVID-19 Pandemic are still uncertain. </w:t>
      </w:r>
    </w:p>
    <w:p w:rsidR="00000000" w:rsidRDefault="00FF2C06">
      <w:pPr>
        <w:pStyle w:val="a3"/>
        <w:spacing w:before="0" w:beforeAutospacing="0" w:after="200" w:afterAutospacing="0"/>
        <w:ind w:firstLine="547"/>
        <w:divId w:val="25569690"/>
        <w:rPr>
          <w:sz w:val="20"/>
          <w:szCs w:val="20"/>
        </w:rPr>
      </w:pPr>
      <w:r>
        <w:rPr>
          <w:sz w:val="20"/>
          <w:szCs w:val="20"/>
        </w:rPr>
        <w:t>The COVID-19 Pandemic is ongoing, and its dynamic nature, including uncertainties relating to the ultimat</w:t>
      </w:r>
      <w:r>
        <w:rPr>
          <w:sz w:val="20"/>
          <w:szCs w:val="20"/>
        </w:rPr>
        <w:t>e geographic spread of the virus, the severity of the disease, the duration of the pandemic, and actions that would be taken by governmental authorities to contain the pandemic or to treat its impact, makes it difficult to forecast any effects on our resul</w:t>
      </w:r>
      <w:r>
        <w:rPr>
          <w:sz w:val="20"/>
          <w:szCs w:val="20"/>
        </w:rPr>
        <w:t>ts for the fiscal year ending December 31, 2020.</w:t>
      </w:r>
    </w:p>
    <w:p w:rsidR="00000000" w:rsidRDefault="00FF2C06">
      <w:pPr>
        <w:pStyle w:val="a3"/>
        <w:spacing w:before="0" w:beforeAutospacing="0" w:after="200" w:afterAutospacing="0"/>
        <w:ind w:firstLine="547"/>
        <w:divId w:val="25569690"/>
        <w:rPr>
          <w:sz w:val="20"/>
          <w:szCs w:val="20"/>
        </w:rPr>
      </w:pPr>
      <w:r>
        <w:rPr>
          <w:sz w:val="20"/>
          <w:szCs w:val="20"/>
        </w:rPr>
        <w:t>Despite the economic uncertainty resulting from the COVID-19 Pandemic, we intend to continue to focus on the development of our product candidates. We continue to monitor the rapidly evolving situation and g</w:t>
      </w:r>
      <w:r>
        <w:rPr>
          <w:sz w:val="20"/>
          <w:szCs w:val="20"/>
        </w:rPr>
        <w:t>uidance from international and domestic authorities, including federal, state and local public health authorities and may take additional actions based on their recommendations. In these circumstances, there may be developments outside our control requirin</w:t>
      </w:r>
      <w:r>
        <w:rPr>
          <w:sz w:val="20"/>
          <w:szCs w:val="20"/>
        </w:rPr>
        <w:t>g us to adjust our operating plan. As such, given the dynamic nature of this situation, we cannot reasonably estimate the impacts of COVID-19 on our financial condition, results of operations or cash flows in the future.</w:t>
      </w:r>
    </w:p>
    <w:p w:rsidR="00000000" w:rsidRDefault="00FF2C06">
      <w:pPr>
        <w:pStyle w:val="a3"/>
        <w:spacing w:before="0" w:beforeAutospacing="0" w:after="200" w:afterAutospacing="0"/>
        <w:divId w:val="25569690"/>
        <w:rPr>
          <w:sz w:val="20"/>
          <w:szCs w:val="20"/>
        </w:rPr>
      </w:pPr>
      <w:r>
        <w:rPr>
          <w:b/>
          <w:bCs/>
          <w:i/>
          <w:iCs/>
          <w:sz w:val="20"/>
          <w:szCs w:val="20"/>
        </w:rPr>
        <w:t>Off-Balance Sheet Arrangements</w:t>
      </w:r>
    </w:p>
    <w:p w:rsidR="00000000" w:rsidRDefault="00FF2C06">
      <w:pPr>
        <w:pStyle w:val="a3"/>
        <w:spacing w:before="0" w:beforeAutospacing="0" w:after="200" w:afterAutospacing="0"/>
        <w:ind w:firstLine="547"/>
        <w:divId w:val="25569690"/>
        <w:rPr>
          <w:sz w:val="20"/>
          <w:szCs w:val="20"/>
        </w:rPr>
      </w:pPr>
      <w:r>
        <w:rPr>
          <w:sz w:val="20"/>
          <w:szCs w:val="20"/>
        </w:rPr>
        <w:t>At S</w:t>
      </w:r>
      <w:r>
        <w:rPr>
          <w:sz w:val="20"/>
          <w:szCs w:val="20"/>
        </w:rPr>
        <w:t>eptember 30, 2020, we had no obligations that would require disclosure as off-balance sheet arrangements.</w:t>
      </w:r>
    </w:p>
    <w:p w:rsidR="00000000" w:rsidRDefault="00FF2C06">
      <w:pPr>
        <w:pStyle w:val="a3"/>
        <w:spacing w:before="0" w:beforeAutospacing="0" w:after="200" w:afterAutospacing="0"/>
        <w:divId w:val="25569690"/>
        <w:rPr>
          <w:sz w:val="20"/>
          <w:szCs w:val="20"/>
        </w:rPr>
      </w:pPr>
      <w:r>
        <w:rPr>
          <w:b/>
          <w:bCs/>
          <w:i/>
          <w:iCs/>
          <w:sz w:val="20"/>
          <w:szCs w:val="20"/>
        </w:rPr>
        <w:t>Significant Accounting Policies and Recent Accounting Standards</w:t>
      </w:r>
    </w:p>
    <w:p w:rsidR="00000000" w:rsidRDefault="00FF2C06">
      <w:pPr>
        <w:pStyle w:val="a3"/>
        <w:spacing w:before="0" w:beforeAutospacing="0" w:after="200" w:afterAutospacing="0"/>
        <w:ind w:firstLine="547"/>
        <w:divId w:val="25569690"/>
        <w:rPr>
          <w:sz w:val="20"/>
          <w:szCs w:val="20"/>
        </w:rPr>
      </w:pPr>
      <w:r>
        <w:rPr>
          <w:sz w:val="20"/>
          <w:szCs w:val="20"/>
        </w:rPr>
        <w:t xml:space="preserve">See Note 2 of the financial statements for a discussion of our significant accounting </w:t>
      </w:r>
      <w:r>
        <w:rPr>
          <w:sz w:val="20"/>
          <w:szCs w:val="20"/>
        </w:rPr>
        <w:t>policies, including the discussion of recently issued and adopted accounting standards.</w:t>
      </w:r>
    </w:p>
    <w:p w:rsidR="00000000" w:rsidRDefault="00FF2C06">
      <w:pPr>
        <w:pStyle w:val="a3"/>
        <w:spacing w:before="0" w:beforeAutospacing="0" w:after="200" w:afterAutospacing="0"/>
        <w:divId w:val="25569690"/>
        <w:rPr>
          <w:sz w:val="20"/>
          <w:szCs w:val="20"/>
        </w:rPr>
      </w:pPr>
      <w:r>
        <w:rPr>
          <w:b/>
          <w:bCs/>
          <w:i/>
          <w:iCs/>
          <w:sz w:val="20"/>
          <w:szCs w:val="20"/>
        </w:rPr>
        <w:t>Inflation</w:t>
      </w:r>
    </w:p>
    <w:p w:rsidR="00000000" w:rsidRDefault="00FF2C06">
      <w:pPr>
        <w:pStyle w:val="a3"/>
        <w:spacing w:before="0" w:beforeAutospacing="0" w:after="0" w:afterAutospacing="0"/>
        <w:ind w:firstLine="540"/>
        <w:divId w:val="25569690"/>
        <w:rPr>
          <w:sz w:val="20"/>
          <w:szCs w:val="20"/>
        </w:rPr>
      </w:pPr>
      <w:r>
        <w:rPr>
          <w:sz w:val="20"/>
          <w:szCs w:val="20"/>
        </w:rPr>
        <w:t>Inflation and changing prices have had no effect on our continuing operations over our two most recent fiscal years.</w:t>
      </w:r>
    </w:p>
    <w:p w:rsidR="00000000" w:rsidRDefault="00FF2C06">
      <w:pPr>
        <w:pStyle w:val="a3"/>
        <w:spacing w:before="0" w:beforeAutospacing="0" w:after="0" w:afterAutospacing="0"/>
        <w:ind w:firstLine="720"/>
        <w:jc w:val="both"/>
        <w:divId w:val="25569690"/>
        <w:rPr>
          <w:sz w:val="20"/>
          <w:szCs w:val="20"/>
        </w:rPr>
      </w:pPr>
      <w:r>
        <w:rPr>
          <w:sz w:val="16"/>
          <w:szCs w:val="16"/>
        </w:rPr>
        <w:t>​</w:t>
      </w:r>
    </w:p>
    <w:p w:rsidR="00000000" w:rsidRDefault="00FF2C06">
      <w:pPr>
        <w:pStyle w:val="a3"/>
        <w:spacing w:before="0" w:beforeAutospacing="0" w:after="0" w:afterAutospacing="0"/>
        <w:divId w:val="25569690"/>
        <w:rPr>
          <w:sz w:val="20"/>
          <w:szCs w:val="20"/>
        </w:rPr>
      </w:pPr>
      <w:r>
        <w:rPr>
          <w:b/>
          <w:bCs/>
          <w:color w:val="000000"/>
          <w:sz w:val="20"/>
          <w:szCs w:val="20"/>
        </w:rPr>
        <w:t>Item 3</w:t>
      </w:r>
      <w:r>
        <w:rPr>
          <w:b/>
          <w:bCs/>
          <w:color w:val="000000"/>
          <w:sz w:val="20"/>
          <w:szCs w:val="20"/>
        </w:rPr>
        <w:t>.</w:t>
      </w:r>
      <w:r>
        <w:rPr>
          <w:b/>
          <w:bCs/>
          <w:sz w:val="20"/>
          <w:szCs w:val="20"/>
        </w:rPr>
        <w:t>Quantitative and Qualitative Dis</w:t>
      </w:r>
      <w:r>
        <w:rPr>
          <w:b/>
          <w:bCs/>
          <w:sz w:val="20"/>
          <w:szCs w:val="20"/>
        </w:rPr>
        <w:t>closures About Market Risk</w:t>
      </w:r>
    </w:p>
    <w:p w:rsidR="00000000" w:rsidRDefault="00FF2C06">
      <w:pPr>
        <w:pStyle w:val="a3"/>
        <w:spacing w:before="0" w:beforeAutospacing="0" w:after="0" w:afterAutospacing="0"/>
        <w:ind w:firstLine="720"/>
        <w:jc w:val="both"/>
        <w:divId w:val="25569690"/>
        <w:rPr>
          <w:sz w:val="20"/>
          <w:szCs w:val="20"/>
        </w:rPr>
      </w:pPr>
      <w:r>
        <w:rPr>
          <w:sz w:val="16"/>
          <w:szCs w:val="16"/>
        </w:rPr>
        <w:t>​</w:t>
      </w:r>
    </w:p>
    <w:p w:rsidR="00000000" w:rsidRDefault="00FF2C06">
      <w:pPr>
        <w:pStyle w:val="a3"/>
        <w:spacing w:before="0" w:beforeAutospacing="0" w:after="0" w:afterAutospacing="0"/>
        <w:ind w:firstLine="547"/>
        <w:jc w:val="both"/>
        <w:divId w:val="25569690"/>
        <w:rPr>
          <w:sz w:val="20"/>
          <w:szCs w:val="20"/>
        </w:rPr>
      </w:pPr>
      <w:r>
        <w:rPr>
          <w:sz w:val="20"/>
          <w:szCs w:val="20"/>
        </w:rPr>
        <w:t>Our exposure to market risk is limited primarily to interest income sensitivity, which is affected by changes in the general level of U.S. interest rates, particularly because a significant portion of our investments are in int</w:t>
      </w:r>
      <w:r>
        <w:rPr>
          <w:sz w:val="20"/>
          <w:szCs w:val="20"/>
        </w:rPr>
        <w:t xml:space="preserve">erest bearing cash accounts consisting of short-term debt securities issued by the U.S. government. The primary objective of our investment activities is to preserve principal. We </w:t>
      </w:r>
    </w:p>
    <w:p w:rsidR="00000000" w:rsidRDefault="00FF2C06">
      <w:pPr>
        <w:pStyle w:val="a3"/>
        <w:spacing w:before="480" w:beforeAutospacing="0" w:after="0" w:afterAutospacing="0"/>
        <w:jc w:val="center"/>
        <w:divId w:val="11151615"/>
        <w:rPr>
          <w:sz w:val="20"/>
          <w:szCs w:val="20"/>
        </w:rPr>
      </w:pPr>
      <w:r>
        <w:rPr>
          <w:sz w:val="20"/>
          <w:szCs w:val="20"/>
        </w:rPr>
        <w:t>35</w:t>
      </w:r>
    </w:p>
    <w:p w:rsidR="00000000" w:rsidRDefault="00FF2C06">
      <w:pPr>
        <w:pStyle w:val="a3"/>
        <w:spacing w:before="0" w:beforeAutospacing="0" w:after="600" w:afterAutospacing="0"/>
        <w:divId w:val="507328821"/>
        <w:rPr>
          <w:sz w:val="20"/>
          <w:szCs w:val="20"/>
        </w:rPr>
      </w:pPr>
      <w:hyperlink w:anchor="TOC" w:history="1">
        <w:r>
          <w:rPr>
            <w:rStyle w:val="a4"/>
            <w:sz w:val="20"/>
            <w:szCs w:val="20"/>
          </w:rPr>
          <w:t>Table of Contents</w:t>
        </w:r>
      </w:hyperlink>
    </w:p>
    <w:p w:rsidR="00000000" w:rsidRDefault="00FF2C06">
      <w:pPr>
        <w:pStyle w:val="a3"/>
        <w:spacing w:before="0" w:beforeAutospacing="0" w:after="0" w:afterAutospacing="0"/>
        <w:jc w:val="both"/>
        <w:divId w:val="1380670210"/>
        <w:rPr>
          <w:sz w:val="20"/>
          <w:szCs w:val="20"/>
        </w:rPr>
      </w:pPr>
      <w:r>
        <w:rPr>
          <w:sz w:val="20"/>
          <w:szCs w:val="20"/>
        </w:rPr>
        <w:t>adhere to an investment policy that requires us to limit amounts invested in securities based on credit rating, maturity, industry group and investment type and issuer, except for securities issued by the U.S. government. We do not have any derivative fina</w:t>
      </w:r>
      <w:r>
        <w:rPr>
          <w:sz w:val="20"/>
          <w:szCs w:val="20"/>
        </w:rPr>
        <w:t>ncial instruments or foreign currency instruments. At September 30, 2020, we had $645.8 million invested in short-term marketable securities with a maturity date of less than one year. As such we believe that we are not exposed to any material market risk.</w:t>
      </w:r>
      <w:r>
        <w:rPr>
          <w:sz w:val="20"/>
          <w:szCs w:val="20"/>
        </w:rPr>
        <w:t xml:space="preserve"> If interest rates had varied by 1% in the three months ended September 30, 2020, the fair value of our investment portfolio would increase or decrease by approximately $2.2 million.</w:t>
      </w:r>
    </w:p>
    <w:p w:rsidR="00000000" w:rsidRDefault="00FF2C06">
      <w:pPr>
        <w:pStyle w:val="a3"/>
        <w:spacing w:before="0" w:beforeAutospacing="0" w:after="0" w:afterAutospacing="0"/>
        <w:divId w:val="1380670210"/>
        <w:rPr>
          <w:sz w:val="20"/>
          <w:szCs w:val="20"/>
        </w:rPr>
      </w:pPr>
      <w:r>
        <w:rPr>
          <w:sz w:val="20"/>
          <w:szCs w:val="20"/>
        </w:rPr>
        <w:t>​</w:t>
      </w:r>
    </w:p>
    <w:p w:rsidR="00000000" w:rsidRDefault="00FF2C06">
      <w:pPr>
        <w:pStyle w:val="a3"/>
        <w:spacing w:before="0" w:beforeAutospacing="0" w:after="0" w:afterAutospacing="0"/>
        <w:divId w:val="1380670210"/>
        <w:rPr>
          <w:sz w:val="20"/>
          <w:szCs w:val="20"/>
        </w:rPr>
      </w:pPr>
      <w:r>
        <w:rPr>
          <w:b/>
          <w:bCs/>
          <w:color w:val="000000"/>
          <w:sz w:val="20"/>
          <w:szCs w:val="20"/>
        </w:rPr>
        <w:t>Item 4</w:t>
      </w:r>
      <w:r>
        <w:rPr>
          <w:b/>
          <w:bCs/>
          <w:color w:val="000000"/>
          <w:sz w:val="20"/>
          <w:szCs w:val="20"/>
        </w:rPr>
        <w:t>.</w:t>
      </w:r>
      <w:r>
        <w:rPr>
          <w:b/>
          <w:bCs/>
          <w:sz w:val="20"/>
          <w:szCs w:val="20"/>
        </w:rPr>
        <w:t>Controls and Procedures</w:t>
      </w:r>
    </w:p>
    <w:p w:rsidR="00000000" w:rsidRDefault="00FF2C06">
      <w:pPr>
        <w:pStyle w:val="a3"/>
        <w:spacing w:before="0" w:beforeAutospacing="0" w:after="0" w:afterAutospacing="0"/>
        <w:divId w:val="1380670210"/>
        <w:rPr>
          <w:sz w:val="20"/>
          <w:szCs w:val="20"/>
        </w:rPr>
      </w:pPr>
      <w:r>
        <w:rPr>
          <w:sz w:val="16"/>
          <w:szCs w:val="16"/>
        </w:rPr>
        <w:t>​</w:t>
      </w:r>
    </w:p>
    <w:p w:rsidR="00000000" w:rsidRDefault="00FF2C06">
      <w:pPr>
        <w:pStyle w:val="a3"/>
        <w:spacing w:before="0" w:beforeAutospacing="0" w:after="0" w:afterAutospacing="0"/>
        <w:divId w:val="1380670210"/>
        <w:rPr>
          <w:sz w:val="20"/>
          <w:szCs w:val="20"/>
        </w:rPr>
      </w:pPr>
      <w:r>
        <w:rPr>
          <w:b/>
          <w:bCs/>
          <w:sz w:val="20"/>
          <w:szCs w:val="20"/>
        </w:rPr>
        <w:t>Conclusion Regarding the Effectiveness</w:t>
      </w:r>
      <w:r>
        <w:rPr>
          <w:b/>
          <w:bCs/>
          <w:sz w:val="20"/>
          <w:szCs w:val="20"/>
        </w:rPr>
        <w:t xml:space="preserve"> of Disclosure Controls and Procedures</w:t>
      </w:r>
    </w:p>
    <w:p w:rsidR="00000000" w:rsidRDefault="00FF2C06">
      <w:pPr>
        <w:pStyle w:val="a3"/>
        <w:spacing w:before="0" w:beforeAutospacing="0" w:after="0" w:afterAutospacing="0"/>
        <w:divId w:val="1380670210"/>
        <w:rPr>
          <w:sz w:val="20"/>
          <w:szCs w:val="20"/>
        </w:rPr>
      </w:pPr>
      <w:r>
        <w:rPr>
          <w:sz w:val="16"/>
          <w:szCs w:val="16"/>
        </w:rPr>
        <w:t>​</w:t>
      </w:r>
    </w:p>
    <w:p w:rsidR="00000000" w:rsidRDefault="00FF2C06">
      <w:pPr>
        <w:pStyle w:val="a3"/>
        <w:spacing w:before="0" w:beforeAutospacing="0" w:after="0" w:afterAutospacing="0"/>
        <w:ind w:firstLine="540"/>
        <w:divId w:val="1380670210"/>
        <w:rPr>
          <w:sz w:val="20"/>
          <w:szCs w:val="20"/>
        </w:rPr>
      </w:pPr>
      <w:r>
        <w:rPr>
          <w:sz w:val="20"/>
          <w:szCs w:val="20"/>
        </w:rPr>
        <w:t>Under the supervision and with the participation of our management, including our principal executive officer and principal financial officer, we conducted an evaluation of our disclosure controls and procedures, as</w:t>
      </w:r>
      <w:r>
        <w:rPr>
          <w:sz w:val="20"/>
          <w:szCs w:val="20"/>
        </w:rPr>
        <w:t xml:space="preserve"> such term is defined under Rule 13a-15(e) promulgated under the Exchange Act as of the end of the period covered by this Quarterly Report on Form 10-Q. Based on this evaluation, our principal executive officer and our principal financial officer concluded</w:t>
      </w:r>
      <w:r>
        <w:rPr>
          <w:sz w:val="20"/>
          <w:szCs w:val="20"/>
        </w:rPr>
        <w:t xml:space="preserve"> that our disclosure controls and procedures were effective as of the end of the period covered by this Quarterly Report on Form 10-Q.</w:t>
      </w:r>
    </w:p>
    <w:p w:rsidR="00000000" w:rsidRDefault="00FF2C06">
      <w:pPr>
        <w:pStyle w:val="a3"/>
        <w:spacing w:before="0" w:beforeAutospacing="0" w:after="0" w:afterAutospacing="0"/>
        <w:divId w:val="1380670210"/>
        <w:rPr>
          <w:sz w:val="20"/>
          <w:szCs w:val="20"/>
        </w:rPr>
      </w:pPr>
      <w:r>
        <w:rPr>
          <w:sz w:val="16"/>
          <w:szCs w:val="16"/>
        </w:rPr>
        <w:t>​</w:t>
      </w:r>
    </w:p>
    <w:p w:rsidR="00000000" w:rsidRDefault="00FF2C06">
      <w:pPr>
        <w:pStyle w:val="a3"/>
        <w:spacing w:before="0" w:beforeAutospacing="0" w:after="0" w:afterAutospacing="0"/>
        <w:divId w:val="1380670210"/>
        <w:rPr>
          <w:sz w:val="20"/>
          <w:szCs w:val="20"/>
        </w:rPr>
      </w:pPr>
      <w:r>
        <w:rPr>
          <w:b/>
          <w:bCs/>
          <w:sz w:val="20"/>
          <w:szCs w:val="20"/>
        </w:rPr>
        <w:t>Changes in Internal Controls Over Financial Reporting</w:t>
      </w:r>
    </w:p>
    <w:p w:rsidR="00000000" w:rsidRDefault="00FF2C06">
      <w:pPr>
        <w:pStyle w:val="a3"/>
        <w:spacing w:before="0" w:beforeAutospacing="0" w:after="0" w:afterAutospacing="0"/>
        <w:divId w:val="1380670210"/>
        <w:rPr>
          <w:sz w:val="20"/>
          <w:szCs w:val="20"/>
        </w:rPr>
      </w:pPr>
      <w:r>
        <w:rPr>
          <w:sz w:val="16"/>
          <w:szCs w:val="16"/>
        </w:rPr>
        <w:t>​</w:t>
      </w:r>
    </w:p>
    <w:p w:rsidR="00000000" w:rsidRDefault="00FF2C06">
      <w:pPr>
        <w:pStyle w:val="a3"/>
        <w:spacing w:before="0" w:beforeAutospacing="0" w:after="0" w:afterAutospacing="0"/>
        <w:ind w:firstLine="547"/>
        <w:divId w:val="1380670210"/>
        <w:rPr>
          <w:sz w:val="20"/>
          <w:szCs w:val="20"/>
        </w:rPr>
      </w:pPr>
      <w:r>
        <w:rPr>
          <w:sz w:val="20"/>
          <w:szCs w:val="20"/>
        </w:rPr>
        <w:t>There have not been any changes in our internal control over fi</w:t>
      </w:r>
      <w:r>
        <w:rPr>
          <w:sz w:val="20"/>
          <w:szCs w:val="20"/>
        </w:rPr>
        <w:t>nancial reporting (as such term is defined in Rules 13a-15(f) and 15d-15(f) under the Exchange Act) during the quarter ended September 30, 2020 that have materially affected, or are reasonably likely to materially affect, our internal control over financia</w:t>
      </w:r>
      <w:r>
        <w:rPr>
          <w:sz w:val="20"/>
          <w:szCs w:val="20"/>
        </w:rPr>
        <w:t>l reporting.</w:t>
      </w:r>
    </w:p>
    <w:p w:rsidR="00000000" w:rsidRDefault="00FF2C06">
      <w:pPr>
        <w:pStyle w:val="a3"/>
        <w:spacing w:before="0" w:beforeAutospacing="0" w:after="0" w:afterAutospacing="0"/>
        <w:divId w:val="1380670210"/>
        <w:rPr>
          <w:sz w:val="20"/>
          <w:szCs w:val="20"/>
        </w:rPr>
      </w:pPr>
      <w:r>
        <w:rPr>
          <w:sz w:val="20"/>
          <w:szCs w:val="20"/>
        </w:rPr>
        <w:t>​</w:t>
      </w:r>
    </w:p>
    <w:p w:rsidR="00000000" w:rsidRDefault="00FF2C06">
      <w:pPr>
        <w:pStyle w:val="a3"/>
        <w:spacing w:before="0" w:beforeAutospacing="0" w:after="200" w:afterAutospacing="0"/>
        <w:jc w:val="both"/>
        <w:divId w:val="1380670210"/>
        <w:rPr>
          <w:sz w:val="20"/>
          <w:szCs w:val="20"/>
        </w:rPr>
      </w:pPr>
      <w:r>
        <w:rPr>
          <w:b/>
          <w:bCs/>
          <w:sz w:val="20"/>
          <w:szCs w:val="20"/>
        </w:rPr>
        <w:t>PART II. OTHER INFORMATION</w:t>
      </w:r>
    </w:p>
    <w:p w:rsidR="00000000" w:rsidRDefault="00FF2C06">
      <w:pPr>
        <w:pStyle w:val="a3"/>
        <w:spacing w:before="0" w:beforeAutospacing="0" w:after="200" w:afterAutospacing="0"/>
        <w:divId w:val="1380670210"/>
        <w:rPr>
          <w:sz w:val="20"/>
          <w:szCs w:val="20"/>
        </w:rPr>
      </w:pPr>
      <w:r>
        <w:rPr>
          <w:b/>
          <w:bCs/>
          <w:color w:val="000000"/>
          <w:sz w:val="20"/>
          <w:szCs w:val="20"/>
        </w:rPr>
        <w:t>Item 1</w:t>
      </w:r>
      <w:r>
        <w:rPr>
          <w:b/>
          <w:bCs/>
          <w:color w:val="000000"/>
          <w:sz w:val="20"/>
          <w:szCs w:val="20"/>
        </w:rPr>
        <w:t>.</w:t>
      </w:r>
      <w:r>
        <w:rPr>
          <w:b/>
          <w:bCs/>
          <w:sz w:val="20"/>
          <w:szCs w:val="20"/>
        </w:rPr>
        <w:t>Legal Proceedings</w:t>
      </w:r>
    </w:p>
    <w:p w:rsidR="00000000" w:rsidRDefault="00FF2C06">
      <w:pPr>
        <w:pStyle w:val="a3"/>
        <w:spacing w:before="0" w:beforeAutospacing="0" w:after="200" w:afterAutospacing="0"/>
        <w:ind w:firstLine="547"/>
        <w:divId w:val="1380670210"/>
        <w:rPr>
          <w:sz w:val="20"/>
          <w:szCs w:val="20"/>
        </w:rPr>
      </w:pPr>
      <w:r>
        <w:rPr>
          <w:sz w:val="20"/>
          <w:szCs w:val="20"/>
        </w:rPr>
        <w:t>The information in Note 8 to the Condensed Consolidated Financial Statements contained in Part I, Item 1 of this Quarterly Report on Form 10-Q is incorporated herein by reference. There are</w:t>
      </w:r>
      <w:r>
        <w:rPr>
          <w:sz w:val="20"/>
          <w:szCs w:val="20"/>
        </w:rPr>
        <w:t xml:space="preserve"> no matters which constitute material pending legal proceedings to which we are a party other than those incorporated into this item by reference from Note 8 to our Condensed Consolidated Financial Statements for the quarter ended September 30, 2020 contai</w:t>
      </w:r>
      <w:r>
        <w:rPr>
          <w:sz w:val="20"/>
          <w:szCs w:val="20"/>
        </w:rPr>
        <w:t>ned in this Quarterly Report on Form 10-Q.</w:t>
      </w:r>
    </w:p>
    <w:p w:rsidR="00000000" w:rsidRDefault="00FF2C06">
      <w:pPr>
        <w:pStyle w:val="a3"/>
        <w:spacing w:before="0" w:beforeAutospacing="0" w:after="0" w:afterAutospacing="0"/>
        <w:divId w:val="1380670210"/>
        <w:rPr>
          <w:sz w:val="20"/>
          <w:szCs w:val="20"/>
        </w:rPr>
      </w:pPr>
      <w:r>
        <w:rPr>
          <w:sz w:val="20"/>
          <w:szCs w:val="20"/>
        </w:rPr>
        <w:t>​</w:t>
      </w:r>
    </w:p>
    <w:p w:rsidR="00000000" w:rsidRDefault="00FF2C06">
      <w:pPr>
        <w:pStyle w:val="a3"/>
        <w:spacing w:before="0" w:beforeAutospacing="0" w:after="200" w:afterAutospacing="0"/>
        <w:divId w:val="1380670210"/>
        <w:rPr>
          <w:sz w:val="20"/>
          <w:szCs w:val="20"/>
        </w:rPr>
      </w:pPr>
      <w:r>
        <w:rPr>
          <w:b/>
          <w:bCs/>
          <w:color w:val="000000"/>
          <w:sz w:val="20"/>
          <w:szCs w:val="20"/>
        </w:rPr>
        <w:t>Item 1A</w:t>
      </w:r>
      <w:r>
        <w:rPr>
          <w:b/>
          <w:bCs/>
          <w:color w:val="000000"/>
          <w:sz w:val="20"/>
          <w:szCs w:val="20"/>
        </w:rPr>
        <w:t>.</w:t>
      </w:r>
      <w:r>
        <w:rPr>
          <w:b/>
          <w:bCs/>
          <w:sz w:val="20"/>
          <w:szCs w:val="20"/>
        </w:rPr>
        <w:t>Risk Factors</w:t>
      </w:r>
    </w:p>
    <w:p w:rsidR="00000000" w:rsidRDefault="00FF2C06">
      <w:pPr>
        <w:pStyle w:val="a3"/>
        <w:spacing w:before="0" w:beforeAutospacing="0" w:after="200" w:afterAutospacing="0"/>
        <w:ind w:firstLine="547"/>
        <w:jc w:val="both"/>
        <w:divId w:val="1380670210"/>
        <w:rPr>
          <w:sz w:val="20"/>
          <w:szCs w:val="20"/>
        </w:rPr>
      </w:pPr>
      <w:r>
        <w:rPr>
          <w:i/>
          <w:iCs/>
          <w:sz w:val="20"/>
          <w:szCs w:val="20"/>
        </w:rPr>
        <w:t xml:space="preserve">The risks described below may not be the only ones relating to our company. Additional risks that we currently believe are immaterial may also impair our business operations. Our business, financial conditions and future prospects and the trading price of </w:t>
      </w:r>
      <w:r>
        <w:rPr>
          <w:i/>
          <w:iCs/>
          <w:sz w:val="20"/>
          <w:szCs w:val="20"/>
        </w:rPr>
        <w:t>our common stock could be harmed as a result of any of these risks. Investors should also refer to the other information contained or incorporated by reference in our</w:t>
      </w:r>
      <w:r>
        <w:rPr>
          <w:i/>
          <w:iCs/>
          <w:sz w:val="20"/>
          <w:szCs w:val="20"/>
        </w:rPr>
        <w:t xml:space="preserve"> </w:t>
      </w:r>
      <w:hyperlink r:id="rId5" w:history="1">
        <w:r>
          <w:rPr>
            <w:rStyle w:val="a4"/>
            <w:i/>
            <w:iCs/>
            <w:sz w:val="20"/>
            <w:szCs w:val="20"/>
          </w:rPr>
          <w:t>Annual Report on Form 10-K for the year ended December 31, 2019 filed on February 25, 2020,</w:t>
        </w:r>
      </w:hyperlink>
      <w:r>
        <w:rPr>
          <w:i/>
          <w:iCs/>
          <w:sz w:val="20"/>
          <w:szCs w:val="20"/>
        </w:rPr>
        <w:t xml:space="preserve"> including our financial statements and related notes, and our other filings from time to time with the Securities and Exchange Commiss</w:t>
      </w:r>
      <w:r>
        <w:rPr>
          <w:i/>
          <w:iCs/>
          <w:sz w:val="20"/>
          <w:szCs w:val="20"/>
        </w:rPr>
        <w:t>ion or SEC.</w:t>
      </w:r>
    </w:p>
    <w:p w:rsidR="00000000" w:rsidRDefault="00FF2C06">
      <w:pPr>
        <w:pStyle w:val="a3"/>
        <w:spacing w:before="0" w:beforeAutospacing="0" w:after="200" w:afterAutospacing="0"/>
        <w:ind w:firstLine="547"/>
        <w:jc w:val="both"/>
        <w:divId w:val="1380670210"/>
        <w:rPr>
          <w:sz w:val="20"/>
          <w:szCs w:val="20"/>
        </w:rPr>
      </w:pPr>
      <w:r>
        <w:rPr>
          <w:i/>
          <w:iCs/>
          <w:sz w:val="20"/>
          <w:szCs w:val="20"/>
        </w:rPr>
        <w:t>We have marked with an asterisk (*) those risk factors below that reflect a substantive change from the risk factors included in our Annual Report on Form 10-K filed with the SEC on February 25, 2020.</w:t>
      </w:r>
    </w:p>
    <w:p w:rsidR="00000000" w:rsidRDefault="00FF2C06">
      <w:pPr>
        <w:pStyle w:val="a3"/>
        <w:spacing w:before="0" w:beforeAutospacing="0" w:after="200" w:afterAutospacing="0"/>
        <w:divId w:val="1380670210"/>
        <w:rPr>
          <w:sz w:val="20"/>
          <w:szCs w:val="20"/>
        </w:rPr>
      </w:pPr>
      <w:r>
        <w:rPr>
          <w:b/>
          <w:bCs/>
          <w:sz w:val="20"/>
          <w:szCs w:val="20"/>
        </w:rPr>
        <w:t>Risks Related to Our Business</w:t>
      </w:r>
    </w:p>
    <w:p w:rsidR="00000000" w:rsidRDefault="00FF2C06">
      <w:pPr>
        <w:pStyle w:val="a3"/>
        <w:spacing w:before="0" w:beforeAutospacing="0" w:after="200" w:afterAutospacing="0"/>
        <w:ind w:firstLine="547"/>
        <w:divId w:val="1380670210"/>
        <w:rPr>
          <w:sz w:val="20"/>
          <w:szCs w:val="20"/>
        </w:rPr>
      </w:pPr>
      <w:r>
        <w:rPr>
          <w:b/>
          <w:bCs/>
          <w:i/>
          <w:iCs/>
          <w:sz w:val="20"/>
          <w:szCs w:val="20"/>
        </w:rPr>
        <w:t>We have a history of operating losses; we expect to continue to incur losses and we may never be profitable.*</w:t>
      </w:r>
    </w:p>
    <w:p w:rsidR="00000000" w:rsidRDefault="00FF2C06">
      <w:pPr>
        <w:pStyle w:val="a3"/>
        <w:spacing w:before="0" w:beforeAutospacing="0" w:after="200" w:afterAutospacing="0"/>
        <w:ind w:firstLine="547"/>
        <w:divId w:val="1380670210"/>
        <w:rPr>
          <w:sz w:val="20"/>
          <w:szCs w:val="20"/>
        </w:rPr>
      </w:pPr>
      <w:r>
        <w:rPr>
          <w:sz w:val="20"/>
          <w:szCs w:val="20"/>
        </w:rPr>
        <w:t xml:space="preserve">We are a clinical-stage biotechnology company focused on the development and commercialization of novel cancer immunotherapy products designed to </w:t>
      </w:r>
      <w:r>
        <w:rPr>
          <w:sz w:val="20"/>
          <w:szCs w:val="20"/>
        </w:rPr>
        <w:t>harness the power of a patient's own immune system to eradicate cancer. We do not have products approved for commercial sale and have not generated revenue from operations. As of September 30, 2020, we had an accumulated deficit of $761.8 million. In addit</w:t>
      </w:r>
      <w:r>
        <w:rPr>
          <w:sz w:val="20"/>
          <w:szCs w:val="20"/>
        </w:rPr>
        <w:t xml:space="preserve">ion, during the nine months ended September 30, 2020, we incurred a net loss of $191.2 million. Since our inception we have not generated any revenues from operations. We are preparing for the commercial launch of our products, if approved, in 2021. We do </w:t>
      </w:r>
      <w:r>
        <w:rPr>
          <w:sz w:val="20"/>
          <w:szCs w:val="20"/>
        </w:rPr>
        <w:t>not expect to generate any meaningful product sales or royalty revenues until we have a product approved. We expect to incur significant additional operating losses in the future as we expand our development and clinical trial activities in support of demo</w:t>
      </w:r>
      <w:r>
        <w:rPr>
          <w:sz w:val="20"/>
          <w:szCs w:val="20"/>
        </w:rPr>
        <w:t>nstrating the effectiveness of our products.</w:t>
      </w:r>
    </w:p>
    <w:p w:rsidR="00000000" w:rsidRDefault="00FF2C06">
      <w:pPr>
        <w:pStyle w:val="a3"/>
        <w:spacing w:before="480" w:beforeAutospacing="0" w:after="0" w:afterAutospacing="0"/>
        <w:jc w:val="center"/>
        <w:divId w:val="59407983"/>
        <w:rPr>
          <w:sz w:val="20"/>
          <w:szCs w:val="20"/>
        </w:rPr>
      </w:pPr>
      <w:r>
        <w:rPr>
          <w:sz w:val="20"/>
          <w:szCs w:val="20"/>
        </w:rPr>
        <w:t>36</w:t>
      </w:r>
    </w:p>
    <w:p w:rsidR="00000000" w:rsidRDefault="00FF2C06">
      <w:pPr>
        <w:pStyle w:val="a3"/>
        <w:spacing w:before="0" w:beforeAutospacing="0" w:after="600" w:afterAutospacing="0"/>
        <w:divId w:val="1540511474"/>
        <w:rPr>
          <w:sz w:val="20"/>
          <w:szCs w:val="20"/>
        </w:rPr>
      </w:pPr>
      <w:hyperlink w:anchor="TOC" w:history="1">
        <w:r>
          <w:rPr>
            <w:rStyle w:val="a4"/>
            <w:sz w:val="20"/>
            <w:szCs w:val="20"/>
          </w:rPr>
          <w:t>Table of Contents</w:t>
        </w:r>
      </w:hyperlink>
    </w:p>
    <w:p w:rsidR="00000000" w:rsidRDefault="00FF2C06">
      <w:pPr>
        <w:pStyle w:val="a3"/>
        <w:spacing w:before="0" w:beforeAutospacing="0" w:after="200" w:afterAutospacing="0"/>
        <w:ind w:firstLine="547"/>
        <w:divId w:val="295992806"/>
        <w:rPr>
          <w:sz w:val="20"/>
          <w:szCs w:val="20"/>
        </w:rPr>
      </w:pPr>
      <w:r>
        <w:rPr>
          <w:sz w:val="20"/>
          <w:szCs w:val="20"/>
        </w:rPr>
        <w:t>Our ability to achieve long-term profitability is dependent upon obtaining regulatory approvals for our products and successfully commercializing our products alone</w:t>
      </w:r>
      <w:r>
        <w:rPr>
          <w:sz w:val="20"/>
          <w:szCs w:val="20"/>
        </w:rPr>
        <w:t xml:space="preserve"> or with third parties. However, our operations may not be profitable even if any of our products under development are successfully developed and produced and thereafter commercialized.</w:t>
      </w:r>
    </w:p>
    <w:p w:rsidR="00000000" w:rsidRDefault="00FF2C06">
      <w:pPr>
        <w:pStyle w:val="a3"/>
        <w:spacing w:before="0" w:beforeAutospacing="0" w:after="200" w:afterAutospacing="0"/>
        <w:ind w:firstLine="547"/>
        <w:divId w:val="295992806"/>
        <w:rPr>
          <w:sz w:val="20"/>
          <w:szCs w:val="20"/>
        </w:rPr>
      </w:pPr>
      <w:r>
        <w:rPr>
          <w:b/>
          <w:bCs/>
          <w:i/>
          <w:iCs/>
          <w:sz w:val="20"/>
          <w:szCs w:val="20"/>
        </w:rPr>
        <w:t>Our current line of business, and the biotechnology industry in which</w:t>
      </w:r>
      <w:r>
        <w:rPr>
          <w:b/>
          <w:bCs/>
          <w:i/>
          <w:iCs/>
          <w:sz w:val="20"/>
          <w:szCs w:val="20"/>
        </w:rPr>
        <w:t xml:space="preserve"> we operate, makes it difficult to evaluate our business plan and our prospects.</w:t>
      </w:r>
    </w:p>
    <w:p w:rsidR="00000000" w:rsidRDefault="00FF2C06">
      <w:pPr>
        <w:pStyle w:val="a3"/>
        <w:spacing w:before="0" w:beforeAutospacing="0" w:after="200" w:afterAutospacing="0"/>
        <w:ind w:firstLine="547"/>
        <w:divId w:val="295992806"/>
        <w:rPr>
          <w:sz w:val="20"/>
          <w:szCs w:val="20"/>
        </w:rPr>
      </w:pPr>
      <w:r>
        <w:rPr>
          <w:sz w:val="20"/>
          <w:szCs w:val="20"/>
        </w:rPr>
        <w:t>We have only a limited operating history in our current line of business on which a decision to invest in our company can be based. The future of our company currently is depe</w:t>
      </w:r>
      <w:r>
        <w:rPr>
          <w:sz w:val="20"/>
          <w:szCs w:val="20"/>
        </w:rPr>
        <w:t>ndent upon our ability to implement our business plan, as that business plan may be modified from time to time by our management and Board of Directors. While we believe that we have a reasonable business plan and research and development strategy, we have</w:t>
      </w:r>
      <w:r>
        <w:rPr>
          <w:sz w:val="20"/>
          <w:szCs w:val="20"/>
        </w:rPr>
        <w:t xml:space="preserve"> only a limited operating history against which we can test our plans and assumptions, and investors therefore cannot evaluate the likelihood of our success.</w:t>
      </w:r>
    </w:p>
    <w:p w:rsidR="00000000" w:rsidRDefault="00FF2C06">
      <w:pPr>
        <w:pStyle w:val="a3"/>
        <w:spacing w:before="0" w:beforeAutospacing="0" w:after="200" w:afterAutospacing="0"/>
        <w:ind w:firstLine="547"/>
        <w:divId w:val="295992806"/>
        <w:rPr>
          <w:sz w:val="20"/>
          <w:szCs w:val="20"/>
        </w:rPr>
      </w:pPr>
      <w:r>
        <w:rPr>
          <w:sz w:val="20"/>
          <w:szCs w:val="20"/>
        </w:rPr>
        <w:t xml:space="preserve">We face the problems, expenses, difficulties, complications and delays normally associated with a </w:t>
      </w:r>
      <w:r>
        <w:rPr>
          <w:sz w:val="20"/>
          <w:szCs w:val="20"/>
        </w:rPr>
        <w:t>pre-commercial biotechnology company, many of which are beyond our control. Accordingly, our prospects should be considered in light of the risks, expenses and difficulties frequently encountered in the establishment of a new business developing technologi</w:t>
      </w:r>
      <w:r>
        <w:rPr>
          <w:sz w:val="20"/>
          <w:szCs w:val="20"/>
        </w:rPr>
        <w:t>es in an industry that is characterized by a number of market entrants and intense competition. Because of our size and limited resources, we may not possess the ability to successfully overcome many of the risks and uncertainties frequently encountered by</w:t>
      </w:r>
      <w:r>
        <w:rPr>
          <w:sz w:val="20"/>
          <w:szCs w:val="20"/>
        </w:rPr>
        <w:t xml:space="preserve"> pre-commercial companies involved in the rapidly evolving field of immunotherapy. If our research and development efforts are successful, we may also face the risks associated with the shift from development to commercialization of new products based on i</w:t>
      </w:r>
      <w:r>
        <w:rPr>
          <w:sz w:val="20"/>
          <w:szCs w:val="20"/>
        </w:rPr>
        <w:t>nnovative technologies. There can be no assurance that we will be successful in developing our business.</w:t>
      </w:r>
    </w:p>
    <w:p w:rsidR="00000000" w:rsidRDefault="00FF2C06">
      <w:pPr>
        <w:pStyle w:val="a3"/>
        <w:spacing w:before="0" w:beforeAutospacing="0" w:after="200" w:afterAutospacing="0"/>
        <w:ind w:firstLine="547"/>
        <w:divId w:val="295992806"/>
        <w:rPr>
          <w:sz w:val="20"/>
          <w:szCs w:val="20"/>
        </w:rPr>
      </w:pPr>
      <w:r>
        <w:rPr>
          <w:b/>
          <w:bCs/>
          <w:i/>
          <w:iCs/>
          <w:sz w:val="20"/>
          <w:szCs w:val="20"/>
        </w:rPr>
        <w:t>We are substantially dependent on the success of our product candidates and cannot guarantee that these product candidates will successfully complete d</w:t>
      </w:r>
      <w:r>
        <w:rPr>
          <w:b/>
          <w:bCs/>
          <w:i/>
          <w:iCs/>
          <w:sz w:val="20"/>
          <w:szCs w:val="20"/>
        </w:rPr>
        <w:t>evelopment, receive regulatory approval, or be successfully commercialized.*</w:t>
      </w:r>
    </w:p>
    <w:p w:rsidR="00000000" w:rsidRDefault="00FF2C06">
      <w:pPr>
        <w:pStyle w:val="a3"/>
        <w:spacing w:before="0" w:beforeAutospacing="0" w:after="200" w:afterAutospacing="0"/>
        <w:ind w:firstLine="547"/>
        <w:divId w:val="295992806"/>
        <w:rPr>
          <w:sz w:val="20"/>
          <w:szCs w:val="20"/>
        </w:rPr>
      </w:pPr>
      <w:r>
        <w:rPr>
          <w:sz w:val="20"/>
          <w:szCs w:val="20"/>
        </w:rPr>
        <w:t>We currently have no products approved for commercial sale. We have invested a significant portion of our efforts and financial resources in the development of our current product</w:t>
      </w:r>
      <w:r>
        <w:rPr>
          <w:sz w:val="20"/>
          <w:szCs w:val="20"/>
        </w:rPr>
        <w:t xml:space="preserve"> candidates, including lifileucel, LN-145, IOV-2001, and IOV-3001, and expect that we will continue to invest heavily in our current product candidates, as well as in any future product candidates we may develop. Our business depends entirely on the succes</w:t>
      </w:r>
      <w:r>
        <w:rPr>
          <w:sz w:val="20"/>
          <w:szCs w:val="20"/>
        </w:rPr>
        <w:t>sful development and commercialization of our product candidates, which may never occur. Our ability to generate revenues in the future is substantially dependent on our ability to develop, obtain regulatory approval for, and then successfully commercializ</w:t>
      </w:r>
      <w:r>
        <w:rPr>
          <w:sz w:val="20"/>
          <w:szCs w:val="20"/>
        </w:rPr>
        <w:t>e our product candidates. We currently generate no revenue from the sale of any products, and we may never be able to develop or commercialize a marketable product.</w:t>
      </w:r>
    </w:p>
    <w:p w:rsidR="00000000" w:rsidRDefault="00FF2C06">
      <w:pPr>
        <w:pStyle w:val="a3"/>
        <w:spacing w:before="0" w:beforeAutospacing="0" w:after="200" w:afterAutospacing="0"/>
        <w:ind w:firstLine="547"/>
        <w:divId w:val="295992806"/>
        <w:rPr>
          <w:sz w:val="20"/>
          <w:szCs w:val="20"/>
        </w:rPr>
      </w:pPr>
      <w:r>
        <w:rPr>
          <w:sz w:val="20"/>
          <w:szCs w:val="20"/>
        </w:rPr>
        <w:t>Our product candidates will require additional clinical and non-clinical development, regul</w:t>
      </w:r>
      <w:r>
        <w:rPr>
          <w:sz w:val="20"/>
          <w:szCs w:val="20"/>
        </w:rPr>
        <w:t>atory approval, commercial manufacturing arrangements, establishment of a commercial organization, significant marketing efforts, and further investment before we generate any revenue from product sales. We cannot assure you that we will meet our timelines</w:t>
      </w:r>
      <w:r>
        <w:rPr>
          <w:sz w:val="20"/>
          <w:szCs w:val="20"/>
        </w:rPr>
        <w:t xml:space="preserve"> for our current or future clinical trials, which may be delayed or not completed for a number of reasons, including the negative impact of the COVID-19 Pandemic.</w:t>
      </w:r>
    </w:p>
    <w:p w:rsidR="00000000" w:rsidRDefault="00FF2C06">
      <w:pPr>
        <w:pStyle w:val="a3"/>
        <w:spacing w:before="0" w:beforeAutospacing="0" w:after="200" w:afterAutospacing="0"/>
        <w:ind w:firstLine="547"/>
        <w:divId w:val="295992806"/>
        <w:rPr>
          <w:sz w:val="20"/>
          <w:szCs w:val="20"/>
        </w:rPr>
      </w:pPr>
      <w:r>
        <w:rPr>
          <w:sz w:val="20"/>
          <w:szCs w:val="20"/>
        </w:rPr>
        <w:t>We are not permitted to market or promote any of our product candidates before we receive reg</w:t>
      </w:r>
      <w:r>
        <w:rPr>
          <w:sz w:val="20"/>
          <w:szCs w:val="20"/>
        </w:rPr>
        <w:t xml:space="preserve">ulatory approval from the FDA or comparable foreign regulatory authorities, and we may never receive such regulatory approval for any of our product candidates or regulatory approval that will allow us to successfully commercialize our product candidates. </w:t>
      </w:r>
      <w:r>
        <w:rPr>
          <w:sz w:val="20"/>
          <w:szCs w:val="20"/>
        </w:rPr>
        <w:t>If we do not receive FDA approval with the necessary conditions to allow successful commercialization, and then successfully commercialize our product candidates, we will not be able to generate revenue from those product candidates in the United States in</w:t>
      </w:r>
      <w:r>
        <w:rPr>
          <w:sz w:val="20"/>
          <w:szCs w:val="20"/>
        </w:rPr>
        <w:t xml:space="preserve"> the foreseeable future, or at all. Any significant delays in obtaining approval for and commercializing our product candidates will have a material adverse impact on our business and financial condition.</w:t>
      </w:r>
    </w:p>
    <w:p w:rsidR="00000000" w:rsidRDefault="00FF2C06">
      <w:pPr>
        <w:pStyle w:val="a3"/>
        <w:spacing w:before="0" w:beforeAutospacing="0" w:after="200" w:afterAutospacing="0"/>
        <w:ind w:firstLine="547"/>
        <w:divId w:val="295992806"/>
        <w:rPr>
          <w:sz w:val="20"/>
          <w:szCs w:val="20"/>
        </w:rPr>
      </w:pPr>
      <w:r>
        <w:rPr>
          <w:sz w:val="20"/>
          <w:szCs w:val="20"/>
        </w:rPr>
        <w:t>We have not previously submitted a Biologics Licens</w:t>
      </w:r>
      <w:r>
        <w:rPr>
          <w:sz w:val="20"/>
          <w:szCs w:val="20"/>
        </w:rPr>
        <w:t>e Application, or BLA, to the FDA, or similar marketing application to comparable foreign authorities, for any product candidate, and we cannot be certain that our current or any future product candidates will be successful in clinical trials or receive re</w:t>
      </w:r>
      <w:r>
        <w:rPr>
          <w:sz w:val="20"/>
          <w:szCs w:val="20"/>
        </w:rPr>
        <w:t>gulatory approval. Furthermore, although we do not expect to submit our BLA with comparisons to existing or more established therapies and likewise do not expect FDA to base its determination with respect to product approval on such comparisons, FDA may fa</w:t>
      </w:r>
      <w:r>
        <w:rPr>
          <w:sz w:val="20"/>
          <w:szCs w:val="20"/>
        </w:rPr>
        <w:t>ctor these comparisons into its decision whether to approve our TIL therapies, including lifileucel for metastatic melanoma and metastatic cervical cancer. FDA may also consider its approvals of competing products, which may alter the treatment landscape c</w:t>
      </w:r>
      <w:r>
        <w:rPr>
          <w:sz w:val="20"/>
          <w:szCs w:val="20"/>
        </w:rPr>
        <w:t xml:space="preserve">oncurrently with their review of our BLA filings, and which may lead to changes in FDA’s review requirements that have been previously communicated to us and our interpretation thereof, including changes to requirements for clinical data or clinical study </w:t>
      </w:r>
      <w:r>
        <w:rPr>
          <w:sz w:val="20"/>
          <w:szCs w:val="20"/>
        </w:rPr>
        <w:t>design. Such changes could delay approval or necessitate withdrawal of our BLA filings.</w:t>
      </w:r>
    </w:p>
    <w:p w:rsidR="00000000" w:rsidRDefault="00FF2C06">
      <w:pPr>
        <w:pStyle w:val="a3"/>
        <w:spacing w:before="480" w:beforeAutospacing="0" w:after="0" w:afterAutospacing="0"/>
        <w:jc w:val="center"/>
        <w:divId w:val="2142190493"/>
        <w:rPr>
          <w:sz w:val="20"/>
          <w:szCs w:val="20"/>
        </w:rPr>
      </w:pPr>
      <w:r>
        <w:rPr>
          <w:sz w:val="20"/>
          <w:szCs w:val="20"/>
        </w:rPr>
        <w:t>37</w:t>
      </w:r>
    </w:p>
    <w:p w:rsidR="00000000" w:rsidRDefault="00FF2C06">
      <w:pPr>
        <w:pStyle w:val="a3"/>
        <w:spacing w:before="0" w:beforeAutospacing="0" w:after="600" w:afterAutospacing="0"/>
        <w:divId w:val="511457796"/>
        <w:rPr>
          <w:sz w:val="20"/>
          <w:szCs w:val="20"/>
        </w:rPr>
      </w:pPr>
      <w:hyperlink w:anchor="TOC" w:history="1">
        <w:r>
          <w:rPr>
            <w:rStyle w:val="a4"/>
            <w:sz w:val="20"/>
            <w:szCs w:val="20"/>
          </w:rPr>
          <w:t>Table of Contents</w:t>
        </w:r>
      </w:hyperlink>
    </w:p>
    <w:p w:rsidR="00000000" w:rsidRDefault="00FF2C06">
      <w:pPr>
        <w:pStyle w:val="a3"/>
        <w:spacing w:before="0" w:beforeAutospacing="0" w:after="200" w:afterAutospacing="0"/>
        <w:ind w:firstLine="547"/>
        <w:divId w:val="1516841621"/>
        <w:rPr>
          <w:sz w:val="20"/>
          <w:szCs w:val="20"/>
        </w:rPr>
      </w:pPr>
      <w:r>
        <w:rPr>
          <w:sz w:val="20"/>
          <w:szCs w:val="20"/>
        </w:rPr>
        <w:t>Our product candidates are susceptible to the risks of failure inherent at any stage of product development, including th</w:t>
      </w:r>
      <w:r>
        <w:rPr>
          <w:sz w:val="20"/>
          <w:szCs w:val="20"/>
        </w:rPr>
        <w:t>e appearance of unexpected adverse events or failure to achieve primary endpoints in clinical trials. Further, our product candidates may not receive regulatory approval even if they are successful in clinical trials.</w:t>
      </w:r>
    </w:p>
    <w:p w:rsidR="00000000" w:rsidRDefault="00FF2C06">
      <w:pPr>
        <w:pStyle w:val="a3"/>
        <w:spacing w:before="0" w:beforeAutospacing="0" w:after="200" w:afterAutospacing="0"/>
        <w:ind w:firstLine="547"/>
        <w:divId w:val="1516841621"/>
        <w:rPr>
          <w:sz w:val="20"/>
          <w:szCs w:val="20"/>
        </w:rPr>
      </w:pPr>
      <w:r>
        <w:rPr>
          <w:sz w:val="20"/>
          <w:szCs w:val="20"/>
        </w:rPr>
        <w:t>If approved for marketing by applicabl</w:t>
      </w:r>
      <w:r>
        <w:rPr>
          <w:sz w:val="20"/>
          <w:szCs w:val="20"/>
        </w:rPr>
        <w:t>e regulatory authorities, our ability to generate revenues from our product candidates will depend on our ability to:</w:t>
      </w:r>
    </w:p>
    <w:p w:rsidR="00000000" w:rsidRDefault="00FF2C06">
      <w:pPr>
        <w:ind w:left="547" w:hanging="360"/>
        <w:divId w:val="1292008041"/>
        <w:rPr>
          <w:rFonts w:eastAsia="Times New Roman"/>
          <w:sz w:val="20"/>
          <w:szCs w:val="20"/>
        </w:rPr>
      </w:pPr>
      <w:r>
        <w:rPr>
          <w:rFonts w:eastAsia="Times New Roman"/>
          <w:sz w:val="20"/>
          <w:szCs w:val="20"/>
        </w:rPr>
        <w:t>●</w:t>
      </w:r>
      <w:r>
        <w:rPr>
          <w:rFonts w:eastAsia="Times New Roman"/>
          <w:sz w:val="20"/>
          <w:szCs w:val="20"/>
        </w:rPr>
        <w:t>price our product candidates competitively such that third-party and government reimbursement leads to broad product adoption;</w:t>
      </w:r>
    </w:p>
    <w:p w:rsidR="00000000" w:rsidRDefault="00FF2C06">
      <w:pPr>
        <w:ind w:left="547" w:hanging="360"/>
        <w:divId w:val="1127045663"/>
        <w:rPr>
          <w:rFonts w:eastAsia="Times New Roman"/>
          <w:sz w:val="20"/>
          <w:szCs w:val="20"/>
        </w:rPr>
      </w:pPr>
      <w:r>
        <w:rPr>
          <w:rFonts w:eastAsia="Times New Roman"/>
          <w:sz w:val="20"/>
          <w:szCs w:val="20"/>
        </w:rPr>
        <w:t>●</w:t>
      </w:r>
      <w:r>
        <w:rPr>
          <w:rFonts w:eastAsia="Times New Roman"/>
          <w:sz w:val="20"/>
          <w:szCs w:val="20"/>
        </w:rPr>
        <w:t>prepare a broad network of clinical sites for administration of our product;</w:t>
      </w:r>
    </w:p>
    <w:p w:rsidR="00000000" w:rsidRDefault="00FF2C06">
      <w:pPr>
        <w:ind w:left="547" w:hanging="360"/>
        <w:divId w:val="1847749226"/>
        <w:rPr>
          <w:rFonts w:eastAsia="Times New Roman"/>
          <w:sz w:val="20"/>
          <w:szCs w:val="20"/>
        </w:rPr>
      </w:pPr>
      <w:r>
        <w:rPr>
          <w:rFonts w:eastAsia="Times New Roman"/>
          <w:sz w:val="20"/>
          <w:szCs w:val="20"/>
        </w:rPr>
        <w:t>●</w:t>
      </w:r>
      <w:r>
        <w:rPr>
          <w:rFonts w:eastAsia="Times New Roman"/>
          <w:sz w:val="20"/>
          <w:szCs w:val="20"/>
        </w:rPr>
        <w:t>create market demand for our product candidates th</w:t>
      </w:r>
      <w:r>
        <w:rPr>
          <w:rFonts w:eastAsia="Times New Roman"/>
          <w:sz w:val="20"/>
          <w:szCs w:val="20"/>
        </w:rPr>
        <w:t>rough our own marketing and sales activities, and any other arrangements to promote these product candidates that we may otherwise establish;</w:t>
      </w:r>
    </w:p>
    <w:p w:rsidR="00000000" w:rsidRDefault="00FF2C06">
      <w:pPr>
        <w:ind w:left="547" w:hanging="360"/>
        <w:divId w:val="235819676"/>
        <w:rPr>
          <w:rFonts w:eastAsia="Times New Roman"/>
          <w:sz w:val="20"/>
          <w:szCs w:val="20"/>
        </w:rPr>
      </w:pPr>
      <w:r>
        <w:rPr>
          <w:rFonts w:eastAsia="Times New Roman"/>
          <w:sz w:val="20"/>
          <w:szCs w:val="20"/>
        </w:rPr>
        <w:t>●</w:t>
      </w:r>
      <w:r>
        <w:rPr>
          <w:rFonts w:eastAsia="Times New Roman"/>
          <w:sz w:val="20"/>
          <w:szCs w:val="20"/>
        </w:rPr>
        <w:t>receive regulatory approval for the targeted patient population(s) and claims that are necessary or desirable for</w:t>
      </w:r>
      <w:r>
        <w:rPr>
          <w:rFonts w:eastAsia="Times New Roman"/>
          <w:sz w:val="20"/>
          <w:szCs w:val="20"/>
        </w:rPr>
        <w:t xml:space="preserve"> successful marketing;</w:t>
      </w:r>
    </w:p>
    <w:p w:rsidR="00000000" w:rsidRDefault="00FF2C06">
      <w:pPr>
        <w:ind w:left="547" w:hanging="360"/>
        <w:divId w:val="1532065535"/>
        <w:rPr>
          <w:rFonts w:eastAsia="Times New Roman"/>
          <w:sz w:val="20"/>
          <w:szCs w:val="20"/>
        </w:rPr>
      </w:pPr>
      <w:r>
        <w:rPr>
          <w:rFonts w:eastAsia="Times New Roman"/>
          <w:sz w:val="20"/>
          <w:szCs w:val="20"/>
        </w:rPr>
        <w:t>●</w:t>
      </w:r>
      <w:r>
        <w:rPr>
          <w:rFonts w:eastAsia="Times New Roman"/>
          <w:sz w:val="20"/>
          <w:szCs w:val="20"/>
        </w:rPr>
        <w:t>effectively commercialize our products;</w:t>
      </w:r>
    </w:p>
    <w:p w:rsidR="00000000" w:rsidRDefault="00FF2C06">
      <w:pPr>
        <w:ind w:left="547" w:hanging="360"/>
        <w:divId w:val="1245870957"/>
        <w:rPr>
          <w:rFonts w:eastAsia="Times New Roman"/>
          <w:sz w:val="20"/>
          <w:szCs w:val="20"/>
        </w:rPr>
      </w:pPr>
      <w:r>
        <w:rPr>
          <w:rFonts w:eastAsia="Times New Roman"/>
          <w:sz w:val="20"/>
          <w:szCs w:val="20"/>
        </w:rPr>
        <w:t>●</w:t>
      </w:r>
      <w:r>
        <w:rPr>
          <w:rFonts w:eastAsia="Times New Roman"/>
          <w:sz w:val="20"/>
          <w:szCs w:val="20"/>
        </w:rPr>
        <w:t xml:space="preserve">manufacture product candidates through CMOs or in our own manufacturing facility in sufficient quantities and at acceptable quality and manufacturing cost to meet commercial demand at launch </w:t>
      </w:r>
      <w:r>
        <w:rPr>
          <w:rFonts w:eastAsia="Times New Roman"/>
          <w:sz w:val="20"/>
          <w:szCs w:val="20"/>
        </w:rPr>
        <w:t>and thereafter;</w:t>
      </w:r>
    </w:p>
    <w:p w:rsidR="00000000" w:rsidRDefault="00FF2C06">
      <w:pPr>
        <w:ind w:left="547" w:hanging="360"/>
        <w:divId w:val="663121210"/>
        <w:rPr>
          <w:rFonts w:eastAsia="Times New Roman"/>
          <w:sz w:val="20"/>
          <w:szCs w:val="20"/>
        </w:rPr>
      </w:pPr>
      <w:r>
        <w:rPr>
          <w:rFonts w:eastAsia="Times New Roman"/>
          <w:sz w:val="20"/>
          <w:szCs w:val="20"/>
        </w:rPr>
        <w:t>●</w:t>
      </w:r>
      <w:r>
        <w:rPr>
          <w:rFonts w:eastAsia="Times New Roman"/>
          <w:sz w:val="20"/>
          <w:szCs w:val="20"/>
        </w:rPr>
        <w:t>establish and maintain agreements with wholesalers, distributors, pharmacies, and group purchasing organizations on commercially reasonable terms;</w:t>
      </w:r>
    </w:p>
    <w:p w:rsidR="00000000" w:rsidRDefault="00FF2C06">
      <w:pPr>
        <w:ind w:left="547" w:hanging="360"/>
        <w:divId w:val="1889340398"/>
        <w:rPr>
          <w:rFonts w:eastAsia="Times New Roman"/>
          <w:sz w:val="20"/>
          <w:szCs w:val="20"/>
        </w:rPr>
      </w:pPr>
      <w:r>
        <w:rPr>
          <w:rFonts w:eastAsia="Times New Roman"/>
          <w:sz w:val="20"/>
          <w:szCs w:val="20"/>
        </w:rPr>
        <w:t>●</w:t>
      </w:r>
      <w:r>
        <w:rPr>
          <w:rFonts w:eastAsia="Times New Roman"/>
          <w:sz w:val="20"/>
          <w:szCs w:val="20"/>
        </w:rPr>
        <w:t>maintain patent and trade secret protection and regulatory exclusivity for our product cand</w:t>
      </w:r>
      <w:r>
        <w:rPr>
          <w:rFonts w:eastAsia="Times New Roman"/>
          <w:sz w:val="20"/>
          <w:szCs w:val="20"/>
        </w:rPr>
        <w:t>idates;</w:t>
      </w:r>
    </w:p>
    <w:p w:rsidR="00000000" w:rsidRDefault="00FF2C06">
      <w:pPr>
        <w:ind w:left="547" w:hanging="360"/>
        <w:divId w:val="993531000"/>
        <w:rPr>
          <w:rFonts w:eastAsia="Times New Roman"/>
          <w:sz w:val="20"/>
          <w:szCs w:val="20"/>
        </w:rPr>
      </w:pPr>
      <w:r>
        <w:rPr>
          <w:rFonts w:eastAsia="Times New Roman"/>
          <w:sz w:val="20"/>
          <w:szCs w:val="20"/>
        </w:rPr>
        <w:t>●</w:t>
      </w:r>
      <w:r>
        <w:rPr>
          <w:rFonts w:eastAsia="Times New Roman"/>
          <w:sz w:val="20"/>
          <w:szCs w:val="20"/>
        </w:rPr>
        <w:t>launch commercial sales of our product candidates;</w:t>
      </w:r>
    </w:p>
    <w:p w:rsidR="00000000" w:rsidRDefault="00FF2C06">
      <w:pPr>
        <w:ind w:left="547" w:hanging="360"/>
        <w:divId w:val="1548251971"/>
        <w:rPr>
          <w:rFonts w:eastAsia="Times New Roman"/>
          <w:sz w:val="20"/>
          <w:szCs w:val="20"/>
        </w:rPr>
      </w:pPr>
      <w:r>
        <w:rPr>
          <w:rFonts w:eastAsia="Times New Roman"/>
          <w:sz w:val="20"/>
          <w:szCs w:val="20"/>
        </w:rPr>
        <w:t>●</w:t>
      </w:r>
      <w:r>
        <w:rPr>
          <w:rFonts w:eastAsia="Times New Roman"/>
          <w:sz w:val="20"/>
          <w:szCs w:val="20"/>
        </w:rPr>
        <w:t>maintain compliance with applicable laws, regulations, and guidance specific to commercialization including interactions with health care professionals, patient advocacy groups, and communication</w:t>
      </w:r>
      <w:r>
        <w:rPr>
          <w:rFonts w:eastAsia="Times New Roman"/>
          <w:sz w:val="20"/>
          <w:szCs w:val="20"/>
        </w:rPr>
        <w:t xml:space="preserve"> of health care economic information to payors and formularies;</w:t>
      </w:r>
    </w:p>
    <w:p w:rsidR="00000000" w:rsidRDefault="00FF2C06">
      <w:pPr>
        <w:ind w:left="547" w:hanging="360"/>
        <w:divId w:val="81996999"/>
        <w:rPr>
          <w:rFonts w:eastAsia="Times New Roman"/>
          <w:sz w:val="20"/>
          <w:szCs w:val="20"/>
        </w:rPr>
      </w:pPr>
      <w:r>
        <w:rPr>
          <w:rFonts w:eastAsia="Times New Roman"/>
          <w:sz w:val="20"/>
          <w:szCs w:val="20"/>
        </w:rPr>
        <w:t>●</w:t>
      </w:r>
      <w:r>
        <w:rPr>
          <w:rFonts w:eastAsia="Times New Roman"/>
          <w:sz w:val="20"/>
          <w:szCs w:val="20"/>
        </w:rPr>
        <w:t>achieve market acceptance of our product candidates by patients, the medical community, and third-party payors;</w:t>
      </w:r>
    </w:p>
    <w:p w:rsidR="00000000" w:rsidRDefault="00FF2C06">
      <w:pPr>
        <w:ind w:left="547" w:hanging="360"/>
        <w:divId w:val="1934625620"/>
        <w:rPr>
          <w:rFonts w:eastAsia="Times New Roman"/>
          <w:sz w:val="20"/>
          <w:szCs w:val="20"/>
        </w:rPr>
      </w:pPr>
      <w:r>
        <w:rPr>
          <w:rFonts w:eastAsia="Times New Roman"/>
          <w:sz w:val="20"/>
          <w:szCs w:val="20"/>
        </w:rPr>
        <w:t>●</w:t>
      </w:r>
      <w:r>
        <w:rPr>
          <w:rFonts w:eastAsia="Times New Roman"/>
          <w:sz w:val="20"/>
          <w:szCs w:val="20"/>
        </w:rPr>
        <w:t>achieve appropriate reimbursement for our product candidates;</w:t>
      </w:r>
    </w:p>
    <w:p w:rsidR="00000000" w:rsidRDefault="00FF2C06">
      <w:pPr>
        <w:ind w:left="547" w:hanging="360"/>
        <w:divId w:val="498543167"/>
        <w:rPr>
          <w:rFonts w:eastAsia="Times New Roman"/>
          <w:sz w:val="20"/>
          <w:szCs w:val="20"/>
        </w:rPr>
      </w:pPr>
      <w:r>
        <w:rPr>
          <w:rFonts w:eastAsia="Times New Roman"/>
          <w:sz w:val="20"/>
          <w:szCs w:val="20"/>
        </w:rPr>
        <w:t>●</w:t>
      </w:r>
      <w:r>
        <w:rPr>
          <w:rFonts w:eastAsia="Times New Roman"/>
          <w:sz w:val="20"/>
          <w:szCs w:val="20"/>
        </w:rPr>
        <w:t>maintain a dist</w:t>
      </w:r>
      <w:r>
        <w:rPr>
          <w:rFonts w:eastAsia="Times New Roman"/>
          <w:sz w:val="20"/>
          <w:szCs w:val="20"/>
        </w:rPr>
        <w:t>ribution and logistics network capable of product storage within our specifications and regulatory guidelines, and further capable of timely product delivery to commercial clinical sites;</w:t>
      </w:r>
    </w:p>
    <w:p w:rsidR="00000000" w:rsidRDefault="00FF2C06">
      <w:pPr>
        <w:ind w:left="547" w:hanging="360"/>
        <w:divId w:val="895244771"/>
        <w:rPr>
          <w:rFonts w:eastAsia="Times New Roman"/>
          <w:sz w:val="20"/>
          <w:szCs w:val="20"/>
        </w:rPr>
      </w:pPr>
      <w:r>
        <w:rPr>
          <w:rFonts w:eastAsia="Times New Roman"/>
          <w:sz w:val="20"/>
          <w:szCs w:val="20"/>
        </w:rPr>
        <w:t>●</w:t>
      </w:r>
      <w:r>
        <w:rPr>
          <w:rFonts w:eastAsia="Times New Roman"/>
          <w:sz w:val="20"/>
          <w:szCs w:val="20"/>
        </w:rPr>
        <w:t>effectively compete with other therapies or competitors; and</w:t>
      </w:r>
    </w:p>
    <w:p w:rsidR="00000000" w:rsidRDefault="00FF2C06">
      <w:pPr>
        <w:ind w:left="547" w:hanging="360"/>
        <w:divId w:val="2094546290"/>
        <w:rPr>
          <w:rFonts w:eastAsia="Times New Roman"/>
          <w:sz w:val="20"/>
          <w:szCs w:val="20"/>
        </w:rPr>
      </w:pPr>
      <w:r>
        <w:rPr>
          <w:rFonts w:eastAsia="Times New Roman"/>
          <w:sz w:val="20"/>
          <w:szCs w:val="20"/>
        </w:rPr>
        <w:t>●</w:t>
      </w:r>
      <w:r>
        <w:rPr>
          <w:rFonts w:eastAsia="Times New Roman"/>
          <w:sz w:val="20"/>
          <w:szCs w:val="20"/>
        </w:rPr>
        <w:t>follo</w:t>
      </w:r>
      <w:r>
        <w:rPr>
          <w:rFonts w:eastAsia="Times New Roman"/>
          <w:sz w:val="20"/>
          <w:szCs w:val="20"/>
        </w:rPr>
        <w:t>wing launch, assure that our product will be used as directed and that additional unexpected safety risks will not arise.</w:t>
      </w:r>
    </w:p>
    <w:p w:rsidR="00000000" w:rsidRDefault="00FF2C06">
      <w:pPr>
        <w:pStyle w:val="a3"/>
        <w:spacing w:before="0" w:beforeAutospacing="0" w:after="0" w:afterAutospacing="0"/>
        <w:ind w:firstLine="547"/>
        <w:divId w:val="1516841621"/>
        <w:rPr>
          <w:sz w:val="20"/>
          <w:szCs w:val="20"/>
        </w:rPr>
      </w:pPr>
      <w:r>
        <w:rPr>
          <w:sz w:val="20"/>
          <w:szCs w:val="20"/>
        </w:rPr>
        <w:t>​</w:t>
      </w:r>
    </w:p>
    <w:p w:rsidR="00000000" w:rsidRDefault="00FF2C06">
      <w:pPr>
        <w:pStyle w:val="a3"/>
        <w:spacing w:before="0" w:beforeAutospacing="0" w:after="200" w:afterAutospacing="0"/>
        <w:ind w:firstLine="547"/>
        <w:divId w:val="1516841621"/>
        <w:rPr>
          <w:sz w:val="20"/>
          <w:szCs w:val="20"/>
        </w:rPr>
      </w:pPr>
      <w:r>
        <w:rPr>
          <w:b/>
          <w:bCs/>
          <w:i/>
          <w:iCs/>
          <w:sz w:val="20"/>
          <w:szCs w:val="20"/>
        </w:rPr>
        <w:t>We may face risks due to the need to rely on third parties, including clinical trial sites.*</w:t>
      </w:r>
    </w:p>
    <w:p w:rsidR="00000000" w:rsidRDefault="00FF2C06">
      <w:pPr>
        <w:pStyle w:val="a3"/>
        <w:spacing w:before="0" w:beforeAutospacing="0" w:after="200" w:afterAutospacing="0"/>
        <w:ind w:firstLine="547"/>
        <w:divId w:val="1516841621"/>
        <w:rPr>
          <w:sz w:val="20"/>
          <w:szCs w:val="20"/>
        </w:rPr>
      </w:pPr>
      <w:r>
        <w:rPr>
          <w:sz w:val="20"/>
          <w:szCs w:val="20"/>
        </w:rPr>
        <w:t>We are heavily reliant on third parties</w:t>
      </w:r>
      <w:r>
        <w:rPr>
          <w:sz w:val="20"/>
          <w:szCs w:val="20"/>
        </w:rPr>
        <w:t xml:space="preserve"> to conduct our clinical trials. We have a limited history of conducting clinical trials and have no experience as a company in filing and supporting the applications necessary to gain marketing approvals. Securing marketing approval requires the submissio</w:t>
      </w:r>
      <w:r>
        <w:rPr>
          <w:sz w:val="20"/>
          <w:szCs w:val="20"/>
        </w:rPr>
        <w:t>n of extensive preclinical and clinical data and supporting information to regulatory authorities for each therapeutic indication to establish the product candidate’s safety, purity, and potency for that indication. Securing marketing approval also require</w:t>
      </w:r>
      <w:r>
        <w:rPr>
          <w:sz w:val="20"/>
          <w:szCs w:val="20"/>
        </w:rPr>
        <w:t>s the submission of information about the product manufacturing process to, and inspection of manufacturing facilities and clinical trial sites by, applicable regulatory authorities. Clinical testing is expensive and can take many years to complete, and it</w:t>
      </w:r>
      <w:r>
        <w:rPr>
          <w:sz w:val="20"/>
          <w:szCs w:val="20"/>
        </w:rPr>
        <w:t>s outcome is inherently uncertain. Failure can occur at any time during the clinical trial process. As a result of the COVID-19 Pandemic, institutions and research sites that currently conduct clinical trials may not be able to return to normal clinical tr</w:t>
      </w:r>
      <w:r>
        <w:rPr>
          <w:sz w:val="20"/>
          <w:szCs w:val="20"/>
        </w:rPr>
        <w:t>ial operations for some time, or may no longer choose to participate in studies in the future. As a result, clinical trials may be delayed or otherwise may be more difficult to execute in the future.</w:t>
      </w:r>
    </w:p>
    <w:p w:rsidR="00000000" w:rsidRDefault="00FF2C06">
      <w:pPr>
        <w:pStyle w:val="a3"/>
        <w:spacing w:before="0" w:beforeAutospacing="0" w:after="200" w:afterAutospacing="0"/>
        <w:ind w:firstLine="547"/>
        <w:divId w:val="1516841621"/>
        <w:rPr>
          <w:sz w:val="20"/>
          <w:szCs w:val="20"/>
        </w:rPr>
      </w:pPr>
      <w:r>
        <w:rPr>
          <w:sz w:val="20"/>
          <w:szCs w:val="20"/>
        </w:rPr>
        <w:t>We have recruited a team that has experience with clinic</w:t>
      </w:r>
      <w:r>
        <w:rPr>
          <w:sz w:val="20"/>
          <w:szCs w:val="20"/>
        </w:rPr>
        <w:t xml:space="preserve">al trials and in the development of preclinical assets for translation into clinical trials; however, we as a company have limited experience completing pivotal clinical trials for cell therapy products or developing preclinical immunotherapy products. In </w:t>
      </w:r>
      <w:r>
        <w:rPr>
          <w:sz w:val="20"/>
          <w:szCs w:val="20"/>
        </w:rPr>
        <w:t>part because of this lack of experience, we cannot be certain that our ongoing pivotal clinical trials will be completed on time, if at all, will progress according to our plans or expectations, or that our planned clinical trials will be initiated or init</w:t>
      </w:r>
      <w:r>
        <w:rPr>
          <w:sz w:val="20"/>
          <w:szCs w:val="20"/>
        </w:rPr>
        <w:t>iated in a timely manner, progress according to our plans or expectations, or be completed on time, if they are completed at all.</w:t>
      </w:r>
    </w:p>
    <w:p w:rsidR="00000000" w:rsidRDefault="00FF2C06">
      <w:pPr>
        <w:pStyle w:val="a3"/>
        <w:spacing w:before="0" w:beforeAutospacing="0" w:after="0" w:afterAutospacing="0"/>
        <w:ind w:firstLine="547"/>
        <w:divId w:val="1516841621"/>
        <w:rPr>
          <w:sz w:val="20"/>
          <w:szCs w:val="20"/>
        </w:rPr>
      </w:pPr>
      <w:r>
        <w:rPr>
          <w:sz w:val="20"/>
          <w:szCs w:val="20"/>
        </w:rPr>
        <w:t>Large-scale clinical trials require significant financial and management resources, and reliance on third-party clinical inves</w:t>
      </w:r>
      <w:r>
        <w:rPr>
          <w:sz w:val="20"/>
          <w:szCs w:val="20"/>
        </w:rPr>
        <w:t>tigators, contract research organizations or CROs, contract manufacturing organizations or CMOs, or consultants. Relying on third-party clinical investigators, CROs or CMOs may force us to encounter delays and challenges that are outside of our control. We</w:t>
      </w:r>
      <w:r>
        <w:rPr>
          <w:sz w:val="20"/>
          <w:szCs w:val="20"/>
        </w:rPr>
        <w:t xml:space="preserve"> rely on CMOs in the United States and Europe to manufacture TIL for use in our trials. We may not be able to demonstrate sufficient </w:t>
      </w:r>
    </w:p>
    <w:p w:rsidR="00000000" w:rsidRDefault="00FF2C06">
      <w:pPr>
        <w:pStyle w:val="a3"/>
        <w:spacing w:before="480" w:beforeAutospacing="0" w:after="0" w:afterAutospacing="0"/>
        <w:jc w:val="center"/>
        <w:divId w:val="773552978"/>
        <w:rPr>
          <w:sz w:val="20"/>
          <w:szCs w:val="20"/>
        </w:rPr>
      </w:pPr>
      <w:r>
        <w:rPr>
          <w:sz w:val="20"/>
          <w:szCs w:val="20"/>
        </w:rPr>
        <w:t>38</w:t>
      </w:r>
    </w:p>
    <w:p w:rsidR="00000000" w:rsidRDefault="00FF2C06">
      <w:pPr>
        <w:pStyle w:val="a3"/>
        <w:spacing w:before="0" w:beforeAutospacing="0" w:after="600" w:afterAutospacing="0"/>
        <w:divId w:val="332149736"/>
        <w:rPr>
          <w:sz w:val="20"/>
          <w:szCs w:val="20"/>
        </w:rPr>
      </w:pPr>
      <w:hyperlink w:anchor="TOC" w:history="1">
        <w:r>
          <w:rPr>
            <w:rStyle w:val="a4"/>
            <w:sz w:val="20"/>
            <w:szCs w:val="20"/>
          </w:rPr>
          <w:t>Table of Contents</w:t>
        </w:r>
      </w:hyperlink>
    </w:p>
    <w:p w:rsidR="00000000" w:rsidRDefault="00FF2C06">
      <w:pPr>
        <w:pStyle w:val="a3"/>
        <w:spacing w:before="0" w:beforeAutospacing="0" w:after="200" w:afterAutospacing="0"/>
        <w:divId w:val="1444305891"/>
        <w:rPr>
          <w:sz w:val="20"/>
          <w:szCs w:val="20"/>
        </w:rPr>
      </w:pPr>
      <w:r>
        <w:rPr>
          <w:sz w:val="20"/>
          <w:szCs w:val="20"/>
        </w:rPr>
        <w:t>comparability between products manufactured at different facilities to allo</w:t>
      </w:r>
      <w:r>
        <w:rPr>
          <w:sz w:val="20"/>
          <w:szCs w:val="20"/>
        </w:rPr>
        <w:t>w for inclusion of the clinical results from patients treated with products from these different facilities, in our product registrations. Further, our CMOs may not be able to manufacture TIL or otherwise fulfill their obligations to us because of interrup</w:t>
      </w:r>
      <w:r>
        <w:rPr>
          <w:sz w:val="20"/>
          <w:szCs w:val="20"/>
        </w:rPr>
        <w:t>tions to their business, including the loss of their key staff or interruptions to their raw material supply.</w:t>
      </w:r>
    </w:p>
    <w:p w:rsidR="00000000" w:rsidRDefault="00FF2C06">
      <w:pPr>
        <w:pStyle w:val="a3"/>
        <w:spacing w:before="0" w:beforeAutospacing="0" w:after="200" w:afterAutospacing="0"/>
        <w:ind w:firstLine="547"/>
        <w:divId w:val="1444305891"/>
        <w:rPr>
          <w:sz w:val="20"/>
          <w:szCs w:val="20"/>
        </w:rPr>
      </w:pPr>
      <w:r>
        <w:rPr>
          <w:sz w:val="20"/>
          <w:szCs w:val="20"/>
        </w:rPr>
        <w:t>We rely on third party CROs and clinical trial sites to conduct, supervise, and monitor our clinical trials for our product candidates. We expect to continue to rely on third parties, such as CROs, clinical data management organizations, medical institutio</w:t>
      </w:r>
      <w:r>
        <w:rPr>
          <w:sz w:val="20"/>
          <w:szCs w:val="20"/>
        </w:rPr>
        <w:t>ns, independent review organizations and clinical investigators, to conduct our clinical trials. While we have agreements governing their activities, we have limited influence over their actual performance and control only certain aspects of their activiti</w:t>
      </w:r>
      <w:r>
        <w:rPr>
          <w:sz w:val="20"/>
          <w:szCs w:val="20"/>
        </w:rPr>
        <w:t>es. The failure of these third parties to successfully carry out their contractual duties or meet expected deadlines could substantially harm our business because we may be delayed in completing or unable to complete the clinical trials required to support</w:t>
      </w:r>
      <w:r>
        <w:rPr>
          <w:sz w:val="20"/>
          <w:szCs w:val="20"/>
        </w:rPr>
        <w:t xml:space="preserve"> future approval of our product candidates, or we may not obtain marketing approval for or commercialize our product candidates in a timely manner or at all. Moreover, these agreements might terminate for a variety of reasons, including a failure to perfor</w:t>
      </w:r>
      <w:r>
        <w:rPr>
          <w:sz w:val="20"/>
          <w:szCs w:val="20"/>
        </w:rPr>
        <w:t>m by the third parties. If we need to enter into alternative arrangements, that could delay our product development activities and adversely affect our business.</w:t>
      </w:r>
    </w:p>
    <w:p w:rsidR="00000000" w:rsidRDefault="00FF2C06">
      <w:pPr>
        <w:pStyle w:val="a3"/>
        <w:spacing w:before="0" w:beforeAutospacing="0" w:after="200" w:afterAutospacing="0"/>
        <w:ind w:firstLine="547"/>
        <w:divId w:val="1444305891"/>
        <w:rPr>
          <w:sz w:val="20"/>
          <w:szCs w:val="20"/>
        </w:rPr>
      </w:pPr>
      <w:r>
        <w:rPr>
          <w:sz w:val="20"/>
          <w:szCs w:val="20"/>
        </w:rPr>
        <w:t>Our reliance on these third parties for development activities will reduce our control over th</w:t>
      </w:r>
      <w:r>
        <w:rPr>
          <w:sz w:val="20"/>
          <w:szCs w:val="20"/>
        </w:rPr>
        <w:t xml:space="preserve">ese activities. Nevertheless, we are responsible for ensuring that each of our studies is conducted in accordance with the applicable protocol, legal, regulatory, and scientific standards and our reliance on the CROs, clinical trial sites, and other third </w:t>
      </w:r>
      <w:r>
        <w:rPr>
          <w:sz w:val="20"/>
          <w:szCs w:val="20"/>
        </w:rPr>
        <w:t xml:space="preserve">parties does not relieve us of these responsibilities. For example, we will remain responsible for ensuring that each of our clinical trials is conducted in accordance with the general investigational plan and protocols for the trial and for ensuring that </w:t>
      </w:r>
      <w:r>
        <w:rPr>
          <w:sz w:val="20"/>
          <w:szCs w:val="20"/>
        </w:rPr>
        <w:t xml:space="preserve">our preclinical trials are conducted in accordance with Good Laboratory Practices, or GLPs, as appropriate. Moreover, the FDA and comparable foreign regulatory authorities require us to comply with GCPs for conducting, recording, and reporting the results </w:t>
      </w:r>
      <w:r>
        <w:rPr>
          <w:sz w:val="20"/>
          <w:szCs w:val="20"/>
        </w:rPr>
        <w:t>of clinical trials to assure that data and reported results are credible and accurate and that the rights, integrity, and confidentiality of trial participants are protected. Regulatory authorities enforce these requirements through periodic inspections (i</w:t>
      </w:r>
      <w:r>
        <w:rPr>
          <w:sz w:val="20"/>
          <w:szCs w:val="20"/>
        </w:rPr>
        <w:t>ncluding pre-approval inspections once a BLA is filed with the FDA) of trial sponsors, clinical investigators, trial sites and certain third parties including CMOs. If we, our CROs, clinical trial sites, or other third parties fail to comply with applicabl</w:t>
      </w:r>
      <w:r>
        <w:rPr>
          <w:sz w:val="20"/>
          <w:szCs w:val="20"/>
        </w:rPr>
        <w:t>e GCPs or other regulatory requirements, we or they may be subject to enforcement or other legal actions, the clinical data generated in our clinical trials may be deemed unreliable and the FDA or comparable foreign regulatory authorities may require us to</w:t>
      </w:r>
      <w:r>
        <w:rPr>
          <w:sz w:val="20"/>
          <w:szCs w:val="20"/>
        </w:rPr>
        <w:t xml:space="preserve"> perform additional clinical trials. We cannot assure you that upon inspection by a given regulatory authority, such regulatory authority will determine that any of our clinical trials comply with GCP regulations.</w:t>
      </w:r>
    </w:p>
    <w:p w:rsidR="00000000" w:rsidRDefault="00FF2C06">
      <w:pPr>
        <w:pStyle w:val="a3"/>
        <w:spacing w:before="0" w:beforeAutospacing="0" w:after="200" w:afterAutospacing="0"/>
        <w:ind w:firstLine="547"/>
        <w:divId w:val="1444305891"/>
        <w:rPr>
          <w:sz w:val="20"/>
          <w:szCs w:val="20"/>
        </w:rPr>
      </w:pPr>
      <w:r>
        <w:rPr>
          <w:sz w:val="20"/>
          <w:szCs w:val="20"/>
        </w:rPr>
        <w:t>In addition, we will be required to report</w:t>
      </w:r>
      <w:r>
        <w:rPr>
          <w:sz w:val="20"/>
          <w:szCs w:val="20"/>
        </w:rPr>
        <w:t xml:space="preserve"> certain financial interests of our third-party investigators if these relationships exceed certain financial thresholds or meet other criteria. The FDA or comparable foreign regulatory authorities may question the integrity of the data from those clinical</w:t>
      </w:r>
      <w:r>
        <w:rPr>
          <w:sz w:val="20"/>
          <w:szCs w:val="20"/>
        </w:rPr>
        <w:t xml:space="preserve"> trials conducted by investigators that are determined to have conflicts of interest.</w:t>
      </w:r>
    </w:p>
    <w:p w:rsidR="00000000" w:rsidRDefault="00FF2C06">
      <w:pPr>
        <w:pStyle w:val="a3"/>
        <w:spacing w:before="0" w:beforeAutospacing="0" w:after="200" w:afterAutospacing="0"/>
        <w:ind w:firstLine="547"/>
        <w:divId w:val="1444305891"/>
        <w:rPr>
          <w:sz w:val="20"/>
          <w:szCs w:val="20"/>
        </w:rPr>
      </w:pPr>
      <w:r>
        <w:rPr>
          <w:sz w:val="20"/>
          <w:szCs w:val="20"/>
        </w:rPr>
        <w:t>In addition, our clinical trials must be conducted with product candidates that were produced under cGMP regulations. Our failure to comply or our CMOs’ failure to comply</w:t>
      </w:r>
      <w:r>
        <w:rPr>
          <w:sz w:val="20"/>
          <w:szCs w:val="20"/>
        </w:rPr>
        <w:t xml:space="preserve"> with these regulations may require us to repeat clinical trials, which would delay the regulatory approval process. We also are required to register certain clinical trials and post the results of certain completed clinical trials on a government sponsore</w:t>
      </w:r>
      <w:r>
        <w:rPr>
          <w:sz w:val="20"/>
          <w:szCs w:val="20"/>
        </w:rPr>
        <w:t>d database, ClinicalTrials.gov, within specified timeframes. Failure to do so could result in enforcement actions and adverse publicity.</w:t>
      </w:r>
    </w:p>
    <w:p w:rsidR="00000000" w:rsidRDefault="00FF2C06">
      <w:pPr>
        <w:pStyle w:val="a3"/>
        <w:spacing w:before="0" w:beforeAutospacing="0" w:after="200" w:afterAutospacing="0"/>
        <w:ind w:firstLine="547"/>
        <w:divId w:val="1444305891"/>
        <w:rPr>
          <w:sz w:val="20"/>
          <w:szCs w:val="20"/>
        </w:rPr>
      </w:pPr>
      <w:r>
        <w:rPr>
          <w:sz w:val="20"/>
          <w:szCs w:val="20"/>
        </w:rPr>
        <w:t xml:space="preserve">Our CROs, clinical trial sites, and other third parties may also have relationships with other entities, some of which </w:t>
      </w:r>
      <w:r>
        <w:rPr>
          <w:sz w:val="20"/>
          <w:szCs w:val="20"/>
        </w:rPr>
        <w:t xml:space="preserve">may be our competitors, for whom they may also be conducting clinical trials or other therapeutic development activities that could harm our competitive position. In addition, these third parties are not our employees, and except for remedies available to </w:t>
      </w:r>
      <w:r>
        <w:rPr>
          <w:sz w:val="20"/>
          <w:szCs w:val="20"/>
        </w:rPr>
        <w:t>us under our agreements with them, we cannot control whether or not they devote sufficient time and resources to our ongoing clinical, non-clinical, and preclinical programs. If these third parties do not successfully carry out their contractual duties, me</w:t>
      </w:r>
      <w:r>
        <w:rPr>
          <w:sz w:val="20"/>
          <w:szCs w:val="20"/>
        </w:rPr>
        <w:t>et expected deadlines or conduct our clinical trials in accordance with regulatory requirements or our stated protocols, if they need to be replaced or if the quality or accuracy of the data they obtain is compromised due to the failure to adhere to our pr</w:t>
      </w:r>
      <w:r>
        <w:rPr>
          <w:sz w:val="20"/>
          <w:szCs w:val="20"/>
        </w:rPr>
        <w:t>otocols, regulatory requirements or for other reasons, our trials may be repeated, extended, delayed, or terminated and we may not be able to obtain, or may be delayed in obtaining, marketing approvals for our product candidates and will not be able to, or</w:t>
      </w:r>
      <w:r>
        <w:rPr>
          <w:sz w:val="20"/>
          <w:szCs w:val="20"/>
        </w:rPr>
        <w:t xml:space="preserve"> may be delayed in our efforts to, successfully commercialize our product candidates, or we or they may be subject to regulatory enforcement actions. As a result, our results of operations and the commercial prospects for our product candidates would be ha</w:t>
      </w:r>
      <w:r>
        <w:rPr>
          <w:sz w:val="20"/>
          <w:szCs w:val="20"/>
        </w:rPr>
        <w:t>rmed, our costs could increase and our ability to generate revenues could be delayed. To the extent we are unable to successfully identify and manage the performance of third party service providers in the future, our business may be materially and adverse</w:t>
      </w:r>
      <w:r>
        <w:rPr>
          <w:sz w:val="20"/>
          <w:szCs w:val="20"/>
        </w:rPr>
        <w:t>ly affected.</w:t>
      </w:r>
    </w:p>
    <w:p w:rsidR="00000000" w:rsidRDefault="00FF2C06">
      <w:pPr>
        <w:pStyle w:val="a3"/>
        <w:spacing w:before="0" w:beforeAutospacing="0" w:after="0" w:afterAutospacing="0"/>
        <w:ind w:firstLine="547"/>
        <w:divId w:val="1444305891"/>
        <w:rPr>
          <w:sz w:val="20"/>
          <w:szCs w:val="20"/>
        </w:rPr>
      </w:pPr>
      <w:r>
        <w:rPr>
          <w:sz w:val="20"/>
          <w:szCs w:val="20"/>
        </w:rPr>
        <w:t>If any of our relationships with these third parties terminate, we may not be able to enter into alternative arrangements or do so on commercially reasonable terms. Switching or adding additional contractors involves additional cost and requir</w:t>
      </w:r>
      <w:r>
        <w:rPr>
          <w:sz w:val="20"/>
          <w:szCs w:val="20"/>
        </w:rPr>
        <w:t xml:space="preserve">es management time </w:t>
      </w:r>
    </w:p>
    <w:p w:rsidR="00000000" w:rsidRDefault="00FF2C06">
      <w:pPr>
        <w:pStyle w:val="a3"/>
        <w:spacing w:before="480" w:beforeAutospacing="0" w:after="0" w:afterAutospacing="0"/>
        <w:jc w:val="center"/>
        <w:divId w:val="1060249161"/>
        <w:rPr>
          <w:sz w:val="20"/>
          <w:szCs w:val="20"/>
        </w:rPr>
      </w:pPr>
      <w:r>
        <w:rPr>
          <w:sz w:val="20"/>
          <w:szCs w:val="20"/>
        </w:rPr>
        <w:t>39</w:t>
      </w:r>
    </w:p>
    <w:p w:rsidR="00000000" w:rsidRDefault="00FF2C06">
      <w:pPr>
        <w:pStyle w:val="a3"/>
        <w:spacing w:before="0" w:beforeAutospacing="0" w:after="600" w:afterAutospacing="0"/>
        <w:divId w:val="1418021949"/>
        <w:rPr>
          <w:sz w:val="20"/>
          <w:szCs w:val="20"/>
        </w:rPr>
      </w:pPr>
      <w:hyperlink w:anchor="TOC" w:history="1">
        <w:r>
          <w:rPr>
            <w:rStyle w:val="a4"/>
            <w:sz w:val="20"/>
            <w:szCs w:val="20"/>
          </w:rPr>
          <w:t>Table of Contents</w:t>
        </w:r>
      </w:hyperlink>
    </w:p>
    <w:p w:rsidR="00000000" w:rsidRDefault="00FF2C06">
      <w:pPr>
        <w:pStyle w:val="a3"/>
        <w:spacing w:before="0" w:beforeAutospacing="0" w:after="200" w:afterAutospacing="0"/>
        <w:divId w:val="1593507949"/>
        <w:rPr>
          <w:sz w:val="20"/>
          <w:szCs w:val="20"/>
        </w:rPr>
      </w:pPr>
      <w:r>
        <w:rPr>
          <w:sz w:val="20"/>
          <w:szCs w:val="20"/>
        </w:rPr>
        <w:t>and focus. In addition, there is a natural transition period when a new third party commences work. As a result, delays could occur, which could compromise our ability to meet our desired d</w:t>
      </w:r>
      <w:r>
        <w:rPr>
          <w:sz w:val="20"/>
          <w:szCs w:val="20"/>
        </w:rPr>
        <w:t>evelopment timelines. Though we carefully manage our relationships with our third-party service providers, there can be no assurance that we will not encounter similar challenges or delays in the future or that these delays or challenges will not have a ma</w:t>
      </w:r>
      <w:r>
        <w:rPr>
          <w:sz w:val="20"/>
          <w:szCs w:val="20"/>
        </w:rPr>
        <w:t>terial adverse impact on our business, financial condition and prospects or results of operations.</w:t>
      </w:r>
    </w:p>
    <w:p w:rsidR="00000000" w:rsidRDefault="00FF2C06">
      <w:pPr>
        <w:pStyle w:val="a3"/>
        <w:spacing w:before="0" w:beforeAutospacing="0" w:after="200" w:afterAutospacing="0"/>
        <w:ind w:firstLine="547"/>
        <w:divId w:val="1593507949"/>
        <w:rPr>
          <w:sz w:val="20"/>
          <w:szCs w:val="20"/>
        </w:rPr>
      </w:pPr>
      <w:r>
        <w:rPr>
          <w:sz w:val="20"/>
          <w:szCs w:val="20"/>
        </w:rPr>
        <w:t>We also rely on other third parties to manufacture and ship our products for the clinical trials that we conduct. Any performance failure on the part of thes</w:t>
      </w:r>
      <w:r>
        <w:rPr>
          <w:sz w:val="20"/>
          <w:szCs w:val="20"/>
        </w:rPr>
        <w:t>e third parties could delay clinical development or marketing approval of our product candidates or any additional product candidates or commercialization of our product candidates, if approved, producing additional losses and depriving us of potential pro</w:t>
      </w:r>
      <w:r>
        <w:rPr>
          <w:sz w:val="20"/>
          <w:szCs w:val="20"/>
        </w:rPr>
        <w:t>duct revenue.</w:t>
      </w:r>
    </w:p>
    <w:p w:rsidR="00000000" w:rsidRDefault="00FF2C06">
      <w:pPr>
        <w:pStyle w:val="a3"/>
        <w:spacing w:before="0" w:beforeAutospacing="0" w:after="200" w:afterAutospacing="0"/>
        <w:ind w:firstLine="547"/>
        <w:divId w:val="1593507949"/>
        <w:rPr>
          <w:sz w:val="20"/>
          <w:szCs w:val="20"/>
        </w:rPr>
      </w:pPr>
      <w:r>
        <w:rPr>
          <w:b/>
          <w:bCs/>
          <w:i/>
          <w:iCs/>
          <w:sz w:val="20"/>
          <w:szCs w:val="20"/>
        </w:rPr>
        <w:t>We may encounter substantial delays in our clinical trials or may not be able to conduct our trials on the timelines we expect and we may be required to conduct additional clinical trials or modify current or future clinical trials based on f</w:t>
      </w:r>
      <w:r>
        <w:rPr>
          <w:b/>
          <w:bCs/>
          <w:i/>
          <w:iCs/>
          <w:sz w:val="20"/>
          <w:szCs w:val="20"/>
        </w:rPr>
        <w:t>eedback we receive from the FDA.*</w:t>
      </w:r>
    </w:p>
    <w:p w:rsidR="00000000" w:rsidRDefault="00FF2C06">
      <w:pPr>
        <w:pStyle w:val="a3"/>
        <w:spacing w:before="0" w:beforeAutospacing="0" w:after="200" w:afterAutospacing="0"/>
        <w:ind w:firstLine="547"/>
        <w:divId w:val="1593507949"/>
        <w:rPr>
          <w:sz w:val="20"/>
          <w:szCs w:val="20"/>
        </w:rPr>
      </w:pPr>
      <w:r>
        <w:rPr>
          <w:sz w:val="20"/>
          <w:szCs w:val="20"/>
        </w:rPr>
        <w:t>Clinical testing is expensive, time consuming, and subject to uncertainty. We cannot guarantee that any current or future clinical studies will be conducted as planned or completed on schedule, if at all, or that any of ou</w:t>
      </w:r>
      <w:r>
        <w:rPr>
          <w:sz w:val="20"/>
          <w:szCs w:val="20"/>
        </w:rPr>
        <w:t>r product candidates will receive regulatory approval. We initiated clinical trials in patients with metastatic melanoma, cervical, head and neck and non-small cell lung cancers, and in other indications in collaboration with third parties. We have complet</w:t>
      </w:r>
      <w:r>
        <w:rPr>
          <w:sz w:val="20"/>
          <w:szCs w:val="20"/>
        </w:rPr>
        <w:t>ed enrollment in the pivotal clinical trial for melanoma, C-144-01. In May 2020, we disclosed interim results for Cohort 4 of the C-144-01 clinical trial. Although the data is highly consistent with the Cohort 2 data read out at a similar median duration o</w:t>
      </w:r>
      <w:r>
        <w:rPr>
          <w:sz w:val="20"/>
          <w:szCs w:val="20"/>
        </w:rPr>
        <w:t xml:space="preserve">f study follow up, the interim results speak only to data available as of March 16, 2020, and although such data have been reviewed by the investigators, they have not been reviewed by IRC. We plan to initiate trials in new indications, and new cohorts in </w:t>
      </w:r>
      <w:r>
        <w:rPr>
          <w:sz w:val="20"/>
          <w:szCs w:val="20"/>
        </w:rPr>
        <w:t>existing trials. Even as these trials progress, issues may arise that could require us to suspend or terminate such clinical trials or could cause the results of one cohort to differ from a prior cohort. For example, we may experience slower than anticipat</w:t>
      </w:r>
      <w:r>
        <w:rPr>
          <w:sz w:val="20"/>
          <w:szCs w:val="20"/>
        </w:rPr>
        <w:t>ed enrollment in our pivotal clinical trials, which may consequently delay our BLA filing timelines or permit competitors to obtain approvals that may alter our BLA filing strategy. A failure of one or more clinical studies can occur at any stage of testin</w:t>
      </w:r>
      <w:r>
        <w:rPr>
          <w:sz w:val="20"/>
          <w:szCs w:val="20"/>
        </w:rPr>
        <w:t>g, and our future clinical studies may not be successful. Events that may prevent successful or timely initiation or completion of clinical development, or product approval include:</w:t>
      </w:r>
    </w:p>
    <w:p w:rsidR="00000000" w:rsidRDefault="00FF2C06">
      <w:pPr>
        <w:ind w:left="547" w:hanging="360"/>
        <w:divId w:val="1684286075"/>
        <w:rPr>
          <w:rFonts w:eastAsia="Times New Roman"/>
          <w:sz w:val="20"/>
          <w:szCs w:val="20"/>
        </w:rPr>
      </w:pPr>
      <w:r>
        <w:rPr>
          <w:rFonts w:eastAsia="Times New Roman"/>
          <w:sz w:val="20"/>
          <w:szCs w:val="20"/>
        </w:rPr>
        <w:t>●</w:t>
      </w:r>
      <w:r>
        <w:rPr>
          <w:rFonts w:eastAsia="Times New Roman"/>
          <w:sz w:val="20"/>
          <w:szCs w:val="20"/>
        </w:rPr>
        <w:t xml:space="preserve">regulators or IRBs may not authorize us or our investigators to commence </w:t>
      </w:r>
      <w:r>
        <w:rPr>
          <w:rFonts w:eastAsia="Times New Roman"/>
          <w:sz w:val="20"/>
          <w:szCs w:val="20"/>
        </w:rPr>
        <w:t>a clinical trial, conduct a clinical trial at a prospective trial site, or amend trial protocols, or regulators or IRBs may require that we modify or amend our clinical trial protocols;</w:t>
      </w:r>
    </w:p>
    <w:p w:rsidR="00000000" w:rsidRDefault="00FF2C06">
      <w:pPr>
        <w:ind w:left="547" w:hanging="360"/>
        <w:divId w:val="1389567537"/>
        <w:rPr>
          <w:rFonts w:eastAsia="Times New Roman"/>
          <w:sz w:val="20"/>
          <w:szCs w:val="20"/>
        </w:rPr>
      </w:pPr>
      <w:r>
        <w:rPr>
          <w:rFonts w:eastAsia="Times New Roman"/>
          <w:sz w:val="20"/>
          <w:szCs w:val="20"/>
        </w:rPr>
        <w:t>●</w:t>
      </w:r>
      <w:r>
        <w:rPr>
          <w:rFonts w:eastAsia="Times New Roman"/>
          <w:sz w:val="20"/>
          <w:szCs w:val="20"/>
        </w:rPr>
        <w:t xml:space="preserve">delays in reaching a consensus or inability to obtain agreement with </w:t>
      </w:r>
      <w:r>
        <w:rPr>
          <w:rFonts w:eastAsia="Times New Roman"/>
          <w:sz w:val="20"/>
          <w:szCs w:val="20"/>
        </w:rPr>
        <w:t>regulatory agencies on study design;</w:t>
      </w:r>
    </w:p>
    <w:p w:rsidR="00000000" w:rsidRDefault="00FF2C06">
      <w:pPr>
        <w:ind w:left="547" w:hanging="360"/>
        <w:divId w:val="1483934101"/>
        <w:rPr>
          <w:rFonts w:eastAsia="Times New Roman"/>
          <w:sz w:val="20"/>
          <w:szCs w:val="20"/>
        </w:rPr>
      </w:pPr>
      <w:r>
        <w:rPr>
          <w:rFonts w:eastAsia="Times New Roman"/>
          <w:sz w:val="20"/>
          <w:szCs w:val="20"/>
        </w:rPr>
        <w:t>●</w:t>
      </w:r>
      <w:r>
        <w:rPr>
          <w:rFonts w:eastAsia="Times New Roman"/>
          <w:sz w:val="20"/>
          <w:szCs w:val="20"/>
        </w:rPr>
        <w:t>the FDA or comparable foreign regulatory authorities may disagree with our intended indications, study design or our interpretation of data from preclinical studies and clinical trials or find that a product candidate’</w:t>
      </w:r>
      <w:r>
        <w:rPr>
          <w:rFonts w:eastAsia="Times New Roman"/>
          <w:sz w:val="20"/>
          <w:szCs w:val="20"/>
        </w:rPr>
        <w:t>s benefits do not outweigh its safety risks;</w:t>
      </w:r>
    </w:p>
    <w:p w:rsidR="00000000" w:rsidRDefault="00FF2C06">
      <w:pPr>
        <w:ind w:left="547" w:hanging="360"/>
        <w:divId w:val="712582288"/>
        <w:rPr>
          <w:rFonts w:eastAsia="Times New Roman"/>
          <w:sz w:val="20"/>
          <w:szCs w:val="20"/>
        </w:rPr>
      </w:pPr>
      <w:r>
        <w:rPr>
          <w:rFonts w:eastAsia="Times New Roman"/>
          <w:sz w:val="20"/>
          <w:szCs w:val="20"/>
        </w:rPr>
        <w:t>●</w:t>
      </w:r>
      <w:r>
        <w:rPr>
          <w:rFonts w:eastAsia="Times New Roman"/>
          <w:sz w:val="20"/>
          <w:szCs w:val="20"/>
        </w:rPr>
        <w:t>the FDA or comparable foreign regulatory authorities may not accept data from studies with clinical trial sites in foreign countries;</w:t>
      </w:r>
    </w:p>
    <w:p w:rsidR="00000000" w:rsidRDefault="00FF2C06">
      <w:pPr>
        <w:ind w:left="547" w:hanging="360"/>
        <w:divId w:val="983194222"/>
        <w:rPr>
          <w:rFonts w:eastAsia="Times New Roman"/>
          <w:sz w:val="20"/>
          <w:szCs w:val="20"/>
        </w:rPr>
      </w:pPr>
      <w:r>
        <w:rPr>
          <w:rFonts w:eastAsia="Times New Roman"/>
          <w:sz w:val="20"/>
          <w:szCs w:val="20"/>
        </w:rPr>
        <w:t>●</w:t>
      </w:r>
      <w:r>
        <w:rPr>
          <w:rFonts w:eastAsia="Times New Roman"/>
          <w:sz w:val="20"/>
          <w:szCs w:val="20"/>
        </w:rPr>
        <w:t>the FDA may not allow us to use the clinical trial data from a research ins</w:t>
      </w:r>
      <w:r>
        <w:rPr>
          <w:rFonts w:eastAsia="Times New Roman"/>
          <w:sz w:val="20"/>
          <w:szCs w:val="20"/>
        </w:rPr>
        <w:t>titution to support an IND if we cannot demonstrate the comparability of our product candidates with the product candidate used by the relevant research institution in its clinical studies;</w:t>
      </w:r>
    </w:p>
    <w:p w:rsidR="00000000" w:rsidRDefault="00FF2C06">
      <w:pPr>
        <w:ind w:left="547" w:hanging="360"/>
        <w:divId w:val="1466893275"/>
        <w:rPr>
          <w:rFonts w:eastAsia="Times New Roman"/>
          <w:sz w:val="20"/>
          <w:szCs w:val="20"/>
        </w:rPr>
      </w:pPr>
      <w:r>
        <w:rPr>
          <w:rFonts w:eastAsia="Times New Roman"/>
          <w:sz w:val="20"/>
          <w:szCs w:val="20"/>
        </w:rPr>
        <w:t>●</w:t>
      </w:r>
      <w:r>
        <w:rPr>
          <w:rFonts w:eastAsia="Times New Roman"/>
          <w:sz w:val="20"/>
          <w:szCs w:val="20"/>
        </w:rPr>
        <w:t>delays in or failure to reach an agreement on acceptable terms wi</w:t>
      </w:r>
      <w:r>
        <w:rPr>
          <w:rFonts w:eastAsia="Times New Roman"/>
          <w:sz w:val="20"/>
          <w:szCs w:val="20"/>
        </w:rPr>
        <w:t>th prospective CROs and clinical study sites, the terms of which can be subject to extensive negotiation and may vary significantly among different CROs and clinical study sites;</w:t>
      </w:r>
    </w:p>
    <w:p w:rsidR="00000000" w:rsidRDefault="00FF2C06">
      <w:pPr>
        <w:ind w:left="547" w:hanging="360"/>
        <w:divId w:val="1906794075"/>
        <w:rPr>
          <w:rFonts w:eastAsia="Times New Roman"/>
          <w:sz w:val="20"/>
          <w:szCs w:val="20"/>
        </w:rPr>
      </w:pPr>
      <w:r>
        <w:rPr>
          <w:rFonts w:eastAsia="Times New Roman"/>
          <w:sz w:val="20"/>
          <w:szCs w:val="20"/>
        </w:rPr>
        <w:t>●</w:t>
      </w:r>
      <w:r>
        <w:rPr>
          <w:rFonts w:eastAsia="Times New Roman"/>
          <w:sz w:val="20"/>
          <w:szCs w:val="20"/>
        </w:rPr>
        <w:t>delays in obtaining required IRB approval at each clinical study site;</w:t>
      </w:r>
    </w:p>
    <w:p w:rsidR="00000000" w:rsidRDefault="00FF2C06">
      <w:pPr>
        <w:ind w:left="547" w:hanging="360"/>
        <w:divId w:val="1595936284"/>
        <w:rPr>
          <w:rFonts w:eastAsia="Times New Roman"/>
          <w:sz w:val="20"/>
          <w:szCs w:val="20"/>
        </w:rPr>
      </w:pPr>
      <w:r>
        <w:rPr>
          <w:rFonts w:eastAsia="Times New Roman"/>
          <w:sz w:val="20"/>
          <w:szCs w:val="20"/>
        </w:rPr>
        <w:t>●</w:t>
      </w:r>
      <w:r>
        <w:rPr>
          <w:rFonts w:eastAsia="Times New Roman"/>
          <w:sz w:val="20"/>
          <w:szCs w:val="20"/>
        </w:rPr>
        <w:t>impo</w:t>
      </w:r>
      <w:r>
        <w:rPr>
          <w:rFonts w:eastAsia="Times New Roman"/>
          <w:sz w:val="20"/>
          <w:szCs w:val="20"/>
        </w:rPr>
        <w:t>sition of a temporary or permanent clinical hold, suspensions or terminations by regulatory agencies, IRBs, or us for various reasons, including noncompliance with regulatory requirements or a finding that the participants are being exposed to unacceptable</w:t>
      </w:r>
      <w:r>
        <w:rPr>
          <w:rFonts w:eastAsia="Times New Roman"/>
          <w:sz w:val="20"/>
          <w:szCs w:val="20"/>
        </w:rPr>
        <w:t xml:space="preserve"> health risks, undesirable side effects, or other unexpected characteristics of the product candidate, or due to findings of undesirable effects caused by a biologically or mechanistically similar therapeutic or therapeutic candidate;</w:t>
      </w:r>
    </w:p>
    <w:p w:rsidR="00000000" w:rsidRDefault="00FF2C06">
      <w:pPr>
        <w:ind w:left="547" w:hanging="360"/>
        <w:divId w:val="1564028423"/>
        <w:rPr>
          <w:rFonts w:eastAsia="Times New Roman"/>
          <w:sz w:val="20"/>
          <w:szCs w:val="20"/>
        </w:rPr>
      </w:pPr>
      <w:r>
        <w:rPr>
          <w:rFonts w:eastAsia="Times New Roman"/>
          <w:sz w:val="20"/>
          <w:szCs w:val="20"/>
        </w:rPr>
        <w:t>●</w:t>
      </w:r>
      <w:r>
        <w:rPr>
          <w:rFonts w:eastAsia="Times New Roman"/>
          <w:sz w:val="20"/>
          <w:szCs w:val="20"/>
        </w:rPr>
        <w:t>delays in recruiting</w:t>
      </w:r>
      <w:r>
        <w:rPr>
          <w:rFonts w:eastAsia="Times New Roman"/>
          <w:sz w:val="20"/>
          <w:szCs w:val="20"/>
        </w:rPr>
        <w:t xml:space="preserve"> suitable patients to participate in our clinical studies;</w:t>
      </w:r>
    </w:p>
    <w:p w:rsidR="00000000" w:rsidRDefault="00FF2C06">
      <w:pPr>
        <w:ind w:left="547" w:hanging="360"/>
        <w:divId w:val="1663582751"/>
        <w:rPr>
          <w:rFonts w:eastAsia="Times New Roman"/>
          <w:sz w:val="20"/>
          <w:szCs w:val="20"/>
        </w:rPr>
      </w:pPr>
      <w:r>
        <w:rPr>
          <w:rFonts w:eastAsia="Times New Roman"/>
          <w:sz w:val="20"/>
          <w:szCs w:val="20"/>
        </w:rPr>
        <w:t>●</w:t>
      </w:r>
      <w:r>
        <w:rPr>
          <w:rFonts w:eastAsia="Times New Roman"/>
          <w:sz w:val="20"/>
          <w:szCs w:val="20"/>
        </w:rPr>
        <w:t>delay in adding new investigators or clinical trial sites, or withdrawal of clinical trial sites from a study;</w:t>
      </w:r>
    </w:p>
    <w:p w:rsidR="00000000" w:rsidRDefault="00FF2C06">
      <w:pPr>
        <w:ind w:left="547" w:hanging="360"/>
        <w:divId w:val="699476320"/>
        <w:rPr>
          <w:rFonts w:eastAsia="Times New Roman"/>
          <w:sz w:val="20"/>
          <w:szCs w:val="20"/>
        </w:rPr>
      </w:pPr>
      <w:r>
        <w:rPr>
          <w:rFonts w:eastAsia="Times New Roman"/>
          <w:sz w:val="20"/>
          <w:szCs w:val="20"/>
        </w:rPr>
        <w:t>●</w:t>
      </w:r>
      <w:r>
        <w:rPr>
          <w:rFonts w:eastAsia="Times New Roman"/>
          <w:sz w:val="20"/>
          <w:szCs w:val="20"/>
        </w:rPr>
        <w:t>delay or change in strategic direction for an indication resulting from differences in results between cohorts in a clinical trial, such as Cohort 2 and Cohort 4 of the C-144-01 clinical trial or the previously disclosed preliminary results for the C-145-0</w:t>
      </w:r>
      <w:r>
        <w:rPr>
          <w:rFonts w:eastAsia="Times New Roman"/>
          <w:sz w:val="20"/>
          <w:szCs w:val="20"/>
        </w:rPr>
        <w:t>4 trial and the final patient population and results, including differences in patient population, or from different interpretations of investigator results by IRC;</w:t>
      </w:r>
    </w:p>
    <w:p w:rsidR="00000000" w:rsidRDefault="00FF2C06">
      <w:pPr>
        <w:pStyle w:val="a3"/>
        <w:spacing w:before="480" w:beforeAutospacing="0" w:after="0" w:afterAutospacing="0"/>
        <w:jc w:val="center"/>
        <w:divId w:val="1780371826"/>
        <w:rPr>
          <w:sz w:val="20"/>
          <w:szCs w:val="20"/>
        </w:rPr>
      </w:pPr>
      <w:r>
        <w:rPr>
          <w:sz w:val="20"/>
          <w:szCs w:val="20"/>
        </w:rPr>
        <w:t>40</w:t>
      </w:r>
    </w:p>
    <w:p w:rsidR="00000000" w:rsidRDefault="00FF2C06">
      <w:pPr>
        <w:pStyle w:val="a3"/>
        <w:spacing w:before="0" w:beforeAutospacing="0" w:after="600" w:afterAutospacing="0"/>
        <w:divId w:val="233469137"/>
        <w:rPr>
          <w:sz w:val="20"/>
          <w:szCs w:val="20"/>
        </w:rPr>
      </w:pPr>
      <w:hyperlink w:anchor="TOC" w:history="1">
        <w:r>
          <w:rPr>
            <w:rStyle w:val="a4"/>
            <w:sz w:val="20"/>
            <w:szCs w:val="20"/>
          </w:rPr>
          <w:t>Table of Contents</w:t>
        </w:r>
      </w:hyperlink>
    </w:p>
    <w:p w:rsidR="00000000" w:rsidRDefault="00FF2C06">
      <w:pPr>
        <w:ind w:left="547" w:hanging="360"/>
        <w:divId w:val="644743453"/>
        <w:rPr>
          <w:rFonts w:eastAsia="Times New Roman"/>
          <w:sz w:val="20"/>
          <w:szCs w:val="20"/>
        </w:rPr>
      </w:pPr>
      <w:r>
        <w:rPr>
          <w:rFonts w:eastAsia="Times New Roman"/>
          <w:sz w:val="20"/>
          <w:szCs w:val="20"/>
        </w:rPr>
        <w:t>●</w:t>
      </w:r>
      <w:r>
        <w:rPr>
          <w:rFonts w:eastAsia="Times New Roman"/>
          <w:sz w:val="20"/>
          <w:szCs w:val="20"/>
        </w:rPr>
        <w:t xml:space="preserve">failure by our CROs, clinical trial sites, </w:t>
      </w:r>
      <w:r>
        <w:rPr>
          <w:rFonts w:eastAsia="Times New Roman"/>
          <w:sz w:val="20"/>
          <w:szCs w:val="20"/>
        </w:rPr>
        <w:t>patients, or other third parties, or us to adhere to clinical study requirements, including regulatory, contractual or protocol requirements;</w:t>
      </w:r>
    </w:p>
    <w:p w:rsidR="00000000" w:rsidRDefault="00FF2C06">
      <w:pPr>
        <w:ind w:left="547" w:hanging="360"/>
        <w:divId w:val="1067072234"/>
        <w:rPr>
          <w:rFonts w:eastAsia="Times New Roman"/>
          <w:sz w:val="20"/>
          <w:szCs w:val="20"/>
        </w:rPr>
      </w:pPr>
      <w:r>
        <w:rPr>
          <w:rFonts w:eastAsia="Times New Roman"/>
          <w:sz w:val="20"/>
          <w:szCs w:val="20"/>
        </w:rPr>
        <w:t>●</w:t>
      </w:r>
      <w:r>
        <w:rPr>
          <w:rFonts w:eastAsia="Times New Roman"/>
          <w:sz w:val="20"/>
          <w:szCs w:val="20"/>
        </w:rPr>
        <w:t>failure to perform in accordance with the FDA’s cGCP requirements, or applicable regulatory guidelines in other c</w:t>
      </w:r>
      <w:r>
        <w:rPr>
          <w:rFonts w:eastAsia="Times New Roman"/>
          <w:sz w:val="20"/>
          <w:szCs w:val="20"/>
        </w:rPr>
        <w:t>ountries;</w:t>
      </w:r>
    </w:p>
    <w:p w:rsidR="00000000" w:rsidRDefault="00FF2C06">
      <w:pPr>
        <w:ind w:left="547" w:hanging="360"/>
        <w:divId w:val="735204840"/>
        <w:rPr>
          <w:rFonts w:eastAsia="Times New Roman"/>
          <w:sz w:val="20"/>
          <w:szCs w:val="20"/>
        </w:rPr>
      </w:pPr>
      <w:r>
        <w:rPr>
          <w:rFonts w:eastAsia="Times New Roman"/>
          <w:sz w:val="20"/>
          <w:szCs w:val="20"/>
        </w:rPr>
        <w:t>●</w:t>
      </w:r>
      <w:r>
        <w:rPr>
          <w:rFonts w:eastAsia="Times New Roman"/>
          <w:sz w:val="20"/>
          <w:szCs w:val="20"/>
        </w:rPr>
        <w:t>the number of patients required for clinical trials of our product candidates may be larger than we anticipate or enrollment in these clinical trials may be slower than we anticipate, potentially affecting our timelines for approval of our produ</w:t>
      </w:r>
      <w:r>
        <w:rPr>
          <w:rFonts w:eastAsia="Times New Roman"/>
          <w:sz w:val="20"/>
          <w:szCs w:val="20"/>
        </w:rPr>
        <w:t>ct candidates;</w:t>
      </w:r>
    </w:p>
    <w:p w:rsidR="00000000" w:rsidRDefault="00FF2C06">
      <w:pPr>
        <w:ind w:left="547" w:hanging="360"/>
        <w:divId w:val="1359117584"/>
        <w:rPr>
          <w:rFonts w:eastAsia="Times New Roman"/>
          <w:sz w:val="20"/>
          <w:szCs w:val="20"/>
        </w:rPr>
      </w:pPr>
      <w:r>
        <w:rPr>
          <w:rFonts w:eastAsia="Times New Roman"/>
          <w:sz w:val="20"/>
          <w:szCs w:val="20"/>
        </w:rPr>
        <w:t>●</w:t>
      </w:r>
      <w:r>
        <w:rPr>
          <w:rFonts w:eastAsia="Times New Roman"/>
          <w:sz w:val="20"/>
          <w:szCs w:val="20"/>
        </w:rPr>
        <w:t>patients that enroll in our studies may misrepresent their eligibility or may otherwise not comply with the clinical trial protocol, resulting in the need to drop such patients from the study or clinical trial, increase the needed enrollmen</w:t>
      </w:r>
      <w:r>
        <w:rPr>
          <w:rFonts w:eastAsia="Times New Roman"/>
          <w:sz w:val="20"/>
          <w:szCs w:val="20"/>
        </w:rPr>
        <w:t>t size for the study or clinical trial or extend the study’s or clinical trial’s duration;</w:t>
      </w:r>
    </w:p>
    <w:p w:rsidR="00000000" w:rsidRDefault="00FF2C06">
      <w:pPr>
        <w:ind w:left="547" w:hanging="360"/>
        <w:divId w:val="1793016245"/>
        <w:rPr>
          <w:rFonts w:eastAsia="Times New Roman"/>
          <w:sz w:val="20"/>
          <w:szCs w:val="20"/>
        </w:rPr>
      </w:pPr>
      <w:r>
        <w:rPr>
          <w:rFonts w:eastAsia="Times New Roman"/>
          <w:sz w:val="20"/>
          <w:szCs w:val="20"/>
        </w:rPr>
        <w:t>●</w:t>
      </w:r>
      <w:r>
        <w:rPr>
          <w:rFonts w:eastAsia="Times New Roman"/>
          <w:sz w:val="20"/>
          <w:szCs w:val="20"/>
        </w:rPr>
        <w:t>patients dropping out of a study;</w:t>
      </w:r>
    </w:p>
    <w:p w:rsidR="00000000" w:rsidRDefault="00FF2C06">
      <w:pPr>
        <w:ind w:left="547" w:hanging="360"/>
        <w:divId w:val="1449198942"/>
        <w:rPr>
          <w:rFonts w:eastAsia="Times New Roman"/>
          <w:sz w:val="20"/>
          <w:szCs w:val="20"/>
        </w:rPr>
      </w:pPr>
      <w:r>
        <w:rPr>
          <w:rFonts w:eastAsia="Times New Roman"/>
          <w:sz w:val="20"/>
          <w:szCs w:val="20"/>
        </w:rPr>
        <w:t>●</w:t>
      </w:r>
      <w:r>
        <w:rPr>
          <w:rFonts w:eastAsia="Times New Roman"/>
          <w:sz w:val="20"/>
          <w:szCs w:val="20"/>
        </w:rPr>
        <w:t>occurrence of adverse events associated with the product candidate that are viewed to outweigh its potential benefits;</w:t>
      </w:r>
    </w:p>
    <w:p w:rsidR="00000000" w:rsidRDefault="00FF2C06">
      <w:pPr>
        <w:ind w:left="547" w:hanging="360"/>
        <w:divId w:val="1716466124"/>
        <w:rPr>
          <w:rFonts w:eastAsia="Times New Roman"/>
          <w:sz w:val="20"/>
          <w:szCs w:val="20"/>
        </w:rPr>
      </w:pPr>
      <w:r>
        <w:rPr>
          <w:rFonts w:eastAsia="Times New Roman"/>
          <w:sz w:val="20"/>
          <w:szCs w:val="20"/>
        </w:rPr>
        <w:t>●</w:t>
      </w:r>
      <w:r>
        <w:rPr>
          <w:rFonts w:eastAsia="Times New Roman"/>
          <w:sz w:val="20"/>
          <w:szCs w:val="20"/>
        </w:rPr>
        <w:t>changes i</w:t>
      </w:r>
      <w:r>
        <w:rPr>
          <w:rFonts w:eastAsia="Times New Roman"/>
          <w:sz w:val="20"/>
          <w:szCs w:val="20"/>
        </w:rPr>
        <w:t>n regulatory requirements and guidance that require amending or submitting new clinical protocols to regulatory authorities and IRBs, and which may cause delays in our development programs, or changes to regulatory review times;</w:t>
      </w:r>
    </w:p>
    <w:p w:rsidR="00000000" w:rsidRDefault="00FF2C06">
      <w:pPr>
        <w:ind w:left="547" w:hanging="360"/>
        <w:divId w:val="2028679441"/>
        <w:rPr>
          <w:rFonts w:eastAsia="Times New Roman"/>
          <w:sz w:val="20"/>
          <w:szCs w:val="20"/>
        </w:rPr>
      </w:pPr>
      <w:r>
        <w:rPr>
          <w:rFonts w:eastAsia="Times New Roman"/>
          <w:sz w:val="20"/>
          <w:szCs w:val="20"/>
        </w:rPr>
        <w:t>●</w:t>
      </w:r>
      <w:r>
        <w:rPr>
          <w:rFonts w:eastAsia="Times New Roman"/>
          <w:sz w:val="20"/>
          <w:szCs w:val="20"/>
        </w:rPr>
        <w:t>there may be regulatory qu</w:t>
      </w:r>
      <w:r>
        <w:rPr>
          <w:rFonts w:eastAsia="Times New Roman"/>
          <w:sz w:val="20"/>
          <w:szCs w:val="20"/>
        </w:rPr>
        <w:t>estions or disagreements regarding interpretations of data and results, or new information may emerge regarding our product candidates;</w:t>
      </w:r>
    </w:p>
    <w:p w:rsidR="00000000" w:rsidRDefault="00FF2C06">
      <w:pPr>
        <w:ind w:left="547" w:hanging="360"/>
        <w:divId w:val="1982729896"/>
        <w:rPr>
          <w:rFonts w:eastAsia="Times New Roman"/>
          <w:sz w:val="20"/>
          <w:szCs w:val="20"/>
        </w:rPr>
      </w:pPr>
      <w:r>
        <w:rPr>
          <w:rFonts w:eastAsia="Times New Roman"/>
          <w:sz w:val="20"/>
          <w:szCs w:val="20"/>
        </w:rPr>
        <w:t>●</w:t>
      </w:r>
      <w:r>
        <w:rPr>
          <w:rFonts w:eastAsia="Times New Roman"/>
          <w:sz w:val="20"/>
          <w:szCs w:val="20"/>
        </w:rPr>
        <w:t>changes in the standard of care on which a clinical development plan was based, which may require new or additional tri</w:t>
      </w:r>
      <w:r>
        <w:rPr>
          <w:rFonts w:eastAsia="Times New Roman"/>
          <w:sz w:val="20"/>
          <w:szCs w:val="20"/>
        </w:rPr>
        <w:t>als;</w:t>
      </w:r>
    </w:p>
    <w:p w:rsidR="00000000" w:rsidRDefault="00FF2C06">
      <w:pPr>
        <w:ind w:left="547" w:hanging="360"/>
        <w:divId w:val="1523938777"/>
        <w:rPr>
          <w:rFonts w:eastAsia="Times New Roman"/>
          <w:sz w:val="20"/>
          <w:szCs w:val="20"/>
        </w:rPr>
      </w:pPr>
      <w:r>
        <w:rPr>
          <w:rFonts w:eastAsia="Times New Roman"/>
          <w:sz w:val="20"/>
          <w:szCs w:val="20"/>
        </w:rPr>
        <w:t>●</w:t>
      </w:r>
      <w:r>
        <w:rPr>
          <w:rFonts w:eastAsia="Times New Roman"/>
          <w:sz w:val="20"/>
          <w:szCs w:val="20"/>
        </w:rPr>
        <w:t>the cost of clinical studies of our product candidates being greater than we anticipate, or we may have insufficient funds for a clinical trial or to pay the substantial user fees required by the FDA upon the filing of a BLA;</w:t>
      </w:r>
    </w:p>
    <w:p w:rsidR="00000000" w:rsidRDefault="00FF2C06">
      <w:pPr>
        <w:ind w:left="547" w:hanging="360"/>
        <w:divId w:val="1116484196"/>
        <w:rPr>
          <w:rFonts w:eastAsia="Times New Roman"/>
          <w:sz w:val="20"/>
          <w:szCs w:val="20"/>
        </w:rPr>
      </w:pPr>
      <w:r>
        <w:rPr>
          <w:rFonts w:eastAsia="Times New Roman"/>
          <w:sz w:val="20"/>
          <w:szCs w:val="20"/>
        </w:rPr>
        <w:t>●</w:t>
      </w:r>
      <w:r>
        <w:rPr>
          <w:rFonts w:eastAsia="Times New Roman"/>
          <w:sz w:val="20"/>
          <w:szCs w:val="20"/>
        </w:rPr>
        <w:t>clinical studies of our</w:t>
      </w:r>
      <w:r>
        <w:rPr>
          <w:rFonts w:eastAsia="Times New Roman"/>
          <w:sz w:val="20"/>
          <w:szCs w:val="20"/>
        </w:rPr>
        <w:t xml:space="preserve"> product candidates producing negative or inconclusive results may fail to provide sufficient data and information to support product approval, or our studies may fail to reach the necessary level of statistical or clinical significance, which may result i</w:t>
      </w:r>
      <w:r>
        <w:rPr>
          <w:rFonts w:eastAsia="Times New Roman"/>
          <w:sz w:val="20"/>
          <w:szCs w:val="20"/>
        </w:rPr>
        <w:t>n our deciding, or regulators requiring us, to conduct additional clinical studies, or preclinical studies, or abandon product development programs;</w:t>
      </w:r>
    </w:p>
    <w:p w:rsidR="00000000" w:rsidRDefault="00FF2C06">
      <w:pPr>
        <w:ind w:left="547" w:hanging="360"/>
        <w:divId w:val="1215389577"/>
        <w:rPr>
          <w:rFonts w:eastAsia="Times New Roman"/>
          <w:sz w:val="20"/>
          <w:szCs w:val="20"/>
        </w:rPr>
      </w:pPr>
      <w:r>
        <w:rPr>
          <w:rFonts w:eastAsia="Times New Roman"/>
          <w:sz w:val="20"/>
          <w:szCs w:val="20"/>
        </w:rPr>
        <w:t>●</w:t>
      </w:r>
      <w:r>
        <w:rPr>
          <w:rFonts w:eastAsia="Times New Roman"/>
          <w:sz w:val="20"/>
          <w:szCs w:val="20"/>
        </w:rPr>
        <w:t>early results from our clinical studies of our product candidates may be negatively affected by changes in</w:t>
      </w:r>
      <w:r>
        <w:rPr>
          <w:rFonts w:eastAsia="Times New Roman"/>
          <w:sz w:val="20"/>
          <w:szCs w:val="20"/>
        </w:rPr>
        <w:t xml:space="preserve"> efficacy measures such as overall response rate and duration of response as more patients are enrolled in our clinical trials or as new cohorts of our clinical trials are tested, and overall response rate and duration of response may be negatively affecte</w:t>
      </w:r>
      <w:r>
        <w:rPr>
          <w:rFonts w:eastAsia="Times New Roman"/>
          <w:sz w:val="20"/>
          <w:szCs w:val="20"/>
        </w:rPr>
        <w:t>d by the inclusion of unconfirmed responses in preliminary results that we report if such responses are not later confirmed;</w:t>
      </w:r>
    </w:p>
    <w:p w:rsidR="00000000" w:rsidRDefault="00FF2C06">
      <w:pPr>
        <w:ind w:left="547" w:hanging="360"/>
        <w:divId w:val="534273117"/>
        <w:rPr>
          <w:rFonts w:eastAsia="Times New Roman"/>
          <w:sz w:val="20"/>
          <w:szCs w:val="20"/>
        </w:rPr>
      </w:pPr>
      <w:r>
        <w:rPr>
          <w:rFonts w:eastAsia="Times New Roman"/>
          <w:sz w:val="20"/>
          <w:szCs w:val="20"/>
        </w:rPr>
        <w:t>●</w:t>
      </w:r>
      <w:r>
        <w:rPr>
          <w:rFonts w:eastAsia="Times New Roman"/>
          <w:sz w:val="20"/>
          <w:szCs w:val="20"/>
        </w:rPr>
        <w:t>we may not be able to demonstrate that a product candidate provides an advantage over current standards of care or current or futu</w:t>
      </w:r>
      <w:r>
        <w:rPr>
          <w:rFonts w:eastAsia="Times New Roman"/>
          <w:sz w:val="20"/>
          <w:szCs w:val="20"/>
        </w:rPr>
        <w:t>re competitive therapies in development;</w:t>
      </w:r>
    </w:p>
    <w:p w:rsidR="00000000" w:rsidRDefault="00FF2C06">
      <w:pPr>
        <w:ind w:left="547" w:hanging="360"/>
        <w:divId w:val="218178241"/>
        <w:rPr>
          <w:rFonts w:eastAsia="Times New Roman"/>
          <w:sz w:val="20"/>
          <w:szCs w:val="20"/>
        </w:rPr>
      </w:pPr>
      <w:r>
        <w:rPr>
          <w:rFonts w:eastAsia="Times New Roman"/>
          <w:sz w:val="20"/>
          <w:szCs w:val="20"/>
        </w:rPr>
        <w:t>●</w:t>
      </w:r>
      <w:r>
        <w:rPr>
          <w:rFonts w:eastAsia="Times New Roman"/>
          <w:sz w:val="20"/>
          <w:szCs w:val="20"/>
        </w:rPr>
        <w:t>there may be changes to the therapeutics or their regulatory status which we are administering in combination with our product candidates;</w:t>
      </w:r>
    </w:p>
    <w:p w:rsidR="00000000" w:rsidRDefault="00FF2C06">
      <w:pPr>
        <w:ind w:left="547" w:hanging="360"/>
        <w:divId w:val="1726297045"/>
        <w:rPr>
          <w:rFonts w:eastAsia="Times New Roman"/>
          <w:sz w:val="20"/>
          <w:szCs w:val="20"/>
        </w:rPr>
      </w:pPr>
      <w:r>
        <w:rPr>
          <w:rFonts w:eastAsia="Times New Roman"/>
          <w:sz w:val="20"/>
          <w:szCs w:val="20"/>
        </w:rPr>
        <w:t>●</w:t>
      </w:r>
      <w:r>
        <w:rPr>
          <w:rFonts w:eastAsia="Times New Roman"/>
          <w:sz w:val="20"/>
          <w:szCs w:val="20"/>
        </w:rPr>
        <w:t>the FDA or comparable foreign regulatory authorities may fail to approve o</w:t>
      </w:r>
      <w:r>
        <w:rPr>
          <w:rFonts w:eastAsia="Times New Roman"/>
          <w:sz w:val="20"/>
          <w:szCs w:val="20"/>
        </w:rPr>
        <w:t>r subsequently find fault with the manufacturing processes or our manufacturing facilities for clinical and future commercial supplies;</w:t>
      </w:r>
    </w:p>
    <w:p w:rsidR="00000000" w:rsidRDefault="00FF2C06">
      <w:pPr>
        <w:ind w:left="547" w:hanging="360"/>
        <w:divId w:val="297222362"/>
        <w:rPr>
          <w:rFonts w:eastAsia="Times New Roman"/>
          <w:sz w:val="20"/>
          <w:szCs w:val="20"/>
        </w:rPr>
      </w:pPr>
      <w:r>
        <w:rPr>
          <w:rFonts w:eastAsia="Times New Roman"/>
          <w:sz w:val="20"/>
          <w:szCs w:val="20"/>
        </w:rPr>
        <w:t>●</w:t>
      </w:r>
      <w:r>
        <w:rPr>
          <w:rFonts w:eastAsia="Times New Roman"/>
          <w:sz w:val="20"/>
          <w:szCs w:val="20"/>
        </w:rPr>
        <w:t>the FDA or comparable regulatory authorities may take longer than we anticipate making a decision on our product candid</w:t>
      </w:r>
      <w:r>
        <w:rPr>
          <w:rFonts w:eastAsia="Times New Roman"/>
          <w:sz w:val="20"/>
          <w:szCs w:val="20"/>
        </w:rPr>
        <w:t>ates;</w:t>
      </w:r>
    </w:p>
    <w:p w:rsidR="00000000" w:rsidRDefault="00FF2C06">
      <w:pPr>
        <w:ind w:left="547" w:hanging="360"/>
        <w:divId w:val="1941183241"/>
        <w:rPr>
          <w:rFonts w:eastAsia="Times New Roman"/>
          <w:sz w:val="20"/>
          <w:szCs w:val="20"/>
        </w:rPr>
      </w:pPr>
      <w:r>
        <w:rPr>
          <w:rFonts w:eastAsia="Times New Roman"/>
          <w:sz w:val="20"/>
          <w:szCs w:val="20"/>
        </w:rPr>
        <w:t>●</w:t>
      </w:r>
      <w:r>
        <w:rPr>
          <w:rFonts w:eastAsia="Times New Roman"/>
          <w:sz w:val="20"/>
          <w:szCs w:val="20"/>
        </w:rPr>
        <w:t>transfer of our manufacturing processes to our CMOs or other larger-scale facilities operated by a CMO or by us and delays or failure by our CMOs or us to make any necessary changes to such manufacturing process;</w:t>
      </w:r>
    </w:p>
    <w:p w:rsidR="00000000" w:rsidRDefault="00FF2C06">
      <w:pPr>
        <w:ind w:left="547" w:hanging="360"/>
        <w:divId w:val="921255738"/>
        <w:rPr>
          <w:rFonts w:eastAsia="Times New Roman"/>
          <w:sz w:val="20"/>
          <w:szCs w:val="20"/>
        </w:rPr>
      </w:pPr>
      <w:r>
        <w:rPr>
          <w:rFonts w:eastAsia="Times New Roman"/>
          <w:sz w:val="20"/>
          <w:szCs w:val="20"/>
        </w:rPr>
        <w:t>●</w:t>
      </w:r>
      <w:r>
        <w:rPr>
          <w:rFonts w:eastAsia="Times New Roman"/>
          <w:sz w:val="20"/>
          <w:szCs w:val="20"/>
        </w:rPr>
        <w:t xml:space="preserve">our use of different manufacturing </w:t>
      </w:r>
      <w:r>
        <w:rPr>
          <w:rFonts w:eastAsia="Times New Roman"/>
          <w:sz w:val="20"/>
          <w:szCs w:val="20"/>
        </w:rPr>
        <w:t>processes within our clinical trials, including our Gen 1 and Gen 2 manufacturing processes, and any effects that may result from the use of different processes on the clinical data that we have reported and will report in the future; and</w:t>
      </w:r>
    </w:p>
    <w:p w:rsidR="00000000" w:rsidRDefault="00FF2C06">
      <w:pPr>
        <w:ind w:left="547" w:hanging="360"/>
        <w:divId w:val="862204114"/>
        <w:rPr>
          <w:rFonts w:eastAsia="Times New Roman"/>
          <w:sz w:val="20"/>
          <w:szCs w:val="20"/>
        </w:rPr>
      </w:pPr>
      <w:r>
        <w:rPr>
          <w:rFonts w:eastAsia="Times New Roman"/>
          <w:sz w:val="20"/>
          <w:szCs w:val="20"/>
        </w:rPr>
        <w:t>●</w:t>
      </w:r>
      <w:r>
        <w:rPr>
          <w:rFonts w:eastAsia="Times New Roman"/>
          <w:sz w:val="20"/>
          <w:szCs w:val="20"/>
        </w:rPr>
        <w:t>delays in manufa</w:t>
      </w:r>
      <w:r>
        <w:rPr>
          <w:rFonts w:eastAsia="Times New Roman"/>
          <w:sz w:val="20"/>
          <w:szCs w:val="20"/>
        </w:rPr>
        <w:t xml:space="preserve">cturing, testing, releasing, validating, or importing/exporting sufficient stable quantities of our product candidates for use in clinical studies or the inability to do any of the foregoing, including as a result of any quality issues associated with the </w:t>
      </w:r>
      <w:r>
        <w:rPr>
          <w:rFonts w:eastAsia="Times New Roman"/>
          <w:sz w:val="20"/>
          <w:szCs w:val="20"/>
        </w:rPr>
        <w:t>contract manufacturer.</w:t>
      </w:r>
    </w:p>
    <w:p w:rsidR="00000000" w:rsidRDefault="00FF2C06">
      <w:pPr>
        <w:pStyle w:val="a3"/>
        <w:spacing w:before="0" w:beforeAutospacing="0" w:after="200" w:afterAutospacing="0"/>
        <w:ind w:firstLine="547"/>
        <w:divId w:val="229966115"/>
        <w:rPr>
          <w:sz w:val="20"/>
          <w:szCs w:val="20"/>
        </w:rPr>
      </w:pPr>
      <w:r>
        <w:rPr>
          <w:sz w:val="20"/>
          <w:szCs w:val="20"/>
        </w:rPr>
        <w:t>We also may conduct clinical and preclinical research in collaboration with other academic, pharmaceutical, biotechnology and biologics entities in which we combine our technologies with those of our collaborators. Such collaboration</w:t>
      </w:r>
      <w:r>
        <w:rPr>
          <w:sz w:val="20"/>
          <w:szCs w:val="20"/>
        </w:rPr>
        <w:t>s may be subject to additional delays because of the management of the trials, contract negotiations, the need to obtain agreement from multiple parties, and the necessity of obtaining additional approvals for therapeutics used in the combination trials. T</w:t>
      </w:r>
      <w:r>
        <w:rPr>
          <w:sz w:val="20"/>
          <w:szCs w:val="20"/>
        </w:rPr>
        <w:t>hese combination therapies will require additional testing and clinical trials will require additional FDA regulatory approval and will increase our future cost of expenses.</w:t>
      </w:r>
    </w:p>
    <w:p w:rsidR="00000000" w:rsidRDefault="00FF2C06">
      <w:pPr>
        <w:pStyle w:val="a3"/>
        <w:spacing w:before="0" w:beforeAutospacing="0" w:after="0" w:afterAutospacing="0"/>
        <w:ind w:firstLine="547"/>
        <w:divId w:val="229966115"/>
        <w:rPr>
          <w:sz w:val="20"/>
          <w:szCs w:val="20"/>
        </w:rPr>
      </w:pPr>
      <w:r>
        <w:rPr>
          <w:sz w:val="20"/>
          <w:szCs w:val="20"/>
        </w:rPr>
        <w:t xml:space="preserve">Any inability to successfully complete preclinical and clinical development could </w:t>
      </w:r>
      <w:r>
        <w:rPr>
          <w:sz w:val="20"/>
          <w:szCs w:val="20"/>
        </w:rPr>
        <w:t>result in additional costs to us or impair our ability to generate revenue. In addition, if we make manufacturing changes to our product candidates, we may be required to, or we may elect to, conduct additional studies to bridge our modified product candid</w:t>
      </w:r>
      <w:r>
        <w:rPr>
          <w:sz w:val="20"/>
          <w:szCs w:val="20"/>
        </w:rPr>
        <w:t xml:space="preserve">ates to earlier versions. These changes may require the </w:t>
      </w:r>
    </w:p>
    <w:p w:rsidR="00000000" w:rsidRDefault="00FF2C06">
      <w:pPr>
        <w:pStyle w:val="a3"/>
        <w:spacing w:before="480" w:beforeAutospacing="0" w:after="0" w:afterAutospacing="0"/>
        <w:jc w:val="center"/>
        <w:divId w:val="900410057"/>
        <w:rPr>
          <w:sz w:val="20"/>
          <w:szCs w:val="20"/>
        </w:rPr>
      </w:pPr>
      <w:r>
        <w:rPr>
          <w:sz w:val="20"/>
          <w:szCs w:val="20"/>
        </w:rPr>
        <w:t>41</w:t>
      </w:r>
    </w:p>
    <w:p w:rsidR="00000000" w:rsidRDefault="00FF2C06">
      <w:pPr>
        <w:pStyle w:val="a3"/>
        <w:spacing w:before="0" w:beforeAutospacing="0" w:after="600" w:afterAutospacing="0"/>
        <w:divId w:val="1176262717"/>
        <w:rPr>
          <w:sz w:val="20"/>
          <w:szCs w:val="20"/>
        </w:rPr>
      </w:pPr>
      <w:hyperlink w:anchor="TOC" w:history="1">
        <w:r>
          <w:rPr>
            <w:rStyle w:val="a4"/>
            <w:sz w:val="20"/>
            <w:szCs w:val="20"/>
          </w:rPr>
          <w:t>Table of Contents</w:t>
        </w:r>
      </w:hyperlink>
    </w:p>
    <w:p w:rsidR="00000000" w:rsidRDefault="00FF2C06">
      <w:pPr>
        <w:pStyle w:val="a3"/>
        <w:spacing w:before="0" w:beforeAutospacing="0" w:after="200" w:afterAutospacing="0"/>
        <w:divId w:val="1154638211"/>
        <w:rPr>
          <w:sz w:val="20"/>
          <w:szCs w:val="20"/>
        </w:rPr>
      </w:pPr>
      <w:r>
        <w:rPr>
          <w:sz w:val="20"/>
          <w:szCs w:val="20"/>
        </w:rPr>
        <w:t>FDA approval or notification, may not have their desired effect and the FDA may not accept data from prior versions of the product to support an application, delaying our clinical trials or programs or necessitating additional clinical or preclinical studi</w:t>
      </w:r>
      <w:r>
        <w:rPr>
          <w:sz w:val="20"/>
          <w:szCs w:val="20"/>
        </w:rPr>
        <w:t>es. For example, we changed our manufacturing process from our first generation, or Gen 1 to our second generation, or Gen 2 to decrease the production time and allow for the cryopreservation of the product. We may find that this update has unintended cons</w:t>
      </w:r>
      <w:r>
        <w:rPr>
          <w:sz w:val="20"/>
          <w:szCs w:val="20"/>
        </w:rPr>
        <w:t>equences that necessitates additional development and manufacturing work, additional clinical and preclinical studies, or that results in refusal to file or non-approval of a BLA.</w:t>
      </w:r>
    </w:p>
    <w:p w:rsidR="00000000" w:rsidRDefault="00FF2C06">
      <w:pPr>
        <w:pStyle w:val="a3"/>
        <w:spacing w:before="0" w:beforeAutospacing="0" w:after="200" w:afterAutospacing="0"/>
        <w:ind w:firstLine="547"/>
        <w:divId w:val="1154638211"/>
        <w:rPr>
          <w:sz w:val="20"/>
          <w:szCs w:val="20"/>
        </w:rPr>
      </w:pPr>
      <w:r>
        <w:rPr>
          <w:sz w:val="20"/>
          <w:szCs w:val="20"/>
        </w:rPr>
        <w:t>Clinical study delays could shorten any periods during which our products ha</w:t>
      </w:r>
      <w:r>
        <w:rPr>
          <w:sz w:val="20"/>
          <w:szCs w:val="20"/>
        </w:rPr>
        <w:t>ve patent protection and may allow our competitors to bring products to market before we do, which could impair our ability to successfully commercialize our product candidates and may harm our business and results of operations.</w:t>
      </w:r>
    </w:p>
    <w:p w:rsidR="00000000" w:rsidRDefault="00FF2C06">
      <w:pPr>
        <w:pStyle w:val="a3"/>
        <w:spacing w:before="0" w:beforeAutospacing="0" w:after="200" w:afterAutospacing="0"/>
        <w:ind w:firstLine="547"/>
        <w:divId w:val="1154638211"/>
        <w:rPr>
          <w:sz w:val="20"/>
          <w:szCs w:val="20"/>
        </w:rPr>
      </w:pPr>
      <w:r>
        <w:rPr>
          <w:sz w:val="20"/>
          <w:szCs w:val="20"/>
        </w:rPr>
        <w:t>Regulatory authorities hav</w:t>
      </w:r>
      <w:r>
        <w:rPr>
          <w:sz w:val="20"/>
          <w:szCs w:val="20"/>
        </w:rPr>
        <w:t>e substantial discretion in the approval process and may refuse to accept any application or may decide that our data are insufficient for approval and require additional preclinical, clinical or other studies. The number and types of preclinical studies a</w:t>
      </w:r>
      <w:r>
        <w:rPr>
          <w:sz w:val="20"/>
          <w:szCs w:val="20"/>
        </w:rPr>
        <w:t>nd clinical trials that will be required for regulatory approval also varies depending on the product candidate, the disease or condition that the product candidate is designed to address, and the regulations applicable to any particular product candidate.</w:t>
      </w:r>
      <w:r>
        <w:rPr>
          <w:sz w:val="20"/>
          <w:szCs w:val="20"/>
        </w:rPr>
        <w:t xml:space="preserve"> Approval policies, regulations or the type and amount of clinical data necessary to gain approval may change during the course of a product candidate’s clinical development and may vary among jurisdictions. It is possible that any product candidates we ma</w:t>
      </w:r>
      <w:r>
        <w:rPr>
          <w:sz w:val="20"/>
          <w:szCs w:val="20"/>
        </w:rPr>
        <w:t>y seek to develop in the future will never obtain the appropriate regulatory approvals necessary for us or any future collaborators to commence product sales. Any delay in completing development, obtaining or failure to obtain required approvals could also</w:t>
      </w:r>
      <w:r>
        <w:rPr>
          <w:sz w:val="20"/>
          <w:szCs w:val="20"/>
        </w:rPr>
        <w:t xml:space="preserve"> materially adversely affect our ability or that of any of our collaborators to generate revenue from any such product candidate, which likely would result in significant harm to our financial position and adversely impact our stock price.</w:t>
      </w:r>
    </w:p>
    <w:p w:rsidR="00000000" w:rsidRDefault="00FF2C06">
      <w:pPr>
        <w:pStyle w:val="a3"/>
        <w:spacing w:before="0" w:beforeAutospacing="0" w:after="200" w:afterAutospacing="0"/>
        <w:ind w:firstLine="547"/>
        <w:divId w:val="1154638211"/>
        <w:rPr>
          <w:sz w:val="20"/>
          <w:szCs w:val="20"/>
        </w:rPr>
      </w:pPr>
      <w:r>
        <w:rPr>
          <w:b/>
          <w:bCs/>
          <w:i/>
          <w:iCs/>
          <w:sz w:val="20"/>
          <w:szCs w:val="20"/>
        </w:rPr>
        <w:t>It may take long</w:t>
      </w:r>
      <w:r>
        <w:rPr>
          <w:b/>
          <w:bCs/>
          <w:i/>
          <w:iCs/>
          <w:sz w:val="20"/>
          <w:szCs w:val="20"/>
        </w:rPr>
        <w:t>er and cost more to complete our clinical trials than we project, or we may not be able to complete them at all.*</w:t>
      </w:r>
    </w:p>
    <w:p w:rsidR="00000000" w:rsidRDefault="00FF2C06">
      <w:pPr>
        <w:pStyle w:val="a3"/>
        <w:spacing w:before="0" w:beforeAutospacing="0" w:after="200" w:afterAutospacing="0"/>
        <w:ind w:firstLine="547"/>
        <w:divId w:val="1154638211"/>
        <w:rPr>
          <w:sz w:val="20"/>
          <w:szCs w:val="20"/>
        </w:rPr>
      </w:pPr>
      <w:r>
        <w:rPr>
          <w:sz w:val="20"/>
          <w:szCs w:val="20"/>
        </w:rPr>
        <w:t xml:space="preserve">For budgeting and planning purposes, we have projected the date for the commencement of future trials, and continuation and completion of our </w:t>
      </w:r>
      <w:r>
        <w:rPr>
          <w:sz w:val="20"/>
          <w:szCs w:val="20"/>
        </w:rPr>
        <w:t>ongoing clinical trials. However, a number of factors, including scheduling conflicts with participating clinicians and clinical institutions, and difficulties in identifying and enrolling patients who meet trial eligibility criteria, may cause significant</w:t>
      </w:r>
      <w:r>
        <w:rPr>
          <w:sz w:val="20"/>
          <w:szCs w:val="20"/>
        </w:rPr>
        <w:t xml:space="preserve"> delays. We may not commence or complete clinical trials involving any of our products as projected or may not conduct them successfully.</w:t>
      </w:r>
    </w:p>
    <w:p w:rsidR="00000000" w:rsidRDefault="00FF2C06">
      <w:pPr>
        <w:pStyle w:val="a3"/>
        <w:spacing w:before="0" w:beforeAutospacing="0" w:after="200" w:afterAutospacing="0"/>
        <w:ind w:firstLine="547"/>
        <w:divId w:val="1154638211"/>
        <w:rPr>
          <w:sz w:val="20"/>
          <w:szCs w:val="20"/>
        </w:rPr>
      </w:pPr>
      <w:r>
        <w:rPr>
          <w:sz w:val="20"/>
          <w:szCs w:val="20"/>
        </w:rPr>
        <w:t>We are currently enrolling our company-sponsored, Phase 2 clinical trials to assess its overall safety and efficacy in</w:t>
      </w:r>
      <w:r>
        <w:rPr>
          <w:sz w:val="20"/>
          <w:szCs w:val="20"/>
        </w:rPr>
        <w:t xml:space="preserve"> patients with melanoma, cervical, head and neck and lung cancers. However, we may experience difficulties in patient enrollment in our clinical trials for a variety of reasons. Our ability to enroll or treat patients in our other studies, or the duration </w:t>
      </w:r>
      <w:r>
        <w:rPr>
          <w:sz w:val="20"/>
          <w:szCs w:val="20"/>
        </w:rPr>
        <w:t>or costs of those studies, could be affected by multiple factors, including, preliminary clinical results, which may include efficacy and safety results from our ongoing Phase 2 studies, but may not be reflected in the final analyses of these trials. For e</w:t>
      </w:r>
      <w:r>
        <w:rPr>
          <w:sz w:val="20"/>
          <w:szCs w:val="20"/>
        </w:rPr>
        <w:t>xample, our studies of our TIL therapy lifileucel in patients with metastatic cervical cancer and metastatic melanoma utilize an “open-label” trial design. An open-label trial is one where both the patient and investigator know whether the patient is recei</w:t>
      </w:r>
      <w:r>
        <w:rPr>
          <w:sz w:val="20"/>
          <w:szCs w:val="20"/>
        </w:rPr>
        <w:t>ving the test article or either an existing approved drug or placebo, which has the potential to create selection bias in the investigators. In our Phase 2 open-label studies of TIL therapy lifileucel in patients with metastatic cervical cancer and metasta</w:t>
      </w:r>
      <w:r>
        <w:rPr>
          <w:sz w:val="20"/>
          <w:szCs w:val="20"/>
        </w:rPr>
        <w:t xml:space="preserve">tic melanoma, the investigators have significant discretion over the selection of patient participants. Although preliminary data from these trials was generally positive, that data may not necessarily be representative of interim or final results, as new </w:t>
      </w:r>
      <w:r>
        <w:rPr>
          <w:sz w:val="20"/>
          <w:szCs w:val="20"/>
        </w:rPr>
        <w:t>patients are cycled through the applicable treatment regimes. As the trials continue, the investigators may prioritize patients with more progressed forms of cancer than the initial patient population, based on the success or perceived success of that init</w:t>
      </w:r>
      <w:r>
        <w:rPr>
          <w:sz w:val="20"/>
          <w:szCs w:val="20"/>
        </w:rPr>
        <w:t>ial population. Patients with more progressed forms of cancer may be less responsive to treatment, and accordingly, interim efficacy data may show a decline in patient response rate or other assessment metrics. As the trials continue, investigators may shi</w:t>
      </w:r>
      <w:r>
        <w:rPr>
          <w:sz w:val="20"/>
          <w:szCs w:val="20"/>
        </w:rPr>
        <w:t xml:space="preserve">ft their approach to the patient population, which may ultimately result in a decline in both interim and final efficacy data from the preliminary data, or conversely, an increase in final efficacy data following a decline in the interim efficacy data, as </w:t>
      </w:r>
      <w:r>
        <w:rPr>
          <w:sz w:val="20"/>
          <w:szCs w:val="20"/>
        </w:rPr>
        <w:t>patients with more progressed forms of cancer are cycled out of the trials and replaced by patients with less advanced forms of cancer. This opportunity for investigator selection bias in our trials as a result of open-label design may not be adequately ha</w:t>
      </w:r>
      <w:r>
        <w:rPr>
          <w:sz w:val="20"/>
          <w:szCs w:val="20"/>
        </w:rPr>
        <w:t xml:space="preserve">ndled and may cause a decline in or distortion of clinical trial data from our preliminary results. Depending on the outcome of our open-label studies, we may need to conduct one or more follow-up or supporting studies in order to successfully develop our </w:t>
      </w:r>
      <w:r>
        <w:rPr>
          <w:sz w:val="20"/>
          <w:szCs w:val="20"/>
        </w:rPr>
        <w:t xml:space="preserve">products for FDA approval. Many companies in the biotechnology, pharmaceutical and medical device industries have suffered significant setbacks in late-stage clinical trials after achieving positive results in earlier development, and we cannot be certain </w:t>
      </w:r>
      <w:r>
        <w:rPr>
          <w:sz w:val="20"/>
          <w:szCs w:val="20"/>
        </w:rPr>
        <w:t>that we will not face such setbacks.</w:t>
      </w:r>
    </w:p>
    <w:p w:rsidR="00000000" w:rsidRDefault="00FF2C06">
      <w:pPr>
        <w:pStyle w:val="a3"/>
        <w:spacing w:before="0" w:beforeAutospacing="0" w:after="0" w:afterAutospacing="0"/>
        <w:ind w:firstLine="547"/>
        <w:divId w:val="1154638211"/>
        <w:rPr>
          <w:sz w:val="20"/>
          <w:szCs w:val="20"/>
        </w:rPr>
      </w:pPr>
      <w:r>
        <w:rPr>
          <w:sz w:val="20"/>
          <w:szCs w:val="20"/>
        </w:rPr>
        <w:t>Furthermore, the timely completion of clinical trials in accordance with their protocols depends, among other things, on our ability to enroll a sufficient number of patients who remain in the study until its conclusion</w:t>
      </w:r>
      <w:r>
        <w:rPr>
          <w:sz w:val="20"/>
          <w:szCs w:val="20"/>
        </w:rPr>
        <w:t xml:space="preserve">, including the ability of us or our </w:t>
      </w:r>
    </w:p>
    <w:p w:rsidR="00000000" w:rsidRDefault="00FF2C06">
      <w:pPr>
        <w:pStyle w:val="a3"/>
        <w:spacing w:before="480" w:beforeAutospacing="0" w:after="0" w:afterAutospacing="0"/>
        <w:jc w:val="center"/>
        <w:divId w:val="258606894"/>
        <w:rPr>
          <w:sz w:val="20"/>
          <w:szCs w:val="20"/>
        </w:rPr>
      </w:pPr>
      <w:r>
        <w:rPr>
          <w:sz w:val="20"/>
          <w:szCs w:val="20"/>
        </w:rPr>
        <w:t>42</w:t>
      </w:r>
    </w:p>
    <w:p w:rsidR="00000000" w:rsidRDefault="00FF2C06">
      <w:pPr>
        <w:pStyle w:val="a3"/>
        <w:spacing w:before="0" w:beforeAutospacing="0" w:after="600" w:afterAutospacing="0"/>
        <w:divId w:val="1028751182"/>
        <w:rPr>
          <w:sz w:val="20"/>
          <w:szCs w:val="20"/>
        </w:rPr>
      </w:pPr>
      <w:hyperlink w:anchor="TOC" w:history="1">
        <w:r>
          <w:rPr>
            <w:rStyle w:val="a4"/>
            <w:sz w:val="20"/>
            <w:szCs w:val="20"/>
          </w:rPr>
          <w:t>Table of Contents</w:t>
        </w:r>
      </w:hyperlink>
    </w:p>
    <w:p w:rsidR="00000000" w:rsidRDefault="00FF2C06">
      <w:pPr>
        <w:pStyle w:val="a3"/>
        <w:spacing w:before="0" w:beforeAutospacing="0" w:after="200" w:afterAutospacing="0"/>
        <w:divId w:val="1912498287"/>
        <w:rPr>
          <w:sz w:val="20"/>
          <w:szCs w:val="20"/>
        </w:rPr>
      </w:pPr>
      <w:r>
        <w:rPr>
          <w:sz w:val="20"/>
          <w:szCs w:val="20"/>
        </w:rPr>
        <w:t>collaborators to conduct clinical trials under the constraints of the COVID-19 Pandemic. In addition, our clinical trials will compete with other clinical trials for produ</w:t>
      </w:r>
      <w:r>
        <w:rPr>
          <w:sz w:val="20"/>
          <w:szCs w:val="20"/>
        </w:rPr>
        <w:t xml:space="preserve">ct candidates that are in the same therapeutic areas as our product candidates, and this competition will reduce the number and types of patients available to us, because some patients who might have opted to enroll in our trials may instead opt to enroll </w:t>
      </w:r>
      <w:r>
        <w:rPr>
          <w:sz w:val="20"/>
          <w:szCs w:val="20"/>
        </w:rPr>
        <w:t>in a trial being conducted by one of our competitors. Accordingly, we cannot guarantee that the trial will progress as planned or as scheduled. Delays in patient enrollment may result in increased costs or may affect the timing or outcome of our ongoing cl</w:t>
      </w:r>
      <w:r>
        <w:rPr>
          <w:sz w:val="20"/>
          <w:szCs w:val="20"/>
        </w:rPr>
        <w:t>inical trial and planned clinical trials, which could prevent completion of these trials and adversely affect our ability to advance the development of our product candidates.</w:t>
      </w:r>
    </w:p>
    <w:p w:rsidR="00000000" w:rsidRDefault="00FF2C06">
      <w:pPr>
        <w:pStyle w:val="a3"/>
        <w:spacing w:before="0" w:beforeAutospacing="0" w:after="200" w:afterAutospacing="0"/>
        <w:ind w:firstLine="547"/>
        <w:divId w:val="1912498287"/>
        <w:rPr>
          <w:sz w:val="20"/>
          <w:szCs w:val="20"/>
        </w:rPr>
      </w:pPr>
      <w:r>
        <w:rPr>
          <w:sz w:val="20"/>
          <w:szCs w:val="20"/>
        </w:rPr>
        <w:t>We expect to rely on medical institutions, academic institutions or CROs to cond</w:t>
      </w:r>
      <w:r>
        <w:rPr>
          <w:sz w:val="20"/>
          <w:szCs w:val="20"/>
        </w:rPr>
        <w:t>uct, supervise or monitor some or all aspects of clinical trials involving our products. We will have less control over the timing and other aspects of these clinical trials than if we conducted them entirely on our own. If we fail to commence or complete,</w:t>
      </w:r>
      <w:r>
        <w:rPr>
          <w:sz w:val="20"/>
          <w:szCs w:val="20"/>
        </w:rPr>
        <w:t xml:space="preserve"> or experience delays in, any of our planned clinical trials, our stock price and our ability to conduct our business as currently planned could be harmed.</w:t>
      </w:r>
    </w:p>
    <w:p w:rsidR="00000000" w:rsidRDefault="00FF2C06">
      <w:pPr>
        <w:pStyle w:val="a3"/>
        <w:spacing w:before="0" w:beforeAutospacing="0" w:after="200" w:afterAutospacing="0"/>
        <w:ind w:firstLine="547"/>
        <w:divId w:val="1912498287"/>
        <w:rPr>
          <w:sz w:val="20"/>
          <w:szCs w:val="20"/>
        </w:rPr>
      </w:pPr>
      <w:r>
        <w:rPr>
          <w:sz w:val="20"/>
          <w:szCs w:val="20"/>
        </w:rPr>
        <w:t>We currently anticipate that we will have to rely on our CMOs to manufacture our adoptive cell thera</w:t>
      </w:r>
      <w:r>
        <w:rPr>
          <w:sz w:val="20"/>
          <w:szCs w:val="20"/>
        </w:rPr>
        <w:t xml:space="preserve">py and biologic products for clinical trials. If they fail to commence or complete, or experiences delays in, manufacturing our adoptive cell therapy and other biologic products, our planned clinical trials will be delayed, which will adversely affect our </w:t>
      </w:r>
      <w:r>
        <w:rPr>
          <w:sz w:val="20"/>
          <w:szCs w:val="20"/>
        </w:rPr>
        <w:t>stock price and our ability to conduct our business as currently planned.</w:t>
      </w:r>
    </w:p>
    <w:p w:rsidR="00000000" w:rsidRDefault="00FF2C06">
      <w:pPr>
        <w:pStyle w:val="a3"/>
        <w:spacing w:before="0" w:beforeAutospacing="0" w:after="200" w:afterAutospacing="0"/>
        <w:ind w:firstLine="547"/>
        <w:divId w:val="1912498287"/>
        <w:rPr>
          <w:sz w:val="20"/>
          <w:szCs w:val="20"/>
        </w:rPr>
      </w:pPr>
      <w:r>
        <w:rPr>
          <w:b/>
          <w:bCs/>
          <w:i/>
          <w:iCs/>
          <w:sz w:val="20"/>
          <w:szCs w:val="20"/>
        </w:rPr>
        <w:t>Clinical trials are expensive, time-consuming and difficult to design and implement, and our clinical trial costs may be higher than for more conventional therapeutic technologies or</w:t>
      </w:r>
      <w:r>
        <w:rPr>
          <w:b/>
          <w:bCs/>
          <w:i/>
          <w:iCs/>
          <w:sz w:val="20"/>
          <w:szCs w:val="20"/>
        </w:rPr>
        <w:t xml:space="preserve"> drug products.</w:t>
      </w:r>
    </w:p>
    <w:p w:rsidR="00000000" w:rsidRDefault="00FF2C06">
      <w:pPr>
        <w:pStyle w:val="a3"/>
        <w:spacing w:before="0" w:beforeAutospacing="0" w:after="200" w:afterAutospacing="0"/>
        <w:ind w:firstLine="547"/>
        <w:divId w:val="1912498287"/>
        <w:rPr>
          <w:sz w:val="20"/>
          <w:szCs w:val="20"/>
        </w:rPr>
      </w:pPr>
      <w:r>
        <w:rPr>
          <w:sz w:val="20"/>
          <w:szCs w:val="20"/>
        </w:rPr>
        <w:t>Clinical trials are expensive and difficult to design and implement, in part because they are subject to rigorous regulatory requirements. Because our product candidates include candidates based on new cell therapy technologies and manufact</w:t>
      </w:r>
      <w:r>
        <w:rPr>
          <w:sz w:val="20"/>
          <w:szCs w:val="20"/>
        </w:rPr>
        <w:t xml:space="preserve">ured on a patient-by-patient basis, we expect that they will require extensive research and development and have substantial manufacturing costs. In addition, costs to treat patients with relapsed/refractory cancer and to treat potential side effects that </w:t>
      </w:r>
      <w:r>
        <w:rPr>
          <w:sz w:val="20"/>
          <w:szCs w:val="20"/>
        </w:rPr>
        <w:t>may result from our product candidates can be significant. Some clinical trial sites may not bill, or obtain coverage from Medicare, Medicaid, or other third-party payors for some or all of these costs for patients enrolled in our clinical trials, and we m</w:t>
      </w:r>
      <w:r>
        <w:rPr>
          <w:sz w:val="20"/>
          <w:szCs w:val="20"/>
        </w:rPr>
        <w:t>ay be required by those trial sites to pay such costs. Accordingly, our clinical trial costs are likely to be significantly higher per patient than those of more conventional therapeutic technologies or drug products. In addition, our proposed personalized</w:t>
      </w:r>
      <w:r>
        <w:rPr>
          <w:sz w:val="20"/>
          <w:szCs w:val="20"/>
        </w:rPr>
        <w:t xml:space="preserve"> product candidates involve several complex and costly manufacturing and processing steps, the costs of which will be borne by us. We are also responsible for the manufacturing costs of products for patients that may have a tumor resection but ultimately d</w:t>
      </w:r>
      <w:r>
        <w:rPr>
          <w:sz w:val="20"/>
          <w:szCs w:val="20"/>
        </w:rPr>
        <w:t>o not receive an infusion. Depending on the number of patients that we ultimately screen and enroll in our trials, and the number of trials that we may need to conduct, our overall clinical trial costs may be higher than for more conventional treatments.</w:t>
      </w:r>
    </w:p>
    <w:p w:rsidR="00000000" w:rsidRDefault="00FF2C06">
      <w:pPr>
        <w:pStyle w:val="a3"/>
        <w:spacing w:before="0" w:beforeAutospacing="0" w:after="200" w:afterAutospacing="0"/>
        <w:ind w:firstLine="547"/>
        <w:divId w:val="1912498287"/>
        <w:rPr>
          <w:sz w:val="20"/>
          <w:szCs w:val="20"/>
        </w:rPr>
      </w:pPr>
      <w:r>
        <w:rPr>
          <w:b/>
          <w:bCs/>
          <w:i/>
          <w:iCs/>
          <w:sz w:val="20"/>
          <w:szCs w:val="20"/>
        </w:rPr>
        <w:t>O</w:t>
      </w:r>
      <w:r>
        <w:rPr>
          <w:b/>
          <w:bCs/>
          <w:i/>
          <w:iCs/>
          <w:sz w:val="20"/>
          <w:szCs w:val="20"/>
        </w:rPr>
        <w:t>ur clinical trials may fail to demonstrate adequately the safety and efficacy of our product candidates, which would prevent or delay regulatory approval and commercialization.</w:t>
      </w:r>
    </w:p>
    <w:p w:rsidR="00000000" w:rsidRDefault="00FF2C06">
      <w:pPr>
        <w:pStyle w:val="a3"/>
        <w:spacing w:before="0" w:beforeAutospacing="0" w:after="0" w:afterAutospacing="0"/>
        <w:ind w:firstLine="547"/>
        <w:divId w:val="1912498287"/>
        <w:rPr>
          <w:sz w:val="20"/>
          <w:szCs w:val="20"/>
        </w:rPr>
      </w:pPr>
      <w:r>
        <w:rPr>
          <w:sz w:val="20"/>
          <w:szCs w:val="20"/>
        </w:rPr>
        <w:t>The clinical trials of our product candidates are, and the manufacturing and ma</w:t>
      </w:r>
      <w:r>
        <w:rPr>
          <w:sz w:val="20"/>
          <w:szCs w:val="20"/>
        </w:rPr>
        <w:t>rketing of our products will be, subject to extensive and rigorous review and regulation by numerous government authorities in the United States and in other countries where we intend to test and market our product candidates. Before obtaining regulatory a</w:t>
      </w:r>
      <w:r>
        <w:rPr>
          <w:sz w:val="20"/>
          <w:szCs w:val="20"/>
        </w:rPr>
        <w:t>pprovals for the commercial sale of any of our product candidates, we must demonstrate through lengthy, complex and expensive preclinical testing and clinical trials that our product candidates are both safe and effective for use in each target indication.</w:t>
      </w:r>
      <w:r>
        <w:rPr>
          <w:sz w:val="20"/>
          <w:szCs w:val="20"/>
        </w:rPr>
        <w:t xml:space="preserve"> Because our product candidates are subject to regulation as biological drug products, we will need to demonstrate that they are safe, pure, and potent for use in their target indications. Each product candidate must demonstrate an adequate risk versus ben</w:t>
      </w:r>
      <w:r>
        <w:rPr>
          <w:sz w:val="20"/>
          <w:szCs w:val="20"/>
        </w:rPr>
        <w:t xml:space="preserve">efit profile in its intended patient population and for its intended use. The risk/benefit profile required for product licensure will vary depending on these factors and may include not only the ability to show tumor shrinkage, but also adequate duration </w:t>
      </w:r>
      <w:r>
        <w:rPr>
          <w:sz w:val="20"/>
          <w:szCs w:val="20"/>
        </w:rPr>
        <w:t>of response, a delay in the progression of the disease, and/or an improvement in survival. For example, response rates from the use of our product candidates may not be sufficient to obtain regulatory approval unless we can also show an adequate duration o</w:t>
      </w:r>
      <w:r>
        <w:rPr>
          <w:sz w:val="20"/>
          <w:szCs w:val="20"/>
        </w:rPr>
        <w:t>f response. Regulatory authorities may ultimately disagree with our chosen endpoints or may find that our studies or study results do not support product approval. Clinical testing is expensive and can take many years to complete, and its outcome is inhere</w:t>
      </w:r>
      <w:r>
        <w:rPr>
          <w:sz w:val="20"/>
          <w:szCs w:val="20"/>
        </w:rPr>
        <w:t>ntly uncertain. Failure can occur at any time during the clinical trial process. The results of preclinical studies and early clinical trials of our product candidates with small patient populations may not be predictive of the results of later-stage clini</w:t>
      </w:r>
      <w:r>
        <w:rPr>
          <w:sz w:val="20"/>
          <w:szCs w:val="20"/>
        </w:rPr>
        <w:t>cal trials or the results once the applicable clinical trials are completed. Preliminary, single cohort, or top-line results from clinical studies may not be representative of the final study results. The results of studies in one set of patients or line o</w:t>
      </w:r>
      <w:r>
        <w:rPr>
          <w:sz w:val="20"/>
          <w:szCs w:val="20"/>
        </w:rPr>
        <w:t>f treatment may not be predictive of those obtained in another and the results in various human clinical trials reported in scientific and medical literature may not be indicative of results we obtain in our clinical trials. Product candidates in later sta</w:t>
      </w:r>
      <w:r>
        <w:rPr>
          <w:sz w:val="20"/>
          <w:szCs w:val="20"/>
        </w:rPr>
        <w:t xml:space="preserve">ges of </w:t>
      </w:r>
    </w:p>
    <w:p w:rsidR="00000000" w:rsidRDefault="00FF2C06">
      <w:pPr>
        <w:pStyle w:val="a3"/>
        <w:spacing w:before="480" w:beforeAutospacing="0" w:after="0" w:afterAutospacing="0"/>
        <w:jc w:val="center"/>
        <w:divId w:val="2144304381"/>
        <w:rPr>
          <w:sz w:val="20"/>
          <w:szCs w:val="20"/>
        </w:rPr>
      </w:pPr>
      <w:r>
        <w:rPr>
          <w:sz w:val="20"/>
          <w:szCs w:val="20"/>
        </w:rPr>
        <w:t>43</w:t>
      </w:r>
    </w:p>
    <w:p w:rsidR="00000000" w:rsidRDefault="00FF2C06">
      <w:pPr>
        <w:pStyle w:val="a3"/>
        <w:spacing w:before="0" w:beforeAutospacing="0" w:after="600" w:afterAutospacing="0"/>
        <w:divId w:val="411389753"/>
        <w:rPr>
          <w:sz w:val="20"/>
          <w:szCs w:val="20"/>
        </w:rPr>
      </w:pPr>
      <w:hyperlink w:anchor="TOC" w:history="1">
        <w:r>
          <w:rPr>
            <w:rStyle w:val="a4"/>
            <w:sz w:val="20"/>
            <w:szCs w:val="20"/>
          </w:rPr>
          <w:t>Table of Contents</w:t>
        </w:r>
      </w:hyperlink>
    </w:p>
    <w:p w:rsidR="00000000" w:rsidRDefault="00FF2C06">
      <w:pPr>
        <w:pStyle w:val="a3"/>
        <w:spacing w:before="0" w:beforeAutospacing="0" w:after="200" w:afterAutospacing="0"/>
        <w:divId w:val="1540127105"/>
        <w:rPr>
          <w:sz w:val="20"/>
          <w:szCs w:val="20"/>
        </w:rPr>
      </w:pPr>
      <w:r>
        <w:rPr>
          <w:sz w:val="20"/>
          <w:szCs w:val="20"/>
        </w:rPr>
        <w:t>clinical trials may fail to show the desired safety and efficacy traits despite having progressed through preclinical studies and initial clinical trials. Preclinical studies may also reveal unfavorabl</w:t>
      </w:r>
      <w:r>
        <w:rPr>
          <w:sz w:val="20"/>
          <w:szCs w:val="20"/>
        </w:rPr>
        <w:t>e product candidate characteristics, including safety concerns.</w:t>
      </w:r>
    </w:p>
    <w:p w:rsidR="00000000" w:rsidRDefault="00FF2C06">
      <w:pPr>
        <w:pStyle w:val="a3"/>
        <w:spacing w:before="0" w:beforeAutospacing="0" w:after="200" w:afterAutospacing="0"/>
        <w:ind w:firstLine="547"/>
        <w:divId w:val="1540127105"/>
        <w:rPr>
          <w:sz w:val="20"/>
          <w:szCs w:val="20"/>
        </w:rPr>
      </w:pPr>
      <w:r>
        <w:rPr>
          <w:sz w:val="20"/>
          <w:szCs w:val="20"/>
        </w:rPr>
        <w:t>We expect there may be greater variability in results for products processed and administered on a patient-by-patient basis, as anticipated for our product candidates, than for “off-the-shelf”</w:t>
      </w:r>
      <w:r>
        <w:rPr>
          <w:sz w:val="20"/>
          <w:szCs w:val="20"/>
        </w:rPr>
        <w:t xml:space="preserve"> products, like many other drugs. There is typically an extremely high rate of attrition from the failure of product candidates proceeding through clinical trials. Product candidates in later stages of clinical trials may fail to show the desired safety an</w:t>
      </w:r>
      <w:r>
        <w:rPr>
          <w:sz w:val="20"/>
          <w:szCs w:val="20"/>
        </w:rPr>
        <w:t>d efficacy profile despite having progressed through preclinical studies and initial clinical trials. Many companies in the biopharmaceutical industry have suffered significant setbacks in advanced clinical trials due to lack of efficacy or unacceptable sa</w:t>
      </w:r>
      <w:r>
        <w:rPr>
          <w:sz w:val="20"/>
          <w:szCs w:val="20"/>
        </w:rPr>
        <w:t>fety issues, notwithstanding promising results in earlier trials. Most product candidates that begin clinical trials are never approved by regulatory authorities for commercialization.</w:t>
      </w:r>
    </w:p>
    <w:p w:rsidR="00000000" w:rsidRDefault="00FF2C06">
      <w:pPr>
        <w:pStyle w:val="a3"/>
        <w:spacing w:before="0" w:beforeAutospacing="0" w:after="200" w:afterAutospacing="0"/>
        <w:ind w:firstLine="547"/>
        <w:divId w:val="1540127105"/>
        <w:rPr>
          <w:sz w:val="20"/>
          <w:szCs w:val="20"/>
        </w:rPr>
      </w:pPr>
      <w:r>
        <w:rPr>
          <w:sz w:val="20"/>
          <w:szCs w:val="20"/>
        </w:rPr>
        <w:t>In some instances, there can be significant variability in safety or ef</w:t>
      </w:r>
      <w:r>
        <w:rPr>
          <w:sz w:val="20"/>
          <w:szCs w:val="20"/>
        </w:rPr>
        <w:t>ficacy results between different clinical trials of the same product candidate due to numerous factors, including changes in trial procedures set forth in protocols, differences in the size and type of the patient populations, changes in and adherence to t</w:t>
      </w:r>
      <w:r>
        <w:rPr>
          <w:sz w:val="20"/>
          <w:szCs w:val="20"/>
        </w:rPr>
        <w:t xml:space="preserve">he clinical trial protocols and the rate of dropout among clinical trial participants. Our current and future clinical trial results may not be successful. Moreover, should there be a flaw in a clinical trial, it may not become apparent until the clinical </w:t>
      </w:r>
      <w:r>
        <w:rPr>
          <w:sz w:val="20"/>
          <w:szCs w:val="20"/>
        </w:rPr>
        <w:t xml:space="preserve">trial is well advanced. Further, because we currently plan to test our product candidates for use with other oncology products, the design, implementation, and interpretation of the clinical trials necessary for marketing approval may be more complex than </w:t>
      </w:r>
      <w:r>
        <w:rPr>
          <w:sz w:val="20"/>
          <w:szCs w:val="20"/>
        </w:rPr>
        <w:t>if we were developing our product candidates alone.</w:t>
      </w:r>
    </w:p>
    <w:p w:rsidR="00000000" w:rsidRDefault="00FF2C06">
      <w:pPr>
        <w:pStyle w:val="a3"/>
        <w:spacing w:before="0" w:beforeAutospacing="0" w:after="200" w:afterAutospacing="0"/>
        <w:ind w:firstLine="547"/>
        <w:divId w:val="1540127105"/>
        <w:rPr>
          <w:sz w:val="20"/>
          <w:szCs w:val="20"/>
        </w:rPr>
      </w:pPr>
      <w:r>
        <w:rPr>
          <w:sz w:val="20"/>
          <w:szCs w:val="20"/>
        </w:rPr>
        <w:t xml:space="preserve">In addition, even if such trials are successfully completed, we cannot guarantee that the FDA or foreign regulatory authorities will interpret the results as we do, and more trials could be required before we submit our product candidates for approval. To </w:t>
      </w:r>
      <w:r>
        <w:rPr>
          <w:sz w:val="20"/>
          <w:szCs w:val="20"/>
        </w:rPr>
        <w:t xml:space="preserve">the extent that the results of the trials are not satisfactory to the FDA or foreign regulatory authorities for support of a marketing application, we may be required to expend significant resources, which may not be available to us, to conduct additional </w:t>
      </w:r>
      <w:r>
        <w:rPr>
          <w:sz w:val="20"/>
          <w:szCs w:val="20"/>
        </w:rPr>
        <w:t>trials in support of potential approval of our product candidates.</w:t>
      </w:r>
    </w:p>
    <w:p w:rsidR="00000000" w:rsidRDefault="00FF2C06">
      <w:pPr>
        <w:pStyle w:val="a3"/>
        <w:spacing w:before="0" w:beforeAutospacing="0" w:after="200" w:afterAutospacing="0"/>
        <w:ind w:firstLine="547"/>
        <w:divId w:val="1540127105"/>
        <w:rPr>
          <w:sz w:val="20"/>
          <w:szCs w:val="20"/>
        </w:rPr>
      </w:pPr>
      <w:r>
        <w:rPr>
          <w:sz w:val="20"/>
          <w:szCs w:val="20"/>
        </w:rPr>
        <w:t>We have reported preliminary results for clinical trials of our product candidates, including TIL for the treatment of metastatic melanoma, cervical cancer, and head and neck cancers. These</w:t>
      </w:r>
      <w:r>
        <w:rPr>
          <w:sz w:val="20"/>
          <w:szCs w:val="20"/>
        </w:rPr>
        <w:t xml:space="preserve"> preliminary results, which include assessments of efficacy such as ORR, are subject to substantial risk of change due to small sample sizes and may change as patients are evaluated or as additional patients are enrolled in these clinical trials. These out</w:t>
      </w:r>
      <w:r>
        <w:rPr>
          <w:sz w:val="20"/>
          <w:szCs w:val="20"/>
        </w:rPr>
        <w:t xml:space="preserve">comes may be unfavorable, deviate from our earlier reports, and/or delay or prevent regulatory approval or commercialization of our product candidates, including candidates for which we have reported preliminary efficacy results. In clinical studies where </w:t>
      </w:r>
      <w:r>
        <w:rPr>
          <w:sz w:val="20"/>
          <w:szCs w:val="20"/>
        </w:rPr>
        <w:t>a staged expansion is expected, such as studies using a Simon’s two stage design, these outcomes may result in the failure to meet an initial efficacy threshold for the first stage. Furthermore, other measures of efficacy for these clinical trials and prod</w:t>
      </w:r>
      <w:r>
        <w:rPr>
          <w:sz w:val="20"/>
          <w:szCs w:val="20"/>
        </w:rPr>
        <w:t>uct candidates may not be as favorable.</w:t>
      </w:r>
    </w:p>
    <w:p w:rsidR="00000000" w:rsidRDefault="00FF2C06">
      <w:pPr>
        <w:pStyle w:val="a3"/>
        <w:spacing w:before="0" w:beforeAutospacing="0" w:after="200" w:afterAutospacing="0"/>
        <w:ind w:firstLine="547"/>
        <w:divId w:val="1540127105"/>
        <w:rPr>
          <w:sz w:val="20"/>
          <w:szCs w:val="20"/>
        </w:rPr>
      </w:pPr>
      <w:r>
        <w:rPr>
          <w:b/>
          <w:bCs/>
          <w:i/>
          <w:iCs/>
          <w:sz w:val="20"/>
          <w:szCs w:val="20"/>
        </w:rPr>
        <w:t>If we encounter difficulties enrolling patients in our clinical trials, our clinical development activities could be delayed or otherwise adversely affected.</w:t>
      </w:r>
    </w:p>
    <w:p w:rsidR="00000000" w:rsidRDefault="00FF2C06">
      <w:pPr>
        <w:pStyle w:val="a3"/>
        <w:spacing w:before="0" w:beforeAutospacing="0" w:after="200" w:afterAutospacing="0"/>
        <w:ind w:firstLine="547"/>
        <w:divId w:val="1540127105"/>
        <w:rPr>
          <w:sz w:val="20"/>
          <w:szCs w:val="20"/>
        </w:rPr>
      </w:pPr>
      <w:r>
        <w:rPr>
          <w:sz w:val="20"/>
          <w:szCs w:val="20"/>
        </w:rPr>
        <w:t>The timely completion of clinical trials in accordance wit</w:t>
      </w:r>
      <w:r>
        <w:rPr>
          <w:sz w:val="20"/>
          <w:szCs w:val="20"/>
        </w:rPr>
        <w:t>h their protocols depends, among other things, on our ability to enroll a sufficient number of patients, or similar patients in the pivotal program to the Phase 2, who remain in the trial until its conclusion. We may experience difficulties or delays in pa</w:t>
      </w:r>
      <w:r>
        <w:rPr>
          <w:sz w:val="20"/>
          <w:szCs w:val="20"/>
        </w:rPr>
        <w:t>tient enrollment in our clinical trials for a variety of reasons, including:</w:t>
      </w:r>
    </w:p>
    <w:p w:rsidR="00000000" w:rsidRDefault="00FF2C06">
      <w:pPr>
        <w:ind w:left="547" w:hanging="360"/>
        <w:divId w:val="1806921677"/>
        <w:rPr>
          <w:rFonts w:eastAsia="Times New Roman"/>
          <w:sz w:val="20"/>
          <w:szCs w:val="20"/>
        </w:rPr>
      </w:pPr>
      <w:r>
        <w:rPr>
          <w:rFonts w:eastAsia="Times New Roman"/>
          <w:sz w:val="20"/>
          <w:szCs w:val="20"/>
        </w:rPr>
        <w:t>●</w:t>
      </w:r>
      <w:r>
        <w:rPr>
          <w:rFonts w:eastAsia="Times New Roman"/>
          <w:sz w:val="20"/>
          <w:szCs w:val="20"/>
        </w:rPr>
        <w:t>the size and nature of the patient population;</w:t>
      </w:r>
    </w:p>
    <w:p w:rsidR="00000000" w:rsidRDefault="00FF2C06">
      <w:pPr>
        <w:ind w:left="547" w:hanging="360"/>
        <w:divId w:val="1015887926"/>
        <w:rPr>
          <w:rFonts w:eastAsia="Times New Roman"/>
          <w:sz w:val="20"/>
          <w:szCs w:val="20"/>
        </w:rPr>
      </w:pPr>
      <w:r>
        <w:rPr>
          <w:rFonts w:eastAsia="Times New Roman"/>
          <w:sz w:val="20"/>
          <w:szCs w:val="20"/>
        </w:rPr>
        <w:t>●</w:t>
      </w:r>
      <w:r>
        <w:rPr>
          <w:rFonts w:eastAsia="Times New Roman"/>
          <w:sz w:val="20"/>
          <w:szCs w:val="20"/>
        </w:rPr>
        <w:t>the severity of the disease under investigation;</w:t>
      </w:r>
    </w:p>
    <w:p w:rsidR="00000000" w:rsidRDefault="00FF2C06">
      <w:pPr>
        <w:ind w:left="547" w:hanging="360"/>
        <w:divId w:val="223227341"/>
        <w:rPr>
          <w:rFonts w:eastAsia="Times New Roman"/>
          <w:sz w:val="20"/>
          <w:szCs w:val="20"/>
        </w:rPr>
      </w:pPr>
      <w:r>
        <w:rPr>
          <w:rFonts w:eastAsia="Times New Roman"/>
          <w:sz w:val="20"/>
          <w:szCs w:val="20"/>
        </w:rPr>
        <w:t>●</w:t>
      </w:r>
      <w:r>
        <w:rPr>
          <w:rFonts w:eastAsia="Times New Roman"/>
          <w:sz w:val="20"/>
          <w:szCs w:val="20"/>
        </w:rPr>
        <w:t>the patient eligibility criteria defined in the protocol;</w:t>
      </w:r>
    </w:p>
    <w:p w:rsidR="00000000" w:rsidRDefault="00FF2C06">
      <w:pPr>
        <w:ind w:left="547" w:hanging="360"/>
        <w:divId w:val="957876036"/>
        <w:rPr>
          <w:rFonts w:eastAsia="Times New Roman"/>
          <w:sz w:val="20"/>
          <w:szCs w:val="20"/>
        </w:rPr>
      </w:pPr>
      <w:r>
        <w:rPr>
          <w:rFonts w:eastAsia="Times New Roman"/>
          <w:sz w:val="20"/>
          <w:szCs w:val="20"/>
        </w:rPr>
        <w:t>●</w:t>
      </w:r>
      <w:r>
        <w:rPr>
          <w:rFonts w:eastAsia="Times New Roman"/>
          <w:sz w:val="20"/>
          <w:szCs w:val="20"/>
        </w:rPr>
        <w:t>the size of the study</w:t>
      </w:r>
      <w:r>
        <w:rPr>
          <w:rFonts w:eastAsia="Times New Roman"/>
          <w:sz w:val="20"/>
          <w:szCs w:val="20"/>
        </w:rPr>
        <w:t xml:space="preserve"> population required for analysis of the trial’s primary endpoints;</w:t>
      </w:r>
    </w:p>
    <w:p w:rsidR="00000000" w:rsidRDefault="00FF2C06">
      <w:pPr>
        <w:ind w:left="547" w:hanging="360"/>
        <w:divId w:val="1045451405"/>
        <w:rPr>
          <w:rFonts w:eastAsia="Times New Roman"/>
          <w:sz w:val="20"/>
          <w:szCs w:val="20"/>
        </w:rPr>
      </w:pPr>
      <w:r>
        <w:rPr>
          <w:rFonts w:eastAsia="Times New Roman"/>
          <w:sz w:val="20"/>
          <w:szCs w:val="20"/>
        </w:rPr>
        <w:t>●</w:t>
      </w:r>
      <w:r>
        <w:rPr>
          <w:rFonts w:eastAsia="Times New Roman"/>
          <w:sz w:val="20"/>
          <w:szCs w:val="20"/>
        </w:rPr>
        <w:t>the proximity of patients to trial sites;</w:t>
      </w:r>
    </w:p>
    <w:p w:rsidR="00000000" w:rsidRDefault="00FF2C06">
      <w:pPr>
        <w:ind w:left="547" w:hanging="360"/>
        <w:divId w:val="61099539"/>
        <w:rPr>
          <w:rFonts w:eastAsia="Times New Roman"/>
          <w:sz w:val="20"/>
          <w:szCs w:val="20"/>
        </w:rPr>
      </w:pPr>
      <w:r>
        <w:rPr>
          <w:rFonts w:eastAsia="Times New Roman"/>
          <w:sz w:val="20"/>
          <w:szCs w:val="20"/>
        </w:rPr>
        <w:t>●</w:t>
      </w:r>
      <w:r>
        <w:rPr>
          <w:rFonts w:eastAsia="Times New Roman"/>
          <w:sz w:val="20"/>
          <w:szCs w:val="20"/>
        </w:rPr>
        <w:t>the design of the trial;</w:t>
      </w:r>
    </w:p>
    <w:p w:rsidR="00000000" w:rsidRDefault="00FF2C06">
      <w:pPr>
        <w:ind w:left="547" w:hanging="360"/>
        <w:divId w:val="1516576898"/>
        <w:rPr>
          <w:rFonts w:eastAsia="Times New Roman"/>
          <w:sz w:val="20"/>
          <w:szCs w:val="20"/>
        </w:rPr>
      </w:pPr>
      <w:r>
        <w:rPr>
          <w:rFonts w:eastAsia="Times New Roman"/>
          <w:sz w:val="20"/>
          <w:szCs w:val="20"/>
        </w:rPr>
        <w:t>●</w:t>
      </w:r>
      <w:r>
        <w:rPr>
          <w:rFonts w:eastAsia="Times New Roman"/>
          <w:sz w:val="20"/>
          <w:szCs w:val="20"/>
        </w:rPr>
        <w:t>our ability to recruit clinical trial investigators with the appropriate competencies and experience;</w:t>
      </w:r>
    </w:p>
    <w:p w:rsidR="00000000" w:rsidRDefault="00FF2C06">
      <w:pPr>
        <w:ind w:left="547" w:hanging="360"/>
        <w:divId w:val="479158993"/>
        <w:rPr>
          <w:rFonts w:eastAsia="Times New Roman"/>
          <w:sz w:val="20"/>
          <w:szCs w:val="20"/>
        </w:rPr>
      </w:pPr>
      <w:r>
        <w:rPr>
          <w:rFonts w:eastAsia="Times New Roman"/>
          <w:sz w:val="20"/>
          <w:szCs w:val="20"/>
        </w:rPr>
        <w:t>●</w:t>
      </w:r>
      <w:r>
        <w:rPr>
          <w:rFonts w:eastAsia="Times New Roman"/>
          <w:sz w:val="20"/>
          <w:szCs w:val="20"/>
        </w:rPr>
        <w:t xml:space="preserve">the efforts to </w:t>
      </w:r>
      <w:r>
        <w:rPr>
          <w:rFonts w:eastAsia="Times New Roman"/>
          <w:sz w:val="20"/>
          <w:szCs w:val="20"/>
        </w:rPr>
        <w:t>facilitate timely enrollment in clinical trials and the effectiveness of recruiting publicity;</w:t>
      </w:r>
    </w:p>
    <w:p w:rsidR="00000000" w:rsidRDefault="00FF2C06">
      <w:pPr>
        <w:ind w:left="547" w:hanging="360"/>
        <w:divId w:val="39668094"/>
        <w:rPr>
          <w:rFonts w:eastAsia="Times New Roman"/>
          <w:sz w:val="20"/>
          <w:szCs w:val="20"/>
        </w:rPr>
      </w:pPr>
      <w:r>
        <w:rPr>
          <w:rFonts w:eastAsia="Times New Roman"/>
          <w:sz w:val="20"/>
          <w:szCs w:val="20"/>
        </w:rPr>
        <w:t>●</w:t>
      </w:r>
      <w:r>
        <w:rPr>
          <w:rFonts w:eastAsia="Times New Roman"/>
          <w:sz w:val="20"/>
          <w:szCs w:val="20"/>
        </w:rPr>
        <w:t>the patient referral practices of physicians;</w:t>
      </w:r>
    </w:p>
    <w:p w:rsidR="00000000" w:rsidRDefault="00FF2C06">
      <w:pPr>
        <w:ind w:left="547" w:hanging="360"/>
        <w:divId w:val="2132241858"/>
        <w:rPr>
          <w:rFonts w:eastAsia="Times New Roman"/>
          <w:sz w:val="20"/>
          <w:szCs w:val="20"/>
        </w:rPr>
      </w:pPr>
      <w:r>
        <w:rPr>
          <w:rFonts w:eastAsia="Times New Roman"/>
          <w:sz w:val="20"/>
          <w:szCs w:val="20"/>
        </w:rPr>
        <w:t>●</w:t>
      </w:r>
      <w:r>
        <w:rPr>
          <w:rFonts w:eastAsia="Times New Roman"/>
          <w:sz w:val="20"/>
          <w:szCs w:val="20"/>
        </w:rPr>
        <w:t>competing clinical trials for similar therapies or other new therapeutics not involving cell-based immunotherapy;</w:t>
      </w:r>
    </w:p>
    <w:p w:rsidR="00000000" w:rsidRDefault="00FF2C06">
      <w:pPr>
        <w:ind w:left="547" w:hanging="360"/>
        <w:divId w:val="1192375463"/>
        <w:rPr>
          <w:rFonts w:eastAsia="Times New Roman"/>
          <w:sz w:val="20"/>
          <w:szCs w:val="20"/>
        </w:rPr>
      </w:pPr>
      <w:r>
        <w:rPr>
          <w:rFonts w:eastAsia="Times New Roman"/>
          <w:sz w:val="20"/>
          <w:szCs w:val="20"/>
        </w:rPr>
        <w:t>●</w:t>
      </w:r>
      <w:r>
        <w:rPr>
          <w:rFonts w:eastAsia="Times New Roman"/>
          <w:sz w:val="20"/>
          <w:szCs w:val="20"/>
        </w:rPr>
        <w:t>clinicians’ and patients’ perceptions as to the potential advantages and side effects of the product candidate being studied in relation to other available therapies, including any new drugs or treatments that may be approved for the indications we are i</w:t>
      </w:r>
      <w:r>
        <w:rPr>
          <w:rFonts w:eastAsia="Times New Roman"/>
          <w:sz w:val="20"/>
          <w:szCs w:val="20"/>
        </w:rPr>
        <w:t>nvestigating;</w:t>
      </w:r>
    </w:p>
    <w:p w:rsidR="00000000" w:rsidRDefault="00FF2C06">
      <w:pPr>
        <w:ind w:left="547" w:hanging="360"/>
        <w:divId w:val="55588266"/>
        <w:rPr>
          <w:rFonts w:eastAsia="Times New Roman"/>
          <w:sz w:val="20"/>
          <w:szCs w:val="20"/>
        </w:rPr>
      </w:pPr>
      <w:r>
        <w:rPr>
          <w:rFonts w:eastAsia="Times New Roman"/>
          <w:sz w:val="20"/>
          <w:szCs w:val="20"/>
        </w:rPr>
        <w:t>●</w:t>
      </w:r>
      <w:r>
        <w:rPr>
          <w:rFonts w:eastAsia="Times New Roman"/>
          <w:sz w:val="20"/>
          <w:szCs w:val="20"/>
        </w:rPr>
        <w:t>clinical investigators enrolling patients who do not meet the enrollment criteria, requiring the inclusion of additional patients in the clinical trial;</w:t>
      </w:r>
    </w:p>
    <w:p w:rsidR="00000000" w:rsidRDefault="00FF2C06">
      <w:pPr>
        <w:pStyle w:val="a3"/>
        <w:spacing w:before="480" w:beforeAutospacing="0" w:after="0" w:afterAutospacing="0"/>
        <w:jc w:val="center"/>
        <w:divId w:val="1929189419"/>
        <w:rPr>
          <w:sz w:val="20"/>
          <w:szCs w:val="20"/>
        </w:rPr>
      </w:pPr>
      <w:r>
        <w:rPr>
          <w:sz w:val="20"/>
          <w:szCs w:val="20"/>
        </w:rPr>
        <w:t>44</w:t>
      </w:r>
    </w:p>
    <w:p w:rsidR="00000000" w:rsidRDefault="00FF2C06">
      <w:pPr>
        <w:pStyle w:val="a3"/>
        <w:spacing w:before="0" w:beforeAutospacing="0" w:after="600" w:afterAutospacing="0"/>
        <w:divId w:val="844629418"/>
        <w:rPr>
          <w:sz w:val="20"/>
          <w:szCs w:val="20"/>
        </w:rPr>
      </w:pPr>
      <w:hyperlink w:anchor="TOC" w:history="1">
        <w:r>
          <w:rPr>
            <w:rStyle w:val="a4"/>
            <w:sz w:val="20"/>
            <w:szCs w:val="20"/>
          </w:rPr>
          <w:t>Table of Contents</w:t>
        </w:r>
      </w:hyperlink>
    </w:p>
    <w:p w:rsidR="00000000" w:rsidRDefault="00FF2C06">
      <w:pPr>
        <w:ind w:left="547" w:hanging="360"/>
        <w:divId w:val="1496919573"/>
        <w:rPr>
          <w:rFonts w:eastAsia="Times New Roman"/>
          <w:sz w:val="20"/>
          <w:szCs w:val="20"/>
        </w:rPr>
      </w:pPr>
      <w:r>
        <w:rPr>
          <w:rFonts w:eastAsia="Times New Roman"/>
          <w:sz w:val="20"/>
          <w:szCs w:val="20"/>
        </w:rPr>
        <w:t>●</w:t>
      </w:r>
      <w:r>
        <w:rPr>
          <w:rFonts w:eastAsia="Times New Roman"/>
          <w:sz w:val="20"/>
          <w:szCs w:val="20"/>
        </w:rPr>
        <w:t>approval of new indications for existing</w:t>
      </w:r>
      <w:r>
        <w:rPr>
          <w:rFonts w:eastAsia="Times New Roman"/>
          <w:sz w:val="20"/>
          <w:szCs w:val="20"/>
        </w:rPr>
        <w:t xml:space="preserve"> therapies or approval of new therapies in general;</w:t>
      </w:r>
    </w:p>
    <w:p w:rsidR="00000000" w:rsidRDefault="00FF2C06">
      <w:pPr>
        <w:ind w:left="547" w:hanging="360"/>
        <w:divId w:val="2126582052"/>
        <w:rPr>
          <w:rFonts w:eastAsia="Times New Roman"/>
          <w:sz w:val="20"/>
          <w:szCs w:val="20"/>
        </w:rPr>
      </w:pPr>
      <w:r>
        <w:rPr>
          <w:rFonts w:eastAsia="Times New Roman"/>
          <w:sz w:val="20"/>
          <w:szCs w:val="20"/>
        </w:rPr>
        <w:t>●</w:t>
      </w:r>
      <w:r>
        <w:rPr>
          <w:rFonts w:eastAsia="Times New Roman"/>
          <w:sz w:val="20"/>
          <w:szCs w:val="20"/>
        </w:rPr>
        <w:t>our ability to obtain and maintain patient consents; and</w:t>
      </w:r>
    </w:p>
    <w:p w:rsidR="00000000" w:rsidRDefault="00FF2C06">
      <w:pPr>
        <w:ind w:left="547" w:hanging="360"/>
        <w:divId w:val="385302989"/>
        <w:rPr>
          <w:rFonts w:eastAsia="Times New Roman"/>
          <w:sz w:val="20"/>
          <w:szCs w:val="20"/>
        </w:rPr>
      </w:pPr>
      <w:r>
        <w:rPr>
          <w:rFonts w:eastAsia="Times New Roman"/>
          <w:sz w:val="20"/>
          <w:szCs w:val="20"/>
        </w:rPr>
        <w:t>●</w:t>
      </w:r>
      <w:r>
        <w:rPr>
          <w:rFonts w:eastAsia="Times New Roman"/>
          <w:sz w:val="20"/>
          <w:szCs w:val="20"/>
        </w:rPr>
        <w:t>the risk that patients enrolled in clinical trials will not complete a clinical trial, return for post-treatment follow-up, or follow the require</w:t>
      </w:r>
      <w:r>
        <w:rPr>
          <w:rFonts w:eastAsia="Times New Roman"/>
          <w:sz w:val="20"/>
          <w:szCs w:val="20"/>
        </w:rPr>
        <w:t>d study procedures. For instance, patients, including patients in any control groups, may withdraw from the clinical trial if they are not experiencing improvement in their underlying disease or condition. Withdrawal of patients from our clinical trials ma</w:t>
      </w:r>
      <w:r>
        <w:rPr>
          <w:rFonts w:eastAsia="Times New Roman"/>
          <w:sz w:val="20"/>
          <w:szCs w:val="20"/>
        </w:rPr>
        <w:t>y compromise the quality of our data.</w:t>
      </w:r>
    </w:p>
    <w:p w:rsidR="00000000" w:rsidRDefault="00FF2C06">
      <w:pPr>
        <w:pStyle w:val="a3"/>
        <w:spacing w:before="0" w:beforeAutospacing="0" w:after="200" w:afterAutospacing="0"/>
        <w:ind w:firstLine="547"/>
        <w:divId w:val="2045251609"/>
        <w:rPr>
          <w:sz w:val="20"/>
          <w:szCs w:val="20"/>
        </w:rPr>
      </w:pPr>
      <w:r>
        <w:rPr>
          <w:sz w:val="20"/>
          <w:szCs w:val="20"/>
        </w:rPr>
        <w:t>In addition, our clinical trials will compete with other clinical trials for product candidates that are in the same therapeutic areas as our product candidates, and this competition will reduce the number and types of</w:t>
      </w:r>
      <w:r>
        <w:rPr>
          <w:sz w:val="20"/>
          <w:szCs w:val="20"/>
        </w:rPr>
        <w:t xml:space="preserve"> patients available to us, because some patients who might have opted to enroll in our trials may instead opt to enroll in a trial being conducted by one of our competitors. Because the number of qualified clinical investigators is limited, we expect to co</w:t>
      </w:r>
      <w:r>
        <w:rPr>
          <w:sz w:val="20"/>
          <w:szCs w:val="20"/>
        </w:rPr>
        <w:t xml:space="preserve">nduct some of our clinical trials at the same clinical trial sites that some of our competitor’s use, which will reduce the number of patients who are available for our clinical trials at such clinical trial sites. Moreover, because our product candidates </w:t>
      </w:r>
      <w:r>
        <w:rPr>
          <w:sz w:val="20"/>
          <w:szCs w:val="20"/>
        </w:rPr>
        <w:t>represent a departure from more commonly used methods for cancer treatment, potential patients and their doctors may be inclined to use conventional therapies, such as chemotherapy and approved immunotherapies, rather than enroll patients in any future cli</w:t>
      </w:r>
      <w:r>
        <w:rPr>
          <w:sz w:val="20"/>
          <w:szCs w:val="20"/>
        </w:rPr>
        <w:t xml:space="preserve">nical trial. In addition, potential enrollees may opt to participate in other clinical trials because of the length of time between the time that their tumor is excised and the TIL is infused back into the patient. Amendments to our clinical protocols may </w:t>
      </w:r>
      <w:r>
        <w:rPr>
          <w:sz w:val="20"/>
          <w:szCs w:val="20"/>
        </w:rPr>
        <w:t>affect enrollment in, or results of, our trials, including amendments we have made to further define the patient population to be studied.</w:t>
      </w:r>
    </w:p>
    <w:p w:rsidR="00000000" w:rsidRDefault="00FF2C06">
      <w:pPr>
        <w:pStyle w:val="a3"/>
        <w:spacing w:before="0" w:beforeAutospacing="0" w:after="200" w:afterAutospacing="0"/>
        <w:ind w:firstLine="547"/>
        <w:divId w:val="2045251609"/>
        <w:rPr>
          <w:sz w:val="20"/>
          <w:szCs w:val="20"/>
        </w:rPr>
      </w:pPr>
      <w:r>
        <w:rPr>
          <w:sz w:val="20"/>
          <w:szCs w:val="20"/>
        </w:rPr>
        <w:t>Even if we are able to enroll a sufficient number of patients in our clinical trials, delays in patient enrollment or</w:t>
      </w:r>
      <w:r>
        <w:rPr>
          <w:sz w:val="20"/>
          <w:szCs w:val="20"/>
        </w:rPr>
        <w:t xml:space="preserve"> small population size may result in increased costs or may affect the timing or outcome of the planned clinical trials, which could prevent completion of these trials and adversely affect our ability to advance the development of our product candidates.</w:t>
      </w:r>
    </w:p>
    <w:p w:rsidR="00000000" w:rsidRDefault="00FF2C06">
      <w:pPr>
        <w:pStyle w:val="a3"/>
        <w:spacing w:before="0" w:beforeAutospacing="0" w:after="200" w:afterAutospacing="0"/>
        <w:ind w:firstLine="540"/>
        <w:divId w:val="2045251609"/>
        <w:rPr>
          <w:sz w:val="20"/>
          <w:szCs w:val="20"/>
        </w:rPr>
      </w:pPr>
      <w:r>
        <w:rPr>
          <w:b/>
          <w:bCs/>
          <w:i/>
          <w:iCs/>
          <w:sz w:val="20"/>
          <w:szCs w:val="20"/>
        </w:rPr>
        <w:t>O</w:t>
      </w:r>
      <w:r>
        <w:rPr>
          <w:b/>
          <w:bCs/>
          <w:i/>
          <w:iCs/>
          <w:sz w:val="20"/>
          <w:szCs w:val="20"/>
        </w:rPr>
        <w:t>ur product candidates may cause undesirable side effects or have other properties that could halt their clinical development, prevent their regulatory approval, limit their commercial potential or result in significant negative consequences.</w:t>
      </w:r>
    </w:p>
    <w:p w:rsidR="00000000" w:rsidRDefault="00FF2C06">
      <w:pPr>
        <w:pStyle w:val="a3"/>
        <w:spacing w:before="0" w:beforeAutospacing="0" w:after="200" w:afterAutospacing="0"/>
        <w:ind w:firstLine="540"/>
        <w:divId w:val="2045251609"/>
        <w:rPr>
          <w:sz w:val="20"/>
          <w:szCs w:val="20"/>
        </w:rPr>
      </w:pPr>
      <w:r>
        <w:rPr>
          <w:sz w:val="20"/>
          <w:szCs w:val="20"/>
        </w:rPr>
        <w:t>Results of our trials could reveal a high and unacceptable severity and prevalence of side effects or unexpected characteristics. Undesirable side effects caused by our product candidates could cause us, IRBs, Drug Safety Monitoring Boards or DSMBs, or reg</w:t>
      </w:r>
      <w:r>
        <w:rPr>
          <w:sz w:val="20"/>
          <w:szCs w:val="20"/>
        </w:rPr>
        <w:t>ulatory authorities to interrupt, delay or halt clinical trials and could result in a more restrictive label or the delay or denial of regulatory approval by the FDA or other comparable foreign regulatory authorities. Even if we were to receive product app</w:t>
      </w:r>
      <w:r>
        <w:rPr>
          <w:sz w:val="20"/>
          <w:szCs w:val="20"/>
        </w:rPr>
        <w:t>roval, such approval could be contingent on inclusion of unfavorable information in our product labeling, such as limitations on the indicated uses for which the products may be marketed or distributed, a label with significant safety warnings, including b</w:t>
      </w:r>
      <w:r>
        <w:rPr>
          <w:sz w:val="20"/>
          <w:szCs w:val="20"/>
        </w:rPr>
        <w:t>oxed warnings, contraindications, and precautions, a label without statements necessary or desirable for successful commercialization, or requirements for costly post marketing testing and surveillance, or other requirements, including REMS, to monitor the</w:t>
      </w:r>
      <w:r>
        <w:rPr>
          <w:sz w:val="20"/>
          <w:szCs w:val="20"/>
        </w:rPr>
        <w:t xml:space="preserve"> safety or efficacy of the products, and in turn prevent us from commercializing and generating revenues from the sale of our current or future product candidates.</w:t>
      </w:r>
    </w:p>
    <w:p w:rsidR="00000000" w:rsidRDefault="00FF2C06">
      <w:pPr>
        <w:pStyle w:val="a3"/>
        <w:spacing w:before="0" w:beforeAutospacing="0" w:after="200" w:afterAutospacing="0"/>
        <w:ind w:firstLine="540"/>
        <w:divId w:val="2045251609"/>
        <w:rPr>
          <w:sz w:val="20"/>
          <w:szCs w:val="20"/>
        </w:rPr>
      </w:pPr>
      <w:r>
        <w:rPr>
          <w:sz w:val="20"/>
          <w:szCs w:val="20"/>
        </w:rPr>
        <w:t>If unacceptable toxicities or side effects arise in the development of our product candidate</w:t>
      </w:r>
      <w:r>
        <w:rPr>
          <w:sz w:val="20"/>
          <w:szCs w:val="20"/>
        </w:rPr>
        <w:t>s, we, an IRB, DSMB or the FDA or comparable foreign regulatory authorities could order us to cease clinical trials, order our clinical trials to be placed on clinical hold, or deny approval of our product candidates for any or all targeted indications. Th</w:t>
      </w:r>
      <w:r>
        <w:rPr>
          <w:sz w:val="20"/>
          <w:szCs w:val="20"/>
        </w:rPr>
        <w:t>e FDA or comparable foreign regulatory authorities may also require additional data, clinical, or pre-clinical studies should unacceptable toxicities arise. We may need to abandon development or limit development of that product candidate to certain uses o</w:t>
      </w:r>
      <w:r>
        <w:rPr>
          <w:sz w:val="20"/>
          <w:szCs w:val="20"/>
        </w:rPr>
        <w:t>r subpopulations in which the undesirable side effects or other characteristics are less prevalent, less severe or more acceptable from a risk/benefit perspective. Toxicities associated with our trials and products may also negatively impact our ability to</w:t>
      </w:r>
      <w:r>
        <w:rPr>
          <w:sz w:val="20"/>
          <w:szCs w:val="20"/>
        </w:rPr>
        <w:t xml:space="preserve"> conduct clinical trials using TIL therapy in larger patient populations, such as in patients that have not yet been treated with other therapies or have not yet progressed on other therapies.</w:t>
      </w:r>
    </w:p>
    <w:p w:rsidR="00000000" w:rsidRDefault="00FF2C06">
      <w:pPr>
        <w:pStyle w:val="a3"/>
        <w:spacing w:before="0" w:beforeAutospacing="0" w:after="200" w:afterAutospacing="0"/>
        <w:ind w:firstLine="540"/>
        <w:divId w:val="2045251609"/>
        <w:rPr>
          <w:sz w:val="20"/>
          <w:szCs w:val="20"/>
        </w:rPr>
      </w:pPr>
      <w:r>
        <w:rPr>
          <w:sz w:val="20"/>
          <w:szCs w:val="20"/>
        </w:rPr>
        <w:t>Treatment-related side effects could also affect patient recrui</w:t>
      </w:r>
      <w:r>
        <w:rPr>
          <w:sz w:val="20"/>
          <w:szCs w:val="20"/>
        </w:rPr>
        <w:t>tment or the ability of enrolled subjects to complete our trials or result in potential product liability claims. Such toxicities, which may arise from TIL therapy in general, including co-therapies, may include, for example, thrombocytopenia, chills, anem</w:t>
      </w:r>
      <w:r>
        <w:rPr>
          <w:sz w:val="20"/>
          <w:szCs w:val="20"/>
        </w:rPr>
        <w:t xml:space="preserve">ia, pyrexia, febrile neutropenia, diarrhea, neutropenia, vomiting, hypotension, and dyspnea. For example, the update in October 2018 from the C-144-01 trial included two grade 5 treatment emergent adverse events. In addition, these side effects and deaths </w:t>
      </w:r>
      <w:r>
        <w:rPr>
          <w:sz w:val="20"/>
          <w:szCs w:val="20"/>
        </w:rPr>
        <w:t xml:space="preserve">may not be appropriately recognized or managed by the treating medical staff, as toxicities resulting from personalized cell therapy are not normally encountered in the general patient population and by medical personnel. Any of these occurrences may harm </w:t>
      </w:r>
      <w:r>
        <w:rPr>
          <w:sz w:val="20"/>
          <w:szCs w:val="20"/>
        </w:rPr>
        <w:t>our business, financial condition and prospects significantly.</w:t>
      </w:r>
    </w:p>
    <w:p w:rsidR="00000000" w:rsidRDefault="00FF2C06">
      <w:pPr>
        <w:pStyle w:val="a3"/>
        <w:spacing w:before="480" w:beforeAutospacing="0" w:after="0" w:afterAutospacing="0"/>
        <w:jc w:val="center"/>
        <w:divId w:val="599528281"/>
        <w:rPr>
          <w:sz w:val="20"/>
          <w:szCs w:val="20"/>
        </w:rPr>
      </w:pPr>
      <w:r>
        <w:rPr>
          <w:sz w:val="20"/>
          <w:szCs w:val="20"/>
        </w:rPr>
        <w:t>45</w:t>
      </w:r>
    </w:p>
    <w:p w:rsidR="00000000" w:rsidRDefault="00FF2C06">
      <w:pPr>
        <w:pStyle w:val="a3"/>
        <w:spacing w:before="0" w:beforeAutospacing="0" w:after="600" w:afterAutospacing="0"/>
        <w:divId w:val="973943465"/>
        <w:rPr>
          <w:sz w:val="20"/>
          <w:szCs w:val="20"/>
        </w:rPr>
      </w:pPr>
      <w:hyperlink w:anchor="TOC" w:history="1">
        <w:r>
          <w:rPr>
            <w:rStyle w:val="a4"/>
            <w:sz w:val="20"/>
            <w:szCs w:val="20"/>
          </w:rPr>
          <w:t>Table of Contents</w:t>
        </w:r>
      </w:hyperlink>
    </w:p>
    <w:p w:rsidR="00000000" w:rsidRDefault="00FF2C06">
      <w:pPr>
        <w:pStyle w:val="a3"/>
        <w:spacing w:before="0" w:beforeAutospacing="0" w:after="200" w:afterAutospacing="0"/>
        <w:ind w:firstLine="540"/>
        <w:divId w:val="482430779"/>
        <w:rPr>
          <w:sz w:val="20"/>
          <w:szCs w:val="20"/>
        </w:rPr>
      </w:pPr>
      <w:r>
        <w:rPr>
          <w:b/>
          <w:bCs/>
          <w:i/>
          <w:iCs/>
          <w:sz w:val="20"/>
          <w:szCs w:val="20"/>
        </w:rPr>
        <w:t>The manufacture of our product candidates is complex, and we may encounter difficulties in production, particularly with respect to process develo</w:t>
      </w:r>
      <w:r>
        <w:rPr>
          <w:b/>
          <w:bCs/>
          <w:i/>
          <w:iCs/>
          <w:sz w:val="20"/>
          <w:szCs w:val="20"/>
        </w:rPr>
        <w:t>pment, quality control, or scaling-up of our manufacturing capabilities. If we, or any of our third-party manufacturers encounter such difficulties, our ability to provide supply of our product candidates for clinical trials or our products for patients, i</w:t>
      </w:r>
      <w:r>
        <w:rPr>
          <w:b/>
          <w:bCs/>
          <w:i/>
          <w:iCs/>
          <w:sz w:val="20"/>
          <w:szCs w:val="20"/>
        </w:rPr>
        <w:t>f approved, could be delayed or stopped, or we may be unable to maintain a commercially viable cost structure.*</w:t>
      </w:r>
    </w:p>
    <w:p w:rsidR="00000000" w:rsidRDefault="00FF2C06">
      <w:pPr>
        <w:pStyle w:val="a3"/>
        <w:spacing w:before="0" w:beforeAutospacing="0" w:after="200" w:afterAutospacing="0"/>
        <w:ind w:firstLine="540"/>
        <w:divId w:val="482430779"/>
        <w:rPr>
          <w:sz w:val="20"/>
          <w:szCs w:val="20"/>
        </w:rPr>
      </w:pPr>
      <w:r>
        <w:rPr>
          <w:sz w:val="20"/>
          <w:szCs w:val="20"/>
        </w:rPr>
        <w:t>Our product candidates are biologics and the process of manufacturing our products is complex, highly regulated and subject to multiple risks. T</w:t>
      </w:r>
      <w:r>
        <w:rPr>
          <w:sz w:val="20"/>
          <w:szCs w:val="20"/>
        </w:rPr>
        <w:t>he manufacture of our product candidates involves complex processes, including harvesting tumor fragments from patients, isolating the T cells from the tumor fragments, multiplying the T cells to obtain the desired dose, and ultimately infusing the T cells</w:t>
      </w:r>
      <w:r>
        <w:rPr>
          <w:sz w:val="20"/>
          <w:szCs w:val="20"/>
        </w:rPr>
        <w:t xml:space="preserve"> back into a patient. As a result of the complexities, the cost to manufacture biologics is generally higher than traditional small molecule chemical compounds, and the manufacturing process is less reliable and is more difficult to reproduce. Our manufact</w:t>
      </w:r>
      <w:r>
        <w:rPr>
          <w:sz w:val="20"/>
          <w:szCs w:val="20"/>
        </w:rPr>
        <w:t>uring process will be susceptible to product loss or failure due to logistical issues associated with the collection of tumor fragments, or starting material, from the patient, shipping such material to the manufacturing site, shipping the final product ba</w:t>
      </w:r>
      <w:r>
        <w:rPr>
          <w:sz w:val="20"/>
          <w:szCs w:val="20"/>
        </w:rPr>
        <w:t>ck to the patient, and infusing the patient with the product, manufacturing issues associated with the differences in patient starting material, interruptions in the manufacturing process, contamination, equipment failure, assay failures, improper installa</w:t>
      </w:r>
      <w:r>
        <w:rPr>
          <w:sz w:val="20"/>
          <w:szCs w:val="20"/>
        </w:rPr>
        <w:t>tion or operation of equipment, vendor or operator error, inconsistency in cell growth, meeting pre-specified release criteria, and variability in product characteristics. Even minor deviations from normal manufacturing processes could result in reduced pr</w:t>
      </w:r>
      <w:r>
        <w:rPr>
          <w:sz w:val="20"/>
          <w:szCs w:val="20"/>
        </w:rPr>
        <w:t>oduction yields, product defects, and other supply disruptions. If for any reason we lose a patient’s starting material, or later-developed product at any point in the process, or if any product does not meet the applicable specifications, the manufacturin</w:t>
      </w:r>
      <w:r>
        <w:rPr>
          <w:sz w:val="20"/>
          <w:szCs w:val="20"/>
        </w:rPr>
        <w:t xml:space="preserve">g process for that patient will need to be restarted, including resection of the proper amount of tumor fragment and the resulting delay may adversely affect that patient’s outcome. If microbial, viral, environmental or other contaminations are discovered </w:t>
      </w:r>
      <w:r>
        <w:rPr>
          <w:sz w:val="20"/>
          <w:szCs w:val="20"/>
        </w:rPr>
        <w:t>in our product candidates or in the manufacturing facilities in which our product candidates are made, such manufacturing facilities may need to be closed for an extended period of time to investigate and remedy the contamination.</w:t>
      </w:r>
    </w:p>
    <w:p w:rsidR="00000000" w:rsidRDefault="00FF2C06">
      <w:pPr>
        <w:pStyle w:val="a3"/>
        <w:spacing w:before="0" w:beforeAutospacing="0" w:after="200" w:afterAutospacing="0"/>
        <w:ind w:firstLine="540"/>
        <w:divId w:val="482430779"/>
        <w:rPr>
          <w:sz w:val="20"/>
          <w:szCs w:val="20"/>
        </w:rPr>
      </w:pPr>
      <w:r>
        <w:rPr>
          <w:sz w:val="20"/>
          <w:szCs w:val="20"/>
        </w:rPr>
        <w:t>Because our product candi</w:t>
      </w:r>
      <w:r>
        <w:rPr>
          <w:sz w:val="20"/>
          <w:szCs w:val="20"/>
        </w:rPr>
        <w:t>dates are manufactured specifically for each individual patient, we will be required to maintain a chain of identity with respect to the patient’s tumor as it moves from the patient to the manufacturing facility, through the manufacturing process, and back</w:t>
      </w:r>
      <w:r>
        <w:rPr>
          <w:sz w:val="20"/>
          <w:szCs w:val="20"/>
        </w:rPr>
        <w:t xml:space="preserve"> to the patient. Maintaining such a chain of identity is difficult and complex, and failure to do so could result in adverse patient outcomes, loss of product, or regulatory action including withdrawal of our products from the market. Further, as product c</w:t>
      </w:r>
      <w:r>
        <w:rPr>
          <w:sz w:val="20"/>
          <w:szCs w:val="20"/>
        </w:rPr>
        <w:t>andidates are developed through preclinical to late stage clinical trials towards approval and commercialization, it is common that various aspects of the development program, such as manufacturing methods, are altered along the way to optimize processes a</w:t>
      </w:r>
      <w:r>
        <w:rPr>
          <w:sz w:val="20"/>
          <w:szCs w:val="20"/>
        </w:rPr>
        <w:t>nd results. Such changes carry the risk that they will not achieve these intended objectives, and any of these changes could cause our product candidates to perform differently and affect the results of planned clinical trials or other future clinical tria</w:t>
      </w:r>
      <w:r>
        <w:rPr>
          <w:sz w:val="20"/>
          <w:szCs w:val="20"/>
        </w:rPr>
        <w:t>ls or otherwise necessitate the conduct of additional studies.</w:t>
      </w:r>
    </w:p>
    <w:p w:rsidR="00000000" w:rsidRDefault="00FF2C06">
      <w:pPr>
        <w:pStyle w:val="a3"/>
        <w:spacing w:before="0" w:beforeAutospacing="0" w:after="200" w:afterAutospacing="0"/>
        <w:ind w:firstLine="547"/>
        <w:divId w:val="482430779"/>
        <w:rPr>
          <w:sz w:val="20"/>
          <w:szCs w:val="20"/>
        </w:rPr>
      </w:pPr>
      <w:r>
        <w:rPr>
          <w:sz w:val="20"/>
          <w:szCs w:val="20"/>
        </w:rPr>
        <w:t>Currently, our product candidates are manufactured using processes developed or modified by us or by our third-party research institution collaborators that we may not intend to use for more ad</w:t>
      </w:r>
      <w:r>
        <w:rPr>
          <w:sz w:val="20"/>
          <w:szCs w:val="20"/>
        </w:rPr>
        <w:t>vanced clinical trials or commercialization. We have selected Gen 2 as the manufacturing process for product registration, and all ongoing and future company-sponsored clinical trials. Although we believe Gen 2 is a commercially viable process, there are r</w:t>
      </w:r>
      <w:r>
        <w:rPr>
          <w:sz w:val="20"/>
          <w:szCs w:val="20"/>
        </w:rPr>
        <w:t>isks associated with scaling to the level required for advanced clinical trials or commercialization, including, among others, cost overruns, potential problems with process scale-up, process reproducibility, stability issues, lot consistency, and timely a</w:t>
      </w:r>
      <w:r>
        <w:rPr>
          <w:sz w:val="20"/>
          <w:szCs w:val="20"/>
        </w:rPr>
        <w:t>vailability of raw materials. This includes potential risks associated with FDA not agreeing with all of the details of our validation data or our potency assay or assays for Cohort 4 of our C-144-01 clinical trial. For example, on October 5, 2020, we anno</w:t>
      </w:r>
      <w:r>
        <w:rPr>
          <w:sz w:val="20"/>
          <w:szCs w:val="20"/>
        </w:rPr>
        <w:t>unced that we and the FDA have not been able to agree on the required potency assays to fully define our TIL therapy, which is required as part of a BLA submission, and that as a result of these developments, our BLA submission is not expected by the end o</w:t>
      </w:r>
      <w:r>
        <w:rPr>
          <w:sz w:val="20"/>
          <w:szCs w:val="20"/>
        </w:rPr>
        <w:t>f 2020 and is anticipated to occur in 2021. As a result of these challenges, we may experience delays in our clinical development and/or commercialization plans. We may ultimately be unable to reduce the cost of goods for our product candidates to levels t</w:t>
      </w:r>
      <w:r>
        <w:rPr>
          <w:sz w:val="20"/>
          <w:szCs w:val="20"/>
        </w:rPr>
        <w:t>hat will allow for an attractive return on investment if and when those product candidates are commercialized.</w:t>
      </w:r>
    </w:p>
    <w:p w:rsidR="00000000" w:rsidRDefault="00FF2C06">
      <w:pPr>
        <w:pStyle w:val="a3"/>
        <w:spacing w:before="0" w:beforeAutospacing="0" w:after="0" w:afterAutospacing="0"/>
        <w:ind w:firstLine="547"/>
        <w:divId w:val="482430779"/>
        <w:rPr>
          <w:sz w:val="20"/>
          <w:szCs w:val="20"/>
        </w:rPr>
      </w:pPr>
      <w:r>
        <w:rPr>
          <w:sz w:val="20"/>
          <w:szCs w:val="20"/>
        </w:rPr>
        <w:t>Our current manufacturing strategy involves the use of CMOs. Currently our product candidates are manufactured by WuXi, Lonza Netherlands, and Mo</w:t>
      </w:r>
      <w:r>
        <w:rPr>
          <w:sz w:val="20"/>
          <w:szCs w:val="20"/>
        </w:rPr>
        <w:t>ffitt. Should we continue to use CMOs, we may not succeed in maintaining our relationships with our current CMOs or establishing relationships with additional or alternative CMOs. Our product candidates may compete with other products and product candidate</w:t>
      </w:r>
      <w:r>
        <w:rPr>
          <w:sz w:val="20"/>
          <w:szCs w:val="20"/>
        </w:rPr>
        <w:t>s for access to manufacturing facilities. There are a limited number of manufacturers that operate under cGMP regulations and that are both capable of manufacturing for us and willing to do so. If our CMOs should cease manufacturing for us, we would experi</w:t>
      </w:r>
      <w:r>
        <w:rPr>
          <w:sz w:val="20"/>
          <w:szCs w:val="20"/>
        </w:rPr>
        <w:t>ence delays in obtaining sufficient quantities of our product candidates for clinical trials and, if approved, commercial supply. Further, our CMOs may breach, terminate, or not renew these agreements. If we were to need to find alternative manufacturing f</w:t>
      </w:r>
      <w:r>
        <w:rPr>
          <w:sz w:val="20"/>
          <w:szCs w:val="20"/>
        </w:rPr>
        <w:t xml:space="preserve">acilities it would significantly impact our ability to develop, obtain regulatory approval for or market our product </w:t>
      </w:r>
    </w:p>
    <w:p w:rsidR="00000000" w:rsidRDefault="00FF2C06">
      <w:pPr>
        <w:pStyle w:val="a3"/>
        <w:spacing w:before="480" w:beforeAutospacing="0" w:after="0" w:afterAutospacing="0"/>
        <w:jc w:val="center"/>
        <w:divId w:val="437263635"/>
        <w:rPr>
          <w:sz w:val="20"/>
          <w:szCs w:val="20"/>
        </w:rPr>
      </w:pPr>
      <w:r>
        <w:rPr>
          <w:sz w:val="20"/>
          <w:szCs w:val="20"/>
        </w:rPr>
        <w:t>46</w:t>
      </w:r>
    </w:p>
    <w:p w:rsidR="00000000" w:rsidRDefault="00FF2C06">
      <w:pPr>
        <w:pStyle w:val="a3"/>
        <w:spacing w:before="0" w:beforeAutospacing="0" w:after="600" w:afterAutospacing="0"/>
        <w:divId w:val="1104226295"/>
        <w:rPr>
          <w:sz w:val="20"/>
          <w:szCs w:val="20"/>
        </w:rPr>
      </w:pPr>
      <w:hyperlink w:anchor="TOC" w:history="1">
        <w:r>
          <w:rPr>
            <w:rStyle w:val="a4"/>
            <w:sz w:val="20"/>
            <w:szCs w:val="20"/>
          </w:rPr>
          <w:t>Table of Contents</w:t>
        </w:r>
      </w:hyperlink>
    </w:p>
    <w:p w:rsidR="00000000" w:rsidRDefault="00FF2C06">
      <w:pPr>
        <w:pStyle w:val="a3"/>
        <w:spacing w:before="0" w:beforeAutospacing="0" w:after="200" w:afterAutospacing="0"/>
        <w:divId w:val="804009867"/>
        <w:rPr>
          <w:sz w:val="20"/>
          <w:szCs w:val="20"/>
        </w:rPr>
      </w:pPr>
      <w:r>
        <w:rPr>
          <w:sz w:val="20"/>
          <w:szCs w:val="20"/>
        </w:rPr>
        <w:t>candidates, if approved. The commercial terms of any new arrangement could be less favorable than our existing arrangements and the expenses relating to the transfer of necessary technology and processes could be significant.</w:t>
      </w:r>
    </w:p>
    <w:p w:rsidR="00000000" w:rsidRDefault="00FF2C06">
      <w:pPr>
        <w:pStyle w:val="a3"/>
        <w:spacing w:before="0" w:beforeAutospacing="0" w:after="200" w:afterAutospacing="0"/>
        <w:ind w:firstLine="547"/>
        <w:divId w:val="804009867"/>
        <w:rPr>
          <w:sz w:val="20"/>
          <w:szCs w:val="20"/>
        </w:rPr>
      </w:pPr>
      <w:r>
        <w:rPr>
          <w:sz w:val="20"/>
          <w:szCs w:val="20"/>
        </w:rPr>
        <w:t>Reliance on third-party manufa</w:t>
      </w:r>
      <w:r>
        <w:rPr>
          <w:sz w:val="20"/>
          <w:szCs w:val="20"/>
        </w:rPr>
        <w:t>cturers entails exposure to risks to which we would not be subject if we manufactured the product candidate ourselves, including:</w:t>
      </w:r>
    </w:p>
    <w:p w:rsidR="00000000" w:rsidRDefault="00FF2C06">
      <w:pPr>
        <w:ind w:left="547" w:hanging="360"/>
        <w:divId w:val="812406912"/>
        <w:rPr>
          <w:rFonts w:eastAsia="Times New Roman"/>
          <w:sz w:val="20"/>
          <w:szCs w:val="20"/>
        </w:rPr>
      </w:pPr>
      <w:r>
        <w:rPr>
          <w:rFonts w:eastAsia="Times New Roman"/>
          <w:sz w:val="20"/>
          <w:szCs w:val="20"/>
        </w:rPr>
        <w:t>●</w:t>
      </w:r>
      <w:r>
        <w:rPr>
          <w:rFonts w:eastAsia="Times New Roman"/>
          <w:sz w:val="20"/>
          <w:szCs w:val="20"/>
        </w:rPr>
        <w:t>inability to negotiate manufacturing and quality agreements with third parties under commercially reasonable terms;</w:t>
      </w:r>
    </w:p>
    <w:p w:rsidR="00000000" w:rsidRDefault="00FF2C06">
      <w:pPr>
        <w:ind w:left="547" w:hanging="360"/>
        <w:divId w:val="1447237492"/>
        <w:rPr>
          <w:rFonts w:eastAsia="Times New Roman"/>
          <w:sz w:val="20"/>
          <w:szCs w:val="20"/>
        </w:rPr>
      </w:pPr>
      <w:r>
        <w:rPr>
          <w:rFonts w:eastAsia="Times New Roman"/>
          <w:sz w:val="20"/>
          <w:szCs w:val="20"/>
        </w:rPr>
        <w:t>●</w:t>
      </w:r>
      <w:r>
        <w:rPr>
          <w:rFonts w:eastAsia="Times New Roman"/>
          <w:sz w:val="20"/>
          <w:szCs w:val="20"/>
        </w:rPr>
        <w:t xml:space="preserve">reduced </w:t>
      </w:r>
      <w:r>
        <w:rPr>
          <w:rFonts w:eastAsia="Times New Roman"/>
          <w:sz w:val="20"/>
          <w:szCs w:val="20"/>
        </w:rPr>
        <w:t>day-to-day control over the manufacturing process for our product candidates as a result of using third-party manufacturers for all aspects of manufacturing activities;</w:t>
      </w:r>
    </w:p>
    <w:p w:rsidR="00000000" w:rsidRDefault="00FF2C06">
      <w:pPr>
        <w:ind w:left="547" w:hanging="360"/>
        <w:divId w:val="1427068390"/>
        <w:rPr>
          <w:rFonts w:eastAsia="Times New Roman"/>
          <w:sz w:val="20"/>
          <w:szCs w:val="20"/>
        </w:rPr>
      </w:pPr>
      <w:r>
        <w:rPr>
          <w:rFonts w:eastAsia="Times New Roman"/>
          <w:sz w:val="20"/>
          <w:szCs w:val="20"/>
        </w:rPr>
        <w:t>●</w:t>
      </w:r>
      <w:r>
        <w:rPr>
          <w:rFonts w:eastAsia="Times New Roman"/>
          <w:sz w:val="20"/>
          <w:szCs w:val="20"/>
        </w:rPr>
        <w:t>reduced control over the protection of our trade secrets and know-how from misappropri</w:t>
      </w:r>
      <w:r>
        <w:rPr>
          <w:rFonts w:eastAsia="Times New Roman"/>
          <w:sz w:val="20"/>
          <w:szCs w:val="20"/>
        </w:rPr>
        <w:t>ation or inadvertent disclosure;</w:t>
      </w:r>
    </w:p>
    <w:p w:rsidR="00000000" w:rsidRDefault="00FF2C06">
      <w:pPr>
        <w:ind w:left="547" w:hanging="360"/>
        <w:divId w:val="2131510963"/>
        <w:rPr>
          <w:rFonts w:eastAsia="Times New Roman"/>
          <w:sz w:val="20"/>
          <w:szCs w:val="20"/>
        </w:rPr>
      </w:pPr>
      <w:r>
        <w:rPr>
          <w:rFonts w:eastAsia="Times New Roman"/>
          <w:sz w:val="20"/>
          <w:szCs w:val="20"/>
        </w:rPr>
        <w:t>●</w:t>
      </w:r>
      <w:r>
        <w:rPr>
          <w:rFonts w:eastAsia="Times New Roman"/>
          <w:sz w:val="20"/>
          <w:szCs w:val="20"/>
        </w:rPr>
        <w:t xml:space="preserve">termination or nonrenewal of manufacturing agreements with third parties in a manner or at a time that may be costly or damaging to us or result in delays in the development or commercialization of our product candidates; </w:t>
      </w:r>
      <w:r>
        <w:rPr>
          <w:rFonts w:eastAsia="Times New Roman"/>
          <w:sz w:val="20"/>
          <w:szCs w:val="20"/>
        </w:rPr>
        <w:t>and</w:t>
      </w:r>
    </w:p>
    <w:p w:rsidR="00000000" w:rsidRDefault="00FF2C06">
      <w:pPr>
        <w:ind w:left="547" w:hanging="360"/>
        <w:divId w:val="1438676728"/>
        <w:rPr>
          <w:rFonts w:eastAsia="Times New Roman"/>
          <w:sz w:val="20"/>
          <w:szCs w:val="20"/>
        </w:rPr>
      </w:pPr>
      <w:r>
        <w:rPr>
          <w:rFonts w:eastAsia="Times New Roman"/>
          <w:sz w:val="20"/>
          <w:szCs w:val="20"/>
        </w:rPr>
        <w:t>●</w:t>
      </w:r>
      <w:r>
        <w:rPr>
          <w:rFonts w:eastAsia="Times New Roman"/>
          <w:sz w:val="20"/>
          <w:szCs w:val="20"/>
        </w:rPr>
        <w:t>disruptions to the operations of our third-party manufacturers or suppliers caused by conditions unrelated to our business or operations, including the bankruptcy of the manufacturer or supplier.</w:t>
      </w:r>
    </w:p>
    <w:p w:rsidR="00000000" w:rsidRDefault="00FF2C06">
      <w:pPr>
        <w:pStyle w:val="a3"/>
        <w:spacing w:before="0" w:beforeAutospacing="0" w:after="200" w:afterAutospacing="0"/>
        <w:ind w:firstLine="540"/>
        <w:divId w:val="804009867"/>
        <w:rPr>
          <w:sz w:val="20"/>
          <w:szCs w:val="20"/>
        </w:rPr>
      </w:pPr>
      <w:r>
        <w:rPr>
          <w:sz w:val="20"/>
          <w:szCs w:val="20"/>
        </w:rPr>
        <w:t xml:space="preserve">In May 2019 we entered into a lease agreement to build </w:t>
      </w:r>
      <w:r>
        <w:rPr>
          <w:sz w:val="20"/>
          <w:szCs w:val="20"/>
        </w:rPr>
        <w:t xml:space="preserve">a commercial-scale manufacturing facility in Philadelphia, Pennsylvania for commercial and clinical production of autologous TIL products, including our product candidate lifileucel. We would expect that development of our own manufacturing facility would </w:t>
      </w:r>
      <w:r>
        <w:rPr>
          <w:sz w:val="20"/>
          <w:szCs w:val="20"/>
        </w:rPr>
        <w:t>provide us with enhanced control of material supply for both clinical trials and the commercial market, enable the more rapid implementation of process changes, and allow for better long-term margins. However, we have no experience as a company in developi</w:t>
      </w:r>
      <w:r>
        <w:rPr>
          <w:sz w:val="20"/>
          <w:szCs w:val="20"/>
        </w:rPr>
        <w:t xml:space="preserve">ng a manufacturing facility and we may not be successful in finalizing the development of our own manufacturing facility or capability. We may establish multiple manufacturing facilities as we expand our commercial footprint to multiple geographies, which </w:t>
      </w:r>
      <w:r>
        <w:rPr>
          <w:sz w:val="20"/>
          <w:szCs w:val="20"/>
        </w:rPr>
        <w:t>may lead to regulatory delays or prove costly. Even if we are successful, our manufacturing capabilities could be affected by cost-overruns, unexpected delays, equipment failures, labor shortages, natural disasters, power failures, and numerous other facto</w:t>
      </w:r>
      <w:r>
        <w:rPr>
          <w:sz w:val="20"/>
          <w:szCs w:val="20"/>
        </w:rPr>
        <w:t>rs that could prevent us from realizing the intended benefits of our manufacturing strategy and have a material adverse effect on our business.</w:t>
      </w:r>
    </w:p>
    <w:p w:rsidR="00000000" w:rsidRDefault="00FF2C06">
      <w:pPr>
        <w:pStyle w:val="a3"/>
        <w:spacing w:before="0" w:beforeAutospacing="0" w:after="200" w:afterAutospacing="0"/>
        <w:ind w:firstLine="540"/>
        <w:divId w:val="804009867"/>
        <w:rPr>
          <w:sz w:val="20"/>
          <w:szCs w:val="20"/>
        </w:rPr>
      </w:pPr>
      <w:r>
        <w:rPr>
          <w:sz w:val="20"/>
          <w:szCs w:val="20"/>
        </w:rPr>
        <w:t>The manufacture of cell therapy products requires significant expertise and capital investment, including the development of advanced manufacturing techniques and process controls. Manufacturers of cell therapy products often encounter difficulties in prod</w:t>
      </w:r>
      <w:r>
        <w:rPr>
          <w:sz w:val="20"/>
          <w:szCs w:val="20"/>
        </w:rPr>
        <w:t xml:space="preserve">uction, particularly in scaling up initial production. These problems include difficulties with production costs and yields, quality control, including stability of the product candidate and quality assurance testing, shortages of qualified personnel, and </w:t>
      </w:r>
      <w:r>
        <w:rPr>
          <w:sz w:val="20"/>
          <w:szCs w:val="20"/>
        </w:rPr>
        <w:t>compliance with strictly enforced federal, state, local and foreign regulations.</w:t>
      </w:r>
    </w:p>
    <w:p w:rsidR="00000000" w:rsidRDefault="00FF2C06">
      <w:pPr>
        <w:pStyle w:val="a3"/>
        <w:spacing w:before="0" w:beforeAutospacing="0" w:after="200" w:afterAutospacing="0"/>
        <w:ind w:firstLine="540"/>
        <w:divId w:val="804009867"/>
        <w:rPr>
          <w:sz w:val="20"/>
          <w:szCs w:val="20"/>
        </w:rPr>
      </w:pPr>
      <w:r>
        <w:rPr>
          <w:sz w:val="20"/>
          <w:szCs w:val="20"/>
        </w:rPr>
        <w:t>Moreover, any problems or delays we or our CMOs experience in preparing for commercial scale manufacturing of a product candidate or component may result in a delay in the FDA</w:t>
      </w:r>
      <w:r>
        <w:rPr>
          <w:sz w:val="20"/>
          <w:szCs w:val="20"/>
        </w:rPr>
        <w:t xml:space="preserve"> approval of the product candidate or may impair our ability to manufacture commercial quantities or such quantities at an acceptable cost, which could result in the delay, prevention, or impairment of clinical development and commercialization of our prod</w:t>
      </w:r>
      <w:r>
        <w:rPr>
          <w:sz w:val="20"/>
          <w:szCs w:val="20"/>
        </w:rPr>
        <w:t xml:space="preserve">uct candidates and could adversely affect our business. Furthermore, if we or our commercial manufacturers fail to deliver the required commercial quantities of our product candidates on a timely basis and at reasonable costs, we would likely be unable to </w:t>
      </w:r>
      <w:r>
        <w:rPr>
          <w:sz w:val="20"/>
          <w:szCs w:val="20"/>
        </w:rPr>
        <w:t>meet demand for our products and we would lose potential revenues.</w:t>
      </w:r>
    </w:p>
    <w:p w:rsidR="00000000" w:rsidRDefault="00FF2C06">
      <w:pPr>
        <w:pStyle w:val="a3"/>
        <w:spacing w:before="0" w:beforeAutospacing="0" w:after="200" w:afterAutospacing="0"/>
        <w:ind w:firstLine="540"/>
        <w:divId w:val="804009867"/>
        <w:rPr>
          <w:sz w:val="20"/>
          <w:szCs w:val="20"/>
        </w:rPr>
      </w:pPr>
      <w:r>
        <w:rPr>
          <w:sz w:val="20"/>
          <w:szCs w:val="20"/>
        </w:rPr>
        <w:t>In addition, the manufacturing process and facilities for any products that we may develop is subject to FDA and foreign regulatory authority approval processes, and we or our CMOs will nee</w:t>
      </w:r>
      <w:r>
        <w:rPr>
          <w:sz w:val="20"/>
          <w:szCs w:val="20"/>
        </w:rPr>
        <w:t>d to meet all applicable FDA and foreign regulatory authority requirements, including cGMPs, on an ongoing basis. The cGMP requirements include quality control, quality assurance, and the maintenance of records and documentation. The FDA and other regulato</w:t>
      </w:r>
      <w:r>
        <w:rPr>
          <w:sz w:val="20"/>
          <w:szCs w:val="20"/>
        </w:rPr>
        <w:t>ry authorities enforce these requirements through facility inspections. Manufacturing facilities must submit to pre-approval inspections by the FDA that will be conducted after we submit our marketing applications, including our BLAs, to the FDA. Manufactu</w:t>
      </w:r>
      <w:r>
        <w:rPr>
          <w:sz w:val="20"/>
          <w:szCs w:val="20"/>
        </w:rPr>
        <w:t>rers are also subject to continuing FDA and other regulatory authority inspections following marketing approval. Further, we, in cooperation with our CMOs, must supply all necessary chemistry, manufacturing, and control documentation in support of a BLA on</w:t>
      </w:r>
      <w:r>
        <w:rPr>
          <w:sz w:val="20"/>
          <w:szCs w:val="20"/>
        </w:rPr>
        <w:t xml:space="preserve"> a timely basis. There is no guarantee that us or our CMOs will be able to successfully pass all aspects of a pre-approval inspection by the FDA or other foreign regulatory authorities</w:t>
      </w:r>
      <w:r>
        <w:rPr>
          <w:sz w:val="20"/>
          <w:szCs w:val="20"/>
        </w:rPr>
        <w:t>.</w:t>
      </w:r>
    </w:p>
    <w:p w:rsidR="00000000" w:rsidRDefault="00FF2C06">
      <w:pPr>
        <w:pStyle w:val="a3"/>
        <w:spacing w:before="0" w:beforeAutospacing="0" w:after="0" w:afterAutospacing="0"/>
        <w:ind w:firstLine="540"/>
        <w:divId w:val="804009867"/>
        <w:rPr>
          <w:sz w:val="20"/>
          <w:szCs w:val="20"/>
        </w:rPr>
      </w:pPr>
      <w:r>
        <w:rPr>
          <w:sz w:val="20"/>
          <w:szCs w:val="20"/>
        </w:rPr>
        <w:t>Our, or our CMOs’ manufacturing facilities may be unable to comply wit</w:t>
      </w:r>
      <w:r>
        <w:rPr>
          <w:sz w:val="20"/>
          <w:szCs w:val="20"/>
        </w:rPr>
        <w:t>h our specifications, cGMPs, and with other FDA, state, and foreign regulatory requirements. Poor control of production processes can lead to the introduction of adventitious agents or other contaminants, or to inadvertent changes in the properties or stab</w:t>
      </w:r>
      <w:r>
        <w:rPr>
          <w:sz w:val="20"/>
          <w:szCs w:val="20"/>
        </w:rPr>
        <w:t>ility of product candidate that may not be detectable in final product testing. If we or our CMOs are unable to reliably produce products to specifications acceptable to the FDA or other regulatory authorities, or in accordance with the strict regulatory r</w:t>
      </w:r>
      <w:r>
        <w:rPr>
          <w:sz w:val="20"/>
          <w:szCs w:val="20"/>
        </w:rPr>
        <w:t>equirements, we may not obtain or maintain the approvals we need to commercialize such products. Even if we obtain regulatory approval for any of our product candidates, there is no assurance that either we or our CMOs will be able to manufacture the appro</w:t>
      </w:r>
      <w:r>
        <w:rPr>
          <w:sz w:val="20"/>
          <w:szCs w:val="20"/>
        </w:rPr>
        <w:t xml:space="preserve">ved product to specifications acceptable to the FDA or other regulatory </w:t>
      </w:r>
    </w:p>
    <w:p w:rsidR="00000000" w:rsidRDefault="00FF2C06">
      <w:pPr>
        <w:pStyle w:val="a3"/>
        <w:spacing w:before="480" w:beforeAutospacing="0" w:after="0" w:afterAutospacing="0"/>
        <w:jc w:val="center"/>
        <w:divId w:val="1571185847"/>
        <w:rPr>
          <w:sz w:val="20"/>
          <w:szCs w:val="20"/>
        </w:rPr>
      </w:pPr>
      <w:r>
        <w:rPr>
          <w:sz w:val="20"/>
          <w:szCs w:val="20"/>
        </w:rPr>
        <w:t>47</w:t>
      </w:r>
    </w:p>
    <w:p w:rsidR="00000000" w:rsidRDefault="00FF2C06">
      <w:pPr>
        <w:pStyle w:val="a3"/>
        <w:spacing w:before="0" w:beforeAutospacing="0" w:after="600" w:afterAutospacing="0"/>
        <w:divId w:val="1423722214"/>
        <w:rPr>
          <w:sz w:val="20"/>
          <w:szCs w:val="20"/>
        </w:rPr>
      </w:pPr>
      <w:hyperlink w:anchor="TOC" w:history="1">
        <w:r>
          <w:rPr>
            <w:rStyle w:val="a4"/>
            <w:sz w:val="20"/>
            <w:szCs w:val="20"/>
          </w:rPr>
          <w:t>Table of Contents</w:t>
        </w:r>
      </w:hyperlink>
    </w:p>
    <w:p w:rsidR="00000000" w:rsidRDefault="00FF2C06">
      <w:pPr>
        <w:pStyle w:val="a3"/>
        <w:spacing w:before="0" w:beforeAutospacing="0" w:after="200" w:afterAutospacing="0"/>
        <w:divId w:val="1522938196"/>
        <w:rPr>
          <w:sz w:val="20"/>
          <w:szCs w:val="20"/>
        </w:rPr>
      </w:pPr>
      <w:r>
        <w:rPr>
          <w:sz w:val="20"/>
          <w:szCs w:val="20"/>
        </w:rPr>
        <w:t>authorities, to produce it in sufficient quantities to meet the requirements for the potential launch of the product, or to meet potenti</w:t>
      </w:r>
      <w:r>
        <w:rPr>
          <w:sz w:val="20"/>
          <w:szCs w:val="20"/>
        </w:rPr>
        <w:t>al future demand. Deviations from manufacturing requirements may further require remedial measures that may be costly and/or time-consuming for us or a third party to implement and may include the temporary or permanent suspension of a clinical trial or co</w:t>
      </w:r>
      <w:r>
        <w:rPr>
          <w:sz w:val="20"/>
          <w:szCs w:val="20"/>
        </w:rPr>
        <w:t>mmercial sales or the temporary or permanent closure of a facility. Any such remedial measures imposed upon us or third parties with whom we contract could materially harm our business.</w:t>
      </w:r>
    </w:p>
    <w:p w:rsidR="00000000" w:rsidRDefault="00FF2C06">
      <w:pPr>
        <w:pStyle w:val="a3"/>
        <w:spacing w:before="0" w:beforeAutospacing="0" w:after="200" w:afterAutospacing="0"/>
        <w:ind w:firstLine="540"/>
        <w:divId w:val="1522938196"/>
        <w:rPr>
          <w:sz w:val="20"/>
          <w:szCs w:val="20"/>
        </w:rPr>
      </w:pPr>
      <w:r>
        <w:rPr>
          <w:sz w:val="20"/>
          <w:szCs w:val="20"/>
        </w:rPr>
        <w:t xml:space="preserve">Even to the extent we use and continue to use CMOs, we are ultimately </w:t>
      </w:r>
      <w:r>
        <w:rPr>
          <w:sz w:val="20"/>
          <w:szCs w:val="20"/>
        </w:rPr>
        <w:t xml:space="preserve">responsible for the manufacture of our products and product candidates. A failure to comply with these requirements may result in regulatory enforcement actions against our manufacturers or us, including fines and civil and criminal penalties, which could </w:t>
      </w:r>
      <w:r>
        <w:rPr>
          <w:sz w:val="20"/>
          <w:szCs w:val="20"/>
        </w:rPr>
        <w:t>result in imprisonment, suspension or restrictions of production, injunctions, delay or denial of product approval or supplements to approved products, clinical holds or termination of clinical studies, warning or untitled letters, regulatory authority com</w:t>
      </w:r>
      <w:r>
        <w:rPr>
          <w:sz w:val="20"/>
          <w:szCs w:val="20"/>
        </w:rPr>
        <w:t>munications warning the public about safety issues with the biologic, refusal to permit the import or export of the products, product seizure, detention, or recall, operating restrictions, suits under the civil False Claims Act, corporate integrity agreeme</w:t>
      </w:r>
      <w:r>
        <w:rPr>
          <w:sz w:val="20"/>
          <w:szCs w:val="20"/>
        </w:rPr>
        <w:t>nts, consent decrees, or withdrawal of product approval.</w:t>
      </w:r>
    </w:p>
    <w:p w:rsidR="00000000" w:rsidRDefault="00FF2C06">
      <w:pPr>
        <w:pStyle w:val="a3"/>
        <w:spacing w:before="0" w:beforeAutospacing="0" w:after="200" w:afterAutospacing="0"/>
        <w:ind w:firstLine="540"/>
        <w:divId w:val="1522938196"/>
        <w:rPr>
          <w:sz w:val="20"/>
          <w:szCs w:val="20"/>
        </w:rPr>
      </w:pPr>
      <w:r>
        <w:rPr>
          <w:sz w:val="20"/>
          <w:szCs w:val="20"/>
        </w:rPr>
        <w:t xml:space="preserve">Any of these challenges could delay completion of clinical trials, require bridging clinical trials or the repetition of one or more clinical trials, increase clinical trial costs, delay approval of </w:t>
      </w:r>
      <w:r>
        <w:rPr>
          <w:sz w:val="20"/>
          <w:szCs w:val="20"/>
        </w:rPr>
        <w:t>our product candidate, impair commercialization efforts, increase our cost of goods, and have an adverse effect on our business, financial condition, results of operations and growth prospects.</w:t>
      </w:r>
    </w:p>
    <w:p w:rsidR="00000000" w:rsidRDefault="00FF2C06">
      <w:pPr>
        <w:pStyle w:val="a3"/>
        <w:spacing w:before="0" w:beforeAutospacing="0" w:after="200" w:afterAutospacing="0"/>
        <w:ind w:firstLine="540"/>
        <w:divId w:val="1522938196"/>
        <w:rPr>
          <w:sz w:val="20"/>
          <w:szCs w:val="20"/>
        </w:rPr>
      </w:pPr>
      <w:r>
        <w:rPr>
          <w:b/>
          <w:bCs/>
          <w:i/>
          <w:iCs/>
          <w:sz w:val="20"/>
          <w:szCs w:val="20"/>
        </w:rPr>
        <w:t>Cell-based therapies and biologics rely on the availability of</w:t>
      </w:r>
      <w:r>
        <w:rPr>
          <w:b/>
          <w:bCs/>
          <w:i/>
          <w:iCs/>
          <w:sz w:val="20"/>
          <w:szCs w:val="20"/>
        </w:rPr>
        <w:t xml:space="preserve"> reagents, specialized equipment, and other specialty materials, which may not be available to us on acceptable terms or at all. For some of these reagents, equipment, and materials, we rely or may rely on sole source vendors or a limited number of vendors</w:t>
      </w:r>
      <w:r>
        <w:rPr>
          <w:b/>
          <w:bCs/>
          <w:i/>
          <w:iCs/>
          <w:sz w:val="20"/>
          <w:szCs w:val="20"/>
        </w:rPr>
        <w:t>, which could impair our ability to manufacture and supply our products.</w:t>
      </w:r>
    </w:p>
    <w:p w:rsidR="00000000" w:rsidRDefault="00FF2C06">
      <w:pPr>
        <w:pStyle w:val="a3"/>
        <w:spacing w:before="0" w:beforeAutospacing="0" w:after="200" w:afterAutospacing="0"/>
        <w:ind w:firstLine="540"/>
        <w:divId w:val="1522938196"/>
        <w:rPr>
          <w:sz w:val="20"/>
          <w:szCs w:val="20"/>
        </w:rPr>
      </w:pPr>
      <w:r>
        <w:rPr>
          <w:sz w:val="20"/>
          <w:szCs w:val="20"/>
        </w:rPr>
        <w:t>Manufacturing our product candidates requires many reagents, which are substances used in our manufacturing processes to bring about chemical or biological reactions, and other specia</w:t>
      </w:r>
      <w:r>
        <w:rPr>
          <w:sz w:val="20"/>
          <w:szCs w:val="20"/>
        </w:rPr>
        <w:t>lty materials and equipment, some of which are manufactured or supplied by small companies with limited resources and experience to support commercial biologics production. We currently depend on a limited number of vendors for certain materials and equipm</w:t>
      </w:r>
      <w:r>
        <w:rPr>
          <w:sz w:val="20"/>
          <w:szCs w:val="20"/>
        </w:rPr>
        <w:t>ent used in the manufacture of our product candidates. Some of these suppliers may not have the capacity to support clinical trials and commercial products manufactured under cGMP by biopharmaceutical firms or may otherwise be ill-equipped to support our n</w:t>
      </w:r>
      <w:r>
        <w:rPr>
          <w:sz w:val="20"/>
          <w:szCs w:val="20"/>
        </w:rPr>
        <w:t>eeds. We also do not have supply contracts with many of these suppliers and may not be able to obtain supply contracts with them on acceptable terms or at all. Accordingly, we may experience delays in receiving key materials and equipment to support clinic</w:t>
      </w:r>
      <w:r>
        <w:rPr>
          <w:sz w:val="20"/>
          <w:szCs w:val="20"/>
        </w:rPr>
        <w:t>al or commercial manufacturing.</w:t>
      </w:r>
    </w:p>
    <w:p w:rsidR="00000000" w:rsidRDefault="00FF2C06">
      <w:pPr>
        <w:pStyle w:val="a3"/>
        <w:spacing w:before="0" w:beforeAutospacing="0" w:after="200" w:afterAutospacing="0"/>
        <w:ind w:firstLine="540"/>
        <w:divId w:val="1522938196"/>
        <w:rPr>
          <w:sz w:val="20"/>
          <w:szCs w:val="20"/>
        </w:rPr>
      </w:pPr>
      <w:r>
        <w:rPr>
          <w:sz w:val="20"/>
          <w:szCs w:val="20"/>
        </w:rPr>
        <w:t>For some of these reagents, equipment, and materials, we rely and may in the future rely on sole source vendors or a limited number of vendors. An inability to continue to source product from any of these suppliers, which co</w:t>
      </w:r>
      <w:r>
        <w:rPr>
          <w:sz w:val="20"/>
          <w:szCs w:val="20"/>
        </w:rPr>
        <w:t>uld be due to a number of issues, including regulatory actions or requirements affecting the supplier, adverse financial or other strategic developments experienced by a supplier, labor disputes or shortages, unexpected demands, or quality issues, could ad</w:t>
      </w:r>
      <w:r>
        <w:rPr>
          <w:sz w:val="20"/>
          <w:szCs w:val="20"/>
        </w:rPr>
        <w:t>versely affect our ability to satisfy demand for our product candidates, which could adversely and materially affect our product sales and operating results or our ability to conduct clinical trials, either of which could significantly harm our business.</w:t>
      </w:r>
    </w:p>
    <w:p w:rsidR="00000000" w:rsidRDefault="00FF2C06">
      <w:pPr>
        <w:pStyle w:val="a3"/>
        <w:spacing w:before="0" w:beforeAutospacing="0" w:after="200" w:afterAutospacing="0"/>
        <w:ind w:firstLine="547"/>
        <w:divId w:val="1522938196"/>
        <w:rPr>
          <w:sz w:val="20"/>
          <w:szCs w:val="20"/>
        </w:rPr>
      </w:pPr>
      <w:r>
        <w:rPr>
          <w:sz w:val="20"/>
          <w:szCs w:val="20"/>
        </w:rPr>
        <w:t>A</w:t>
      </w:r>
      <w:r>
        <w:rPr>
          <w:sz w:val="20"/>
          <w:szCs w:val="20"/>
        </w:rPr>
        <w:t>s we continue to develop and scale our manufacturing process, we expect that we will need to obtain rights to and supplies of certain materials and equipment to be used as part of that process. We may not be able to obtain rights to such materials on comme</w:t>
      </w:r>
      <w:r>
        <w:rPr>
          <w:sz w:val="20"/>
          <w:szCs w:val="20"/>
        </w:rPr>
        <w:t>rcially reasonable terms, or at all, and if we are unable to alter our process in a commercially viable manner to avoid the use of such materials or find a suitable substitute, it would have a material adverse effect on our business. Even if we are able to</w:t>
      </w:r>
      <w:r>
        <w:rPr>
          <w:sz w:val="20"/>
          <w:szCs w:val="20"/>
        </w:rPr>
        <w:t xml:space="preserve"> alter our process so as to use other materials or equipment, such a change may lead to a delay in our clinical development and/or commercialization plans. If such a change occurs for product candidate that is already in clinical testing, the change may re</w:t>
      </w:r>
      <w:r>
        <w:rPr>
          <w:sz w:val="20"/>
          <w:szCs w:val="20"/>
        </w:rPr>
        <w:t>quire us to perform both </w:t>
      </w:r>
      <w:r>
        <w:rPr>
          <w:i/>
          <w:iCs/>
          <w:sz w:val="20"/>
          <w:szCs w:val="20"/>
        </w:rPr>
        <w:t xml:space="preserve">ex vivo </w:t>
      </w:r>
      <w:r>
        <w:rPr>
          <w:sz w:val="20"/>
          <w:szCs w:val="20"/>
        </w:rPr>
        <w:t>comparability studies and to collect additional data from patients prior to undertaking more advanced clinical trials.</w:t>
      </w:r>
    </w:p>
    <w:p w:rsidR="00000000" w:rsidRDefault="00FF2C06">
      <w:pPr>
        <w:pStyle w:val="a3"/>
        <w:spacing w:before="0" w:beforeAutospacing="0" w:after="200" w:afterAutospacing="0"/>
        <w:ind w:firstLine="547"/>
        <w:divId w:val="1522938196"/>
        <w:rPr>
          <w:sz w:val="20"/>
          <w:szCs w:val="20"/>
        </w:rPr>
      </w:pPr>
      <w:r>
        <w:rPr>
          <w:b/>
          <w:bCs/>
          <w:i/>
          <w:iCs/>
          <w:sz w:val="20"/>
          <w:szCs w:val="20"/>
        </w:rPr>
        <w:t>We will be unable to commercialize our products if our trials are not successful.</w:t>
      </w:r>
    </w:p>
    <w:p w:rsidR="00000000" w:rsidRDefault="00FF2C06">
      <w:pPr>
        <w:pStyle w:val="a3"/>
        <w:spacing w:before="0" w:beforeAutospacing="0" w:after="200" w:afterAutospacing="0"/>
        <w:ind w:firstLine="547"/>
        <w:divId w:val="1522938196"/>
        <w:rPr>
          <w:sz w:val="20"/>
          <w:szCs w:val="20"/>
        </w:rPr>
      </w:pPr>
      <w:r>
        <w:rPr>
          <w:sz w:val="20"/>
          <w:szCs w:val="20"/>
        </w:rPr>
        <w:t xml:space="preserve">With the exception of </w:t>
      </w:r>
      <w:r>
        <w:rPr>
          <w:sz w:val="20"/>
          <w:szCs w:val="20"/>
        </w:rPr>
        <w:t>lifileucel for metastatic melanoma and metastatic cervical cancer, our research and development programs are at an early stage. We must demonstrate our products’ safety and efficacy in humans through extensive clinical testing. We may experience numerous u</w:t>
      </w:r>
      <w:r>
        <w:rPr>
          <w:sz w:val="20"/>
          <w:szCs w:val="20"/>
        </w:rPr>
        <w:t>nforeseen events during, or as a result of, the testing process that could delay or prevent commercialization of our products, including but not limited to the following:</w:t>
      </w:r>
    </w:p>
    <w:p w:rsidR="00000000" w:rsidRDefault="00FF2C06">
      <w:pPr>
        <w:ind w:left="547" w:hanging="360"/>
        <w:divId w:val="2092963090"/>
        <w:rPr>
          <w:rFonts w:eastAsia="Times New Roman"/>
          <w:sz w:val="20"/>
          <w:szCs w:val="20"/>
        </w:rPr>
      </w:pPr>
      <w:r>
        <w:rPr>
          <w:rFonts w:eastAsia="Times New Roman"/>
          <w:sz w:val="20"/>
          <w:szCs w:val="20"/>
        </w:rPr>
        <w:t>●</w:t>
      </w:r>
      <w:r>
        <w:rPr>
          <w:rFonts w:eastAsia="Times New Roman"/>
          <w:sz w:val="20"/>
          <w:szCs w:val="20"/>
        </w:rPr>
        <w:t xml:space="preserve">safety and efficacy results in various human clinical trials reported in scientific </w:t>
      </w:r>
      <w:r>
        <w:rPr>
          <w:rFonts w:eastAsia="Times New Roman"/>
          <w:sz w:val="20"/>
          <w:szCs w:val="20"/>
        </w:rPr>
        <w:t>and medical literature may not be indicative of results we obtain in our clinical trials;</w:t>
      </w:r>
    </w:p>
    <w:p w:rsidR="00000000" w:rsidRDefault="00FF2C06">
      <w:pPr>
        <w:pStyle w:val="a3"/>
        <w:spacing w:before="480" w:beforeAutospacing="0" w:after="0" w:afterAutospacing="0"/>
        <w:jc w:val="center"/>
        <w:divId w:val="1995916197"/>
        <w:rPr>
          <w:sz w:val="20"/>
          <w:szCs w:val="20"/>
        </w:rPr>
      </w:pPr>
      <w:r>
        <w:rPr>
          <w:sz w:val="20"/>
          <w:szCs w:val="20"/>
        </w:rPr>
        <w:t>48</w:t>
      </w:r>
    </w:p>
    <w:p w:rsidR="00000000" w:rsidRDefault="00FF2C06">
      <w:pPr>
        <w:pStyle w:val="a3"/>
        <w:spacing w:before="0" w:beforeAutospacing="0" w:after="600" w:afterAutospacing="0"/>
        <w:divId w:val="1923175100"/>
        <w:rPr>
          <w:sz w:val="20"/>
          <w:szCs w:val="20"/>
        </w:rPr>
      </w:pPr>
      <w:hyperlink w:anchor="TOC" w:history="1">
        <w:r>
          <w:rPr>
            <w:rStyle w:val="a4"/>
            <w:sz w:val="20"/>
            <w:szCs w:val="20"/>
          </w:rPr>
          <w:t>Table of Contents</w:t>
        </w:r>
      </w:hyperlink>
    </w:p>
    <w:p w:rsidR="00000000" w:rsidRDefault="00FF2C06">
      <w:pPr>
        <w:ind w:left="547" w:hanging="360"/>
        <w:divId w:val="258948146"/>
        <w:rPr>
          <w:rFonts w:eastAsia="Times New Roman"/>
          <w:sz w:val="20"/>
          <w:szCs w:val="20"/>
        </w:rPr>
      </w:pPr>
      <w:r>
        <w:rPr>
          <w:rFonts w:eastAsia="Times New Roman"/>
          <w:sz w:val="20"/>
          <w:szCs w:val="20"/>
        </w:rPr>
        <w:t>●</w:t>
      </w:r>
      <w:r>
        <w:rPr>
          <w:rFonts w:eastAsia="Times New Roman"/>
          <w:sz w:val="20"/>
          <w:szCs w:val="20"/>
        </w:rPr>
        <w:t>after reviewing test results, we or our collaborators may abandon projects that we might previously have believed to b</w:t>
      </w:r>
      <w:r>
        <w:rPr>
          <w:rFonts w:eastAsia="Times New Roman"/>
          <w:sz w:val="20"/>
          <w:szCs w:val="20"/>
        </w:rPr>
        <w:t>e promising;</w:t>
      </w:r>
    </w:p>
    <w:p w:rsidR="00000000" w:rsidRDefault="00FF2C06">
      <w:pPr>
        <w:ind w:left="547" w:hanging="360"/>
        <w:divId w:val="1903174555"/>
        <w:rPr>
          <w:rFonts w:eastAsia="Times New Roman"/>
          <w:sz w:val="20"/>
          <w:szCs w:val="20"/>
        </w:rPr>
      </w:pPr>
      <w:r>
        <w:rPr>
          <w:rFonts w:eastAsia="Times New Roman"/>
          <w:sz w:val="20"/>
          <w:szCs w:val="20"/>
        </w:rPr>
        <w:t>●</w:t>
      </w:r>
      <w:r>
        <w:rPr>
          <w:rFonts w:eastAsia="Times New Roman"/>
          <w:sz w:val="20"/>
          <w:szCs w:val="20"/>
        </w:rPr>
        <w:t>we, our collaborators or regulators, may suspend or terminate clinical trials if the participating subjects or patients are being exposed to unacceptable health risks;</w:t>
      </w:r>
    </w:p>
    <w:p w:rsidR="00000000" w:rsidRDefault="00FF2C06">
      <w:pPr>
        <w:ind w:left="547" w:hanging="360"/>
        <w:divId w:val="165484742"/>
        <w:rPr>
          <w:rFonts w:eastAsia="Times New Roman"/>
          <w:sz w:val="20"/>
          <w:szCs w:val="20"/>
        </w:rPr>
      </w:pPr>
      <w:r>
        <w:rPr>
          <w:rFonts w:eastAsia="Times New Roman"/>
          <w:sz w:val="20"/>
          <w:szCs w:val="20"/>
        </w:rPr>
        <w:t>●</w:t>
      </w:r>
      <w:r>
        <w:rPr>
          <w:rFonts w:eastAsia="Times New Roman"/>
          <w:sz w:val="20"/>
          <w:szCs w:val="20"/>
        </w:rPr>
        <w:t>the effects our potential products have may not be the desired effects or may include undesirable side effects or other characteristics that preclude regulatory approval or limit their commercial use if approved;</w:t>
      </w:r>
    </w:p>
    <w:p w:rsidR="00000000" w:rsidRDefault="00FF2C06">
      <w:pPr>
        <w:ind w:left="547" w:hanging="360"/>
        <w:divId w:val="1702045809"/>
        <w:rPr>
          <w:rFonts w:eastAsia="Times New Roman"/>
          <w:sz w:val="20"/>
          <w:szCs w:val="20"/>
        </w:rPr>
      </w:pPr>
      <w:r>
        <w:rPr>
          <w:rFonts w:eastAsia="Times New Roman"/>
          <w:sz w:val="20"/>
          <w:szCs w:val="20"/>
        </w:rPr>
        <w:t>●</w:t>
      </w:r>
      <w:r>
        <w:rPr>
          <w:rFonts w:eastAsia="Times New Roman"/>
          <w:sz w:val="20"/>
          <w:szCs w:val="20"/>
        </w:rPr>
        <w:t>manufacturers may not meet the necessary s</w:t>
      </w:r>
      <w:r>
        <w:rPr>
          <w:rFonts w:eastAsia="Times New Roman"/>
          <w:sz w:val="20"/>
          <w:szCs w:val="20"/>
        </w:rPr>
        <w:t>tandards for the production of the product candidates or may not be able to supply the product candidates in a sufficient quantity; and</w:t>
      </w:r>
    </w:p>
    <w:p w:rsidR="00000000" w:rsidRDefault="00FF2C06">
      <w:pPr>
        <w:ind w:left="547" w:hanging="360"/>
        <w:divId w:val="304315584"/>
        <w:rPr>
          <w:rFonts w:eastAsia="Times New Roman"/>
          <w:sz w:val="20"/>
          <w:szCs w:val="20"/>
        </w:rPr>
      </w:pPr>
      <w:r>
        <w:rPr>
          <w:rFonts w:eastAsia="Times New Roman"/>
          <w:sz w:val="20"/>
          <w:szCs w:val="20"/>
        </w:rPr>
        <w:t>●</w:t>
      </w:r>
      <w:r>
        <w:rPr>
          <w:rFonts w:eastAsia="Times New Roman"/>
          <w:sz w:val="20"/>
          <w:szCs w:val="20"/>
        </w:rPr>
        <w:t>regulatory authorities may find that our clinical trial design or conduct does not meet the applicable approval require</w:t>
      </w:r>
      <w:r>
        <w:rPr>
          <w:rFonts w:eastAsia="Times New Roman"/>
          <w:sz w:val="20"/>
          <w:szCs w:val="20"/>
        </w:rPr>
        <w:t>ments.</w:t>
      </w:r>
    </w:p>
    <w:p w:rsidR="00000000" w:rsidRDefault="00FF2C06">
      <w:pPr>
        <w:pStyle w:val="a3"/>
        <w:spacing w:before="0" w:beforeAutospacing="0" w:after="200" w:afterAutospacing="0"/>
        <w:ind w:firstLine="540"/>
        <w:divId w:val="2118018205"/>
        <w:rPr>
          <w:sz w:val="20"/>
          <w:szCs w:val="20"/>
        </w:rPr>
      </w:pPr>
      <w:r>
        <w:rPr>
          <w:sz w:val="20"/>
          <w:szCs w:val="20"/>
        </w:rPr>
        <w:t>Clinical testing is very expensive, can take many years, and the outcome is uncertain. It could take as much as 12 months or more before we learn the results from any clinical trial using our adoptive cell therapy with TIL. The data collected from o</w:t>
      </w:r>
      <w:r>
        <w:rPr>
          <w:sz w:val="20"/>
          <w:szCs w:val="20"/>
        </w:rPr>
        <w:t>ur clinical trials may not be sufficient to support approval by the FDA of our TIL-based product candidates for the treatment of solid tumors. The clinical trials for our products under development may not be completed on schedule and the FDA may not ultim</w:t>
      </w:r>
      <w:r>
        <w:rPr>
          <w:sz w:val="20"/>
          <w:szCs w:val="20"/>
        </w:rPr>
        <w:t>ately approve any of our product candidates for commercial sale. If we fail to adequately demonstrate the safety and efficacy of any product candidate under development, we may not receive regulatory approval for those products, which would prevent us from</w:t>
      </w:r>
      <w:r>
        <w:rPr>
          <w:sz w:val="20"/>
          <w:szCs w:val="20"/>
        </w:rPr>
        <w:t xml:space="preserve"> generating revenues or achieving profitability.</w:t>
      </w:r>
    </w:p>
    <w:p w:rsidR="00000000" w:rsidRDefault="00FF2C06">
      <w:pPr>
        <w:pStyle w:val="a3"/>
        <w:spacing w:before="0" w:beforeAutospacing="0" w:after="200" w:afterAutospacing="0"/>
        <w:ind w:firstLine="540"/>
        <w:divId w:val="2118018205"/>
        <w:rPr>
          <w:sz w:val="20"/>
          <w:szCs w:val="20"/>
        </w:rPr>
      </w:pPr>
      <w:r>
        <w:rPr>
          <w:b/>
          <w:bCs/>
          <w:i/>
          <w:iCs/>
          <w:sz w:val="20"/>
          <w:szCs w:val="20"/>
        </w:rPr>
        <w:t>Even if our lead product lifileucel is approved and commercialized, we may not become profitable.</w:t>
      </w:r>
    </w:p>
    <w:p w:rsidR="00000000" w:rsidRDefault="00FF2C06">
      <w:pPr>
        <w:pStyle w:val="a3"/>
        <w:spacing w:before="0" w:beforeAutospacing="0" w:after="200" w:afterAutospacing="0"/>
        <w:ind w:firstLine="540"/>
        <w:divId w:val="2118018205"/>
        <w:rPr>
          <w:sz w:val="20"/>
          <w:szCs w:val="20"/>
        </w:rPr>
      </w:pPr>
      <w:r>
        <w:rPr>
          <w:sz w:val="20"/>
          <w:szCs w:val="20"/>
        </w:rPr>
        <w:t>Our lead product, lifileucel, is initially targeting a small population of refractory patients that suffer fr</w:t>
      </w:r>
      <w:r>
        <w:rPr>
          <w:sz w:val="20"/>
          <w:szCs w:val="20"/>
        </w:rPr>
        <w:t>om metastatic melanoma and metastatic cervical cancer. Even if the FDA approves these new therapies, and even if we obtain significant market share for each product candidate, because the potential target population for lifileucel in refractory patients ma</w:t>
      </w:r>
      <w:r>
        <w:rPr>
          <w:sz w:val="20"/>
          <w:szCs w:val="20"/>
        </w:rPr>
        <w:t xml:space="preserve">y be small, we may never achieve profitability without obtaining regulatory approval for additional indications. The FDA often approves new therapies initially only for use in patients with relapsed or refractory metastatic disease. We expect to initially </w:t>
      </w:r>
      <w:r>
        <w:rPr>
          <w:sz w:val="20"/>
          <w:szCs w:val="20"/>
        </w:rPr>
        <w:t>seek approval of our product candidates in this setting and are currently studying these patient populations</w:t>
      </w:r>
      <w:r>
        <w:rPr>
          <w:sz w:val="20"/>
          <w:szCs w:val="20"/>
        </w:rPr>
        <w:t>.</w:t>
      </w:r>
    </w:p>
    <w:p w:rsidR="00000000" w:rsidRDefault="00FF2C06">
      <w:pPr>
        <w:pStyle w:val="a3"/>
        <w:spacing w:before="0" w:beforeAutospacing="0" w:after="200" w:afterAutospacing="0"/>
        <w:ind w:firstLine="540"/>
        <w:divId w:val="2118018205"/>
        <w:rPr>
          <w:sz w:val="20"/>
          <w:szCs w:val="20"/>
        </w:rPr>
      </w:pPr>
      <w:r>
        <w:rPr>
          <w:b/>
          <w:bCs/>
          <w:i/>
          <w:iCs/>
          <w:sz w:val="20"/>
          <w:szCs w:val="20"/>
        </w:rPr>
        <w:t xml:space="preserve">We collaborate with governmental, academic and corporate partners to improve and develop TIL therapies for new indications for use in combination </w:t>
      </w:r>
      <w:r>
        <w:rPr>
          <w:b/>
          <w:bCs/>
          <w:i/>
          <w:iCs/>
          <w:sz w:val="20"/>
          <w:szCs w:val="20"/>
        </w:rPr>
        <w:t>with other therapies and to evaluate new TIL manufacturing methods, the results of which, because the manufacturing processes are not within our control, may be incorrect or unreliable.</w:t>
      </w:r>
    </w:p>
    <w:p w:rsidR="00000000" w:rsidRDefault="00FF2C06">
      <w:pPr>
        <w:pStyle w:val="a3"/>
        <w:spacing w:before="0" w:beforeAutospacing="0" w:after="200" w:afterAutospacing="0"/>
        <w:ind w:firstLine="540"/>
        <w:divId w:val="2118018205"/>
        <w:rPr>
          <w:sz w:val="20"/>
          <w:szCs w:val="20"/>
        </w:rPr>
      </w:pPr>
      <w:r>
        <w:rPr>
          <w:sz w:val="20"/>
          <w:szCs w:val="20"/>
        </w:rPr>
        <w:t>In addition to our own research and process development efforts, we se</w:t>
      </w:r>
      <w:r>
        <w:rPr>
          <w:sz w:val="20"/>
          <w:szCs w:val="20"/>
        </w:rPr>
        <w:t>ek to collaborate with government, academic research institutions and corporate partners to improve TIL manufacturing and to develop TIL therapies for new indications. In 2017-2019, we announced collaborations with Moffitt, MDACC, Ohio State University, an</w:t>
      </w:r>
      <w:r>
        <w:rPr>
          <w:sz w:val="20"/>
          <w:szCs w:val="20"/>
        </w:rPr>
        <w:t>d CHUM to evaluate several new solid tumor and hematologic indications for TIL therapy in clinical and preclinical studies as well as, in some cases, new TIL manufacturing approaches. The results of these collaborations may be used to support our filing wi</w:t>
      </w:r>
      <w:r>
        <w:rPr>
          <w:sz w:val="20"/>
          <w:szCs w:val="20"/>
        </w:rPr>
        <w:t>th the FDA of INDs to conduct more advanced clinical trials of our product candidates, or to otherwise analyze or make predictions or decisions with respect to our current or future product candidates. However, because the majority of our collaborations ar</w:t>
      </w:r>
      <w:r>
        <w:rPr>
          <w:sz w:val="20"/>
          <w:szCs w:val="20"/>
        </w:rPr>
        <w:t>e conducted at outside laboratories and we do not have complete control over how the studies are conducted or reported or over the manufacturing methods used to manufacture TIL product, the results of such studies, which we may use as the basis for our con</w:t>
      </w:r>
      <w:r>
        <w:rPr>
          <w:sz w:val="20"/>
          <w:szCs w:val="20"/>
        </w:rPr>
        <w:t>clusions, projections or decisions with respect to our current or future product candidates, may be incorrect or unreliable, or may have a negative impact on us if the results of such studies are imputed to our products or proposed indications, even if suc</w:t>
      </w:r>
      <w:r>
        <w:rPr>
          <w:sz w:val="20"/>
          <w:szCs w:val="20"/>
        </w:rPr>
        <w:t>h imputation is improper. For example, we have entered into collaborations with Moffitt, MDACC and CHUM to perform clinical trials using TIL products that differ from our products, but the results of these clinical trials, if negative, may adversely impact</w:t>
      </w:r>
      <w:r>
        <w:rPr>
          <w:sz w:val="20"/>
          <w:szCs w:val="20"/>
        </w:rPr>
        <w:t xml:space="preserve"> our stock price and our development plans for our products. Additionally, we may use third party data to analyze, reach conclusions or make predictions or decisions with respect to our product candidates that may be incomplete, inaccurate or otherwise unr</w:t>
      </w:r>
      <w:r>
        <w:rPr>
          <w:sz w:val="20"/>
          <w:szCs w:val="20"/>
        </w:rPr>
        <w:t>eliable.</w:t>
      </w:r>
    </w:p>
    <w:p w:rsidR="00000000" w:rsidRDefault="00FF2C06">
      <w:pPr>
        <w:pStyle w:val="a3"/>
        <w:spacing w:before="0" w:beforeAutospacing="0" w:after="200" w:afterAutospacing="0"/>
        <w:ind w:firstLine="540"/>
        <w:divId w:val="2118018205"/>
        <w:rPr>
          <w:sz w:val="20"/>
          <w:szCs w:val="20"/>
        </w:rPr>
      </w:pPr>
      <w:r>
        <w:rPr>
          <w:b/>
          <w:bCs/>
          <w:i/>
          <w:iCs/>
          <w:sz w:val="20"/>
          <w:szCs w:val="20"/>
        </w:rPr>
        <w:t>We may need additional financing to fund our operations and complete the development and commercialization of our various product candidates, and if we are unable to obtain such financing, we may be unable to complete the development and commercia</w:t>
      </w:r>
      <w:r>
        <w:rPr>
          <w:b/>
          <w:bCs/>
          <w:i/>
          <w:iCs/>
          <w:sz w:val="20"/>
          <w:szCs w:val="20"/>
        </w:rPr>
        <w:t>lization of our product candidates. Raising additional capital may cause dilution to our existing stockholders, restrict our operations or require us to relinquish rights to our technologies or product candidates.*</w:t>
      </w:r>
    </w:p>
    <w:p w:rsidR="00000000" w:rsidRDefault="00FF2C06">
      <w:pPr>
        <w:pStyle w:val="a3"/>
        <w:spacing w:before="0" w:beforeAutospacing="0" w:after="0" w:afterAutospacing="0"/>
        <w:ind w:firstLine="540"/>
        <w:divId w:val="2118018205"/>
        <w:rPr>
          <w:sz w:val="20"/>
          <w:szCs w:val="20"/>
        </w:rPr>
      </w:pPr>
      <w:r>
        <w:rPr>
          <w:sz w:val="20"/>
          <w:szCs w:val="20"/>
        </w:rPr>
        <w:t xml:space="preserve">Our operations have consumed substantial </w:t>
      </w:r>
      <w:r>
        <w:rPr>
          <w:sz w:val="20"/>
          <w:szCs w:val="20"/>
        </w:rPr>
        <w:t>amounts of cash since inception. From our inception to September 30, 2020, we have an accumulated deficit of $761.8 million. In addition, our research and development and our operating costs have also been substantial and are expected to increase. In Janua</w:t>
      </w:r>
      <w:r>
        <w:rPr>
          <w:sz w:val="20"/>
          <w:szCs w:val="20"/>
        </w:rPr>
        <w:t xml:space="preserve">ry 2018, we closed an underwritten public offering of our common stock. The net proceeds from the offering, after deducting the underwriting discounts and commissions and other offering expenses payable by us, were $162.0 </w:t>
      </w:r>
    </w:p>
    <w:p w:rsidR="00000000" w:rsidRDefault="00FF2C06">
      <w:pPr>
        <w:pStyle w:val="a3"/>
        <w:spacing w:before="480" w:beforeAutospacing="0" w:after="0" w:afterAutospacing="0"/>
        <w:jc w:val="center"/>
        <w:divId w:val="302010407"/>
        <w:rPr>
          <w:sz w:val="20"/>
          <w:szCs w:val="20"/>
        </w:rPr>
      </w:pPr>
      <w:r>
        <w:rPr>
          <w:sz w:val="20"/>
          <w:szCs w:val="20"/>
        </w:rPr>
        <w:t>49</w:t>
      </w:r>
    </w:p>
    <w:p w:rsidR="00000000" w:rsidRDefault="00FF2C06">
      <w:pPr>
        <w:pStyle w:val="a3"/>
        <w:spacing w:before="0" w:beforeAutospacing="0" w:after="600" w:afterAutospacing="0"/>
        <w:divId w:val="1251503882"/>
        <w:rPr>
          <w:sz w:val="20"/>
          <w:szCs w:val="20"/>
        </w:rPr>
      </w:pPr>
      <w:hyperlink w:anchor="TOC" w:history="1">
        <w:r>
          <w:rPr>
            <w:rStyle w:val="a4"/>
            <w:sz w:val="20"/>
            <w:szCs w:val="20"/>
          </w:rPr>
          <w:t>Tabl</w:t>
        </w:r>
        <w:r>
          <w:rPr>
            <w:rStyle w:val="a4"/>
            <w:sz w:val="20"/>
            <w:szCs w:val="20"/>
          </w:rPr>
          <w:t>e of Contents</w:t>
        </w:r>
      </w:hyperlink>
    </w:p>
    <w:p w:rsidR="00000000" w:rsidRDefault="00FF2C06">
      <w:pPr>
        <w:pStyle w:val="a3"/>
        <w:spacing w:before="0" w:beforeAutospacing="0" w:after="200" w:afterAutospacing="0"/>
        <w:divId w:val="744647356"/>
        <w:rPr>
          <w:sz w:val="20"/>
          <w:szCs w:val="20"/>
        </w:rPr>
      </w:pPr>
      <w:r>
        <w:rPr>
          <w:sz w:val="20"/>
          <w:szCs w:val="20"/>
        </w:rPr>
        <w:t>million. In October 2018, we closed an underwritten public offering of our common stock. The net proceeds from the offering, after deducting the underwriting discounts and commissions and other offering expenses payable by us, were $236.7 mil</w:t>
      </w:r>
      <w:r>
        <w:rPr>
          <w:sz w:val="20"/>
          <w:szCs w:val="20"/>
        </w:rPr>
        <w:t>lion. In June 2020, we closed an underwritten offering of our common stock. The net proceeds from the offering, after deducting the underwriting discounts and commissions and other offering expenses payable by us, were $567.0 million. In addition to our co</w:t>
      </w:r>
      <w:r>
        <w:rPr>
          <w:sz w:val="20"/>
          <w:szCs w:val="20"/>
        </w:rPr>
        <w:t>ntinued spending for our product candidates, we expect to spend approximately $75 million to $85 million over the next three years for equipment and construction costs for our commercial-scale production facility under construction in Philadelphia, Pennsyl</w:t>
      </w:r>
      <w:r>
        <w:rPr>
          <w:sz w:val="20"/>
          <w:szCs w:val="20"/>
        </w:rPr>
        <w:t>vania, for which we have latitude as to the timing and amount of expenditures. As of September 30, 2020, we had $719.7 million in cash, cash equivalents and short-term investments ($68.3 million of cash and cash equivalents and $645.8 million in short-term</w:t>
      </w:r>
      <w:r>
        <w:rPr>
          <w:sz w:val="20"/>
          <w:szCs w:val="20"/>
        </w:rPr>
        <w:t xml:space="preserve"> investments and $5.5 million in restricted cash).</w:t>
      </w:r>
    </w:p>
    <w:p w:rsidR="00000000" w:rsidRDefault="00FF2C06">
      <w:pPr>
        <w:pStyle w:val="a3"/>
        <w:spacing w:before="0" w:beforeAutospacing="0" w:after="200" w:afterAutospacing="0"/>
        <w:ind w:firstLine="540"/>
        <w:divId w:val="744647356"/>
        <w:rPr>
          <w:sz w:val="20"/>
          <w:szCs w:val="20"/>
        </w:rPr>
      </w:pPr>
      <w:r>
        <w:rPr>
          <w:sz w:val="20"/>
          <w:szCs w:val="20"/>
        </w:rPr>
        <w:t>Accordingly, we believe that our existing cash, cash equivalents and short-term investments will be sufficient to fund our operations for at least the next twelve months from the date this Quarterly Report</w:t>
      </w:r>
      <w:r>
        <w:rPr>
          <w:sz w:val="20"/>
          <w:szCs w:val="20"/>
        </w:rPr>
        <w:t xml:space="preserve"> on Form 10-Q is issued. However, in order to complete the development of our current product candidates, and in order to affect our business plan, including establishing our own manufacturing facility, we anticipate that we will have to spend more than th</w:t>
      </w:r>
      <w:r>
        <w:rPr>
          <w:sz w:val="20"/>
          <w:szCs w:val="20"/>
        </w:rPr>
        <w:t>e funds currently available to us. Furthermore, changing circumstances may cause us to increase our spending significantly faster than we currently anticipate, and we may require additional capital for the further development and commercialization of our p</w:t>
      </w:r>
      <w:r>
        <w:rPr>
          <w:sz w:val="20"/>
          <w:szCs w:val="20"/>
        </w:rPr>
        <w:t xml:space="preserve">roduct candidates and may need to raise additional funds sooner if we choose to expand more rapidly than we presently anticipate. Moreover, our fixed expenses such as rent, minimum payments to our contract manufacturers, and other contractual commitments, </w:t>
      </w:r>
      <w:r>
        <w:rPr>
          <w:sz w:val="20"/>
          <w:szCs w:val="20"/>
        </w:rPr>
        <w:t>including those for our research collaborations, are substantial and are expected to increase in the future.</w:t>
      </w:r>
    </w:p>
    <w:p w:rsidR="00000000" w:rsidRDefault="00FF2C06">
      <w:pPr>
        <w:pStyle w:val="a3"/>
        <w:spacing w:before="0" w:beforeAutospacing="0" w:after="200" w:afterAutospacing="0"/>
        <w:ind w:firstLine="540"/>
        <w:divId w:val="744647356"/>
        <w:rPr>
          <w:sz w:val="20"/>
          <w:szCs w:val="20"/>
        </w:rPr>
      </w:pPr>
      <w:r>
        <w:rPr>
          <w:sz w:val="20"/>
          <w:szCs w:val="20"/>
        </w:rPr>
        <w:t>We will need to obtain additional financing to fund our future operations, including completing the development and commercialization of our produc</w:t>
      </w:r>
      <w:r>
        <w:rPr>
          <w:sz w:val="20"/>
          <w:szCs w:val="20"/>
        </w:rPr>
        <w:t>t candidates. Our future funding requirements will depend on many factors, including, but not limited to:</w:t>
      </w:r>
    </w:p>
    <w:p w:rsidR="00000000" w:rsidRDefault="00FF2C06">
      <w:pPr>
        <w:ind w:left="547" w:hanging="360"/>
        <w:divId w:val="1969238652"/>
        <w:rPr>
          <w:rFonts w:eastAsia="Times New Roman"/>
          <w:sz w:val="20"/>
          <w:szCs w:val="20"/>
        </w:rPr>
      </w:pPr>
      <w:r>
        <w:rPr>
          <w:rFonts w:eastAsia="Times New Roman"/>
          <w:sz w:val="20"/>
          <w:szCs w:val="20"/>
        </w:rPr>
        <w:t>●</w:t>
      </w:r>
      <w:r>
        <w:rPr>
          <w:rFonts w:eastAsia="Times New Roman"/>
          <w:sz w:val="20"/>
          <w:szCs w:val="20"/>
        </w:rPr>
        <w:t>progress, timing, scope and costs of our clinical trials, including the ability to timely initiate clinical sites, enroll subjects and manufacture TI</w:t>
      </w:r>
      <w:r>
        <w:rPr>
          <w:rFonts w:eastAsia="Times New Roman"/>
          <w:sz w:val="20"/>
          <w:szCs w:val="20"/>
        </w:rPr>
        <w:t>L for treatment for patients in our ongoing, planned and potential future clinical trials;</w:t>
      </w:r>
    </w:p>
    <w:p w:rsidR="00000000" w:rsidRDefault="00FF2C06">
      <w:pPr>
        <w:ind w:left="547" w:hanging="360"/>
        <w:divId w:val="1147354884"/>
        <w:rPr>
          <w:rFonts w:eastAsia="Times New Roman"/>
          <w:sz w:val="20"/>
          <w:szCs w:val="20"/>
        </w:rPr>
      </w:pPr>
      <w:r>
        <w:rPr>
          <w:rFonts w:eastAsia="Times New Roman"/>
          <w:sz w:val="20"/>
          <w:szCs w:val="20"/>
        </w:rPr>
        <w:t>●</w:t>
      </w:r>
      <w:r>
        <w:rPr>
          <w:rFonts w:eastAsia="Times New Roman"/>
          <w:sz w:val="20"/>
          <w:szCs w:val="20"/>
        </w:rPr>
        <w:t>time and cost necessary to obtain regulatory approvals that may be required by regulatory authorities to execute clinical trials or commercialize our product;</w:t>
      </w:r>
    </w:p>
    <w:p w:rsidR="00000000" w:rsidRDefault="00FF2C06">
      <w:pPr>
        <w:ind w:left="547" w:hanging="360"/>
        <w:divId w:val="88702082"/>
        <w:rPr>
          <w:rFonts w:eastAsia="Times New Roman"/>
          <w:sz w:val="20"/>
          <w:szCs w:val="20"/>
        </w:rPr>
      </w:pPr>
      <w:r>
        <w:rPr>
          <w:rFonts w:eastAsia="Times New Roman"/>
          <w:sz w:val="20"/>
          <w:szCs w:val="20"/>
        </w:rPr>
        <w:t>●</w:t>
      </w:r>
      <w:r>
        <w:rPr>
          <w:rFonts w:eastAsia="Times New Roman"/>
          <w:sz w:val="20"/>
          <w:szCs w:val="20"/>
        </w:rPr>
        <w:t xml:space="preserve">our </w:t>
      </w:r>
      <w:r>
        <w:rPr>
          <w:rFonts w:eastAsia="Times New Roman"/>
          <w:sz w:val="20"/>
          <w:szCs w:val="20"/>
        </w:rPr>
        <w:t>ability to successfully commercialize our product candidates, if approved;</w:t>
      </w:r>
    </w:p>
    <w:p w:rsidR="00000000" w:rsidRDefault="00FF2C06">
      <w:pPr>
        <w:ind w:left="547" w:hanging="360"/>
        <w:divId w:val="1198078061"/>
        <w:rPr>
          <w:rFonts w:eastAsia="Times New Roman"/>
          <w:sz w:val="20"/>
          <w:szCs w:val="20"/>
        </w:rPr>
      </w:pPr>
      <w:r>
        <w:rPr>
          <w:rFonts w:eastAsia="Times New Roman"/>
          <w:sz w:val="20"/>
          <w:szCs w:val="20"/>
        </w:rPr>
        <w:t>●</w:t>
      </w:r>
      <w:r>
        <w:rPr>
          <w:rFonts w:eastAsia="Times New Roman"/>
          <w:sz w:val="20"/>
          <w:szCs w:val="20"/>
        </w:rPr>
        <w:t>our ability to have clinical and commercial product successfully manufactured consistent with FDA and European Medicines Agency, or EMA, regulations;</w:t>
      </w:r>
    </w:p>
    <w:p w:rsidR="00000000" w:rsidRDefault="00FF2C06">
      <w:pPr>
        <w:ind w:left="547" w:hanging="360"/>
        <w:divId w:val="1091050866"/>
        <w:rPr>
          <w:rFonts w:eastAsia="Times New Roman"/>
          <w:sz w:val="20"/>
          <w:szCs w:val="20"/>
        </w:rPr>
      </w:pPr>
      <w:r>
        <w:rPr>
          <w:rFonts w:eastAsia="Times New Roman"/>
          <w:sz w:val="20"/>
          <w:szCs w:val="20"/>
        </w:rPr>
        <w:t>●</w:t>
      </w:r>
      <w:r>
        <w:rPr>
          <w:rFonts w:eastAsia="Times New Roman"/>
          <w:sz w:val="20"/>
          <w:szCs w:val="20"/>
        </w:rPr>
        <w:t>amount of sales and other rev</w:t>
      </w:r>
      <w:r>
        <w:rPr>
          <w:rFonts w:eastAsia="Times New Roman"/>
          <w:sz w:val="20"/>
          <w:szCs w:val="20"/>
        </w:rPr>
        <w:t>enues from product candidates that we may commercialize, if any, including the selling prices for such potential products and the availability of adequate third-party coverage and reimbursement for patients;</w:t>
      </w:r>
    </w:p>
    <w:p w:rsidR="00000000" w:rsidRDefault="00FF2C06">
      <w:pPr>
        <w:ind w:left="547" w:hanging="360"/>
        <w:divId w:val="743525456"/>
        <w:rPr>
          <w:rFonts w:eastAsia="Times New Roman"/>
          <w:sz w:val="20"/>
          <w:szCs w:val="20"/>
        </w:rPr>
      </w:pPr>
      <w:r>
        <w:rPr>
          <w:rFonts w:eastAsia="Times New Roman"/>
          <w:sz w:val="20"/>
          <w:szCs w:val="20"/>
        </w:rPr>
        <w:t>●</w:t>
      </w:r>
      <w:r>
        <w:rPr>
          <w:rFonts w:eastAsia="Times New Roman"/>
          <w:sz w:val="20"/>
          <w:szCs w:val="20"/>
        </w:rPr>
        <w:t>sales and marketing costs associated with comme</w:t>
      </w:r>
      <w:r>
        <w:rPr>
          <w:rFonts w:eastAsia="Times New Roman"/>
          <w:sz w:val="20"/>
          <w:szCs w:val="20"/>
        </w:rPr>
        <w:t>rcializing our products, if approved, including the cost and timing of building our marketing and sales capabilities;</w:t>
      </w:r>
    </w:p>
    <w:p w:rsidR="00000000" w:rsidRDefault="00FF2C06">
      <w:pPr>
        <w:ind w:left="547" w:hanging="360"/>
        <w:divId w:val="800726417"/>
        <w:rPr>
          <w:rFonts w:eastAsia="Times New Roman"/>
          <w:sz w:val="20"/>
          <w:szCs w:val="20"/>
        </w:rPr>
      </w:pPr>
      <w:r>
        <w:rPr>
          <w:rFonts w:eastAsia="Times New Roman"/>
          <w:sz w:val="20"/>
          <w:szCs w:val="20"/>
        </w:rPr>
        <w:t>●</w:t>
      </w:r>
      <w:r>
        <w:rPr>
          <w:rFonts w:eastAsia="Times New Roman"/>
          <w:sz w:val="20"/>
          <w:szCs w:val="20"/>
        </w:rPr>
        <w:t>cost of building, staffing and validating our own manufacturing facility in the United States;</w:t>
      </w:r>
    </w:p>
    <w:p w:rsidR="00000000" w:rsidRDefault="00FF2C06">
      <w:pPr>
        <w:ind w:left="547" w:hanging="360"/>
        <w:divId w:val="1147278127"/>
        <w:rPr>
          <w:rFonts w:eastAsia="Times New Roman"/>
          <w:sz w:val="20"/>
          <w:szCs w:val="20"/>
        </w:rPr>
      </w:pPr>
      <w:r>
        <w:rPr>
          <w:rFonts w:eastAsia="Times New Roman"/>
          <w:sz w:val="20"/>
          <w:szCs w:val="20"/>
        </w:rPr>
        <w:t>●</w:t>
      </w:r>
      <w:r>
        <w:rPr>
          <w:rFonts w:eastAsia="Times New Roman"/>
          <w:sz w:val="20"/>
          <w:szCs w:val="20"/>
        </w:rPr>
        <w:t>terms and timing of our current and any potential future collaborations, licensing or other arrangements that we have established or may establish;</w:t>
      </w:r>
    </w:p>
    <w:p w:rsidR="00000000" w:rsidRDefault="00FF2C06">
      <w:pPr>
        <w:ind w:left="547" w:hanging="360"/>
        <w:divId w:val="12073708"/>
        <w:rPr>
          <w:rFonts w:eastAsia="Times New Roman"/>
          <w:sz w:val="20"/>
          <w:szCs w:val="20"/>
        </w:rPr>
      </w:pPr>
      <w:r>
        <w:rPr>
          <w:rFonts w:eastAsia="Times New Roman"/>
          <w:sz w:val="20"/>
          <w:szCs w:val="20"/>
        </w:rPr>
        <w:t>●</w:t>
      </w:r>
      <w:r>
        <w:rPr>
          <w:rFonts w:eastAsia="Times New Roman"/>
          <w:sz w:val="20"/>
          <w:szCs w:val="20"/>
        </w:rPr>
        <w:t>cash requirements of any future acquisitions or the development of other product candidates;</w:t>
      </w:r>
    </w:p>
    <w:p w:rsidR="00000000" w:rsidRDefault="00FF2C06">
      <w:pPr>
        <w:ind w:left="547" w:hanging="360"/>
        <w:divId w:val="446657102"/>
        <w:rPr>
          <w:rFonts w:eastAsia="Times New Roman"/>
          <w:sz w:val="20"/>
          <w:szCs w:val="20"/>
        </w:rPr>
      </w:pPr>
      <w:r>
        <w:rPr>
          <w:rFonts w:eastAsia="Times New Roman"/>
          <w:sz w:val="20"/>
          <w:szCs w:val="20"/>
        </w:rPr>
        <w:t>●</w:t>
      </w:r>
      <w:r>
        <w:rPr>
          <w:rFonts w:eastAsia="Times New Roman"/>
          <w:sz w:val="20"/>
          <w:szCs w:val="20"/>
        </w:rPr>
        <w:t>costs of oper</w:t>
      </w:r>
      <w:r>
        <w:rPr>
          <w:rFonts w:eastAsia="Times New Roman"/>
          <w:sz w:val="20"/>
          <w:szCs w:val="20"/>
        </w:rPr>
        <w:t>ating as a public company;</w:t>
      </w:r>
    </w:p>
    <w:p w:rsidR="00000000" w:rsidRDefault="00FF2C06">
      <w:pPr>
        <w:ind w:left="547" w:hanging="360"/>
        <w:divId w:val="934706631"/>
        <w:rPr>
          <w:rFonts w:eastAsia="Times New Roman"/>
          <w:sz w:val="20"/>
          <w:szCs w:val="20"/>
        </w:rPr>
      </w:pPr>
      <w:r>
        <w:rPr>
          <w:rFonts w:eastAsia="Times New Roman"/>
          <w:sz w:val="20"/>
          <w:szCs w:val="20"/>
        </w:rPr>
        <w:t>●</w:t>
      </w:r>
      <w:r>
        <w:rPr>
          <w:rFonts w:eastAsia="Times New Roman"/>
          <w:sz w:val="20"/>
          <w:szCs w:val="20"/>
        </w:rPr>
        <w:t>time and cost necessary to respond to technological, regulatory, political and market developments;</w:t>
      </w:r>
    </w:p>
    <w:p w:rsidR="00000000" w:rsidRDefault="00FF2C06">
      <w:pPr>
        <w:ind w:left="547" w:hanging="360"/>
        <w:divId w:val="1856454709"/>
        <w:rPr>
          <w:rFonts w:eastAsia="Times New Roman"/>
          <w:sz w:val="20"/>
          <w:szCs w:val="20"/>
        </w:rPr>
      </w:pPr>
      <w:r>
        <w:rPr>
          <w:rFonts w:eastAsia="Times New Roman"/>
          <w:sz w:val="20"/>
          <w:szCs w:val="20"/>
        </w:rPr>
        <w:t>●</w:t>
      </w:r>
      <w:r>
        <w:rPr>
          <w:rFonts w:eastAsia="Times New Roman"/>
          <w:sz w:val="20"/>
          <w:szCs w:val="20"/>
        </w:rPr>
        <w:t>costs of filing, prosecuting, defending and enforcing any patent claims and other intellectual property rights; and</w:t>
      </w:r>
    </w:p>
    <w:p w:rsidR="00000000" w:rsidRDefault="00FF2C06">
      <w:pPr>
        <w:ind w:left="547" w:hanging="360"/>
        <w:divId w:val="989287754"/>
        <w:rPr>
          <w:rFonts w:eastAsia="Times New Roman"/>
          <w:sz w:val="20"/>
          <w:szCs w:val="20"/>
        </w:rPr>
      </w:pPr>
      <w:r>
        <w:rPr>
          <w:rFonts w:eastAsia="Times New Roman"/>
          <w:sz w:val="20"/>
          <w:szCs w:val="20"/>
        </w:rPr>
        <w:t>●</w:t>
      </w:r>
      <w:r>
        <w:rPr>
          <w:rFonts w:eastAsia="Times New Roman"/>
          <w:sz w:val="20"/>
          <w:szCs w:val="20"/>
        </w:rPr>
        <w:t>costs asso</w:t>
      </w:r>
      <w:r>
        <w:rPr>
          <w:rFonts w:eastAsia="Times New Roman"/>
          <w:sz w:val="20"/>
          <w:szCs w:val="20"/>
        </w:rPr>
        <w:t>ciated with any potential business or product acquisitions, strategic collaborations, licensing agreements or other arrangements that we may establish.</w:t>
      </w:r>
    </w:p>
    <w:p w:rsidR="00000000" w:rsidRDefault="00FF2C06">
      <w:pPr>
        <w:pStyle w:val="a3"/>
        <w:spacing w:before="0" w:beforeAutospacing="0" w:after="200" w:afterAutospacing="0"/>
        <w:ind w:firstLine="540"/>
        <w:divId w:val="744647356"/>
        <w:rPr>
          <w:sz w:val="20"/>
          <w:szCs w:val="20"/>
        </w:rPr>
      </w:pPr>
      <w:r>
        <w:rPr>
          <w:sz w:val="20"/>
          <w:szCs w:val="20"/>
        </w:rPr>
        <w:t>Unless and until we can generate a sufficient amount of revenue, we may finance future cash needs throug</w:t>
      </w:r>
      <w:r>
        <w:rPr>
          <w:sz w:val="20"/>
          <w:szCs w:val="20"/>
        </w:rPr>
        <w:t>h public or private equity offerings, license agreements, debt financings, collaborations, strategic alliances and marketing or distribution arrangements. Additional funds may not be available when we need them on terms that are acceptable to us, or at all</w:t>
      </w:r>
      <w:r>
        <w:rPr>
          <w:sz w:val="20"/>
          <w:szCs w:val="20"/>
        </w:rPr>
        <w:t>. We have no committed source of additional capital and if we are unable to raise additional capital in sufficient amounts or on terms acceptable to us, we may be required to delay or reduce the scope of or eliminate one or more of our research or developm</w:t>
      </w:r>
      <w:r>
        <w:rPr>
          <w:sz w:val="20"/>
          <w:szCs w:val="20"/>
        </w:rPr>
        <w:t>ent programs or our commercialization efforts. Our current license and collaboration agreements may also be terminated if we are unable to meet the payment obligations under those agreements. As a result, we may seek to access the public or private capital</w:t>
      </w:r>
      <w:r>
        <w:rPr>
          <w:sz w:val="20"/>
          <w:szCs w:val="20"/>
        </w:rPr>
        <w:t xml:space="preserve"> markets whenever conditions are favorable, even if we do not have an immediate need for additional capital at that time.</w:t>
      </w:r>
    </w:p>
    <w:p w:rsidR="00000000" w:rsidRDefault="00FF2C06">
      <w:pPr>
        <w:pStyle w:val="a3"/>
        <w:spacing w:before="480" w:beforeAutospacing="0" w:after="0" w:afterAutospacing="0"/>
        <w:jc w:val="center"/>
        <w:divId w:val="1153332530"/>
        <w:rPr>
          <w:sz w:val="20"/>
          <w:szCs w:val="20"/>
        </w:rPr>
      </w:pPr>
      <w:r>
        <w:rPr>
          <w:sz w:val="20"/>
          <w:szCs w:val="20"/>
        </w:rPr>
        <w:t>50</w:t>
      </w:r>
    </w:p>
    <w:p w:rsidR="00000000" w:rsidRDefault="00FF2C06">
      <w:pPr>
        <w:pStyle w:val="a3"/>
        <w:spacing w:before="0" w:beforeAutospacing="0" w:after="600" w:afterAutospacing="0"/>
        <w:divId w:val="1738361743"/>
        <w:rPr>
          <w:sz w:val="20"/>
          <w:szCs w:val="20"/>
        </w:rPr>
      </w:pPr>
      <w:hyperlink w:anchor="TOC" w:history="1">
        <w:r>
          <w:rPr>
            <w:rStyle w:val="a4"/>
            <w:sz w:val="20"/>
            <w:szCs w:val="20"/>
          </w:rPr>
          <w:t>Table of Contents</w:t>
        </w:r>
      </w:hyperlink>
    </w:p>
    <w:p w:rsidR="00000000" w:rsidRDefault="00FF2C06">
      <w:pPr>
        <w:pStyle w:val="a3"/>
        <w:spacing w:before="0" w:beforeAutospacing="0" w:after="200" w:afterAutospacing="0"/>
        <w:ind w:firstLine="540"/>
        <w:divId w:val="1439452522"/>
        <w:rPr>
          <w:sz w:val="20"/>
          <w:szCs w:val="20"/>
        </w:rPr>
      </w:pPr>
      <w:r>
        <w:rPr>
          <w:sz w:val="20"/>
          <w:szCs w:val="20"/>
        </w:rPr>
        <w:t>To the extent that we raise additional capital through the sale of equity or convertibl</w:t>
      </w:r>
      <w:r>
        <w:rPr>
          <w:sz w:val="20"/>
          <w:szCs w:val="20"/>
        </w:rPr>
        <w:t>e debt securities, your ownership interest will be diluted, and the terms may include liquidation or other preferences that adversely affect your rights as a stockholder. The incurrence of indebtedness would result in increased fixed payment obligations an</w:t>
      </w:r>
      <w:r>
        <w:rPr>
          <w:sz w:val="20"/>
          <w:szCs w:val="20"/>
        </w:rPr>
        <w:t>d could involve certain restrictive covenants, such as limitations on our ability to incur additional debt, limitations on our ability to acquire or license intellectual property rights and other operating restrictions that could adversely impact our abili</w:t>
      </w:r>
      <w:r>
        <w:rPr>
          <w:sz w:val="20"/>
          <w:szCs w:val="20"/>
        </w:rPr>
        <w:t>ty to conduct our business. If we raise additional funds through strategic partnerships and alliances and licensing arrangements with third parties, we may have to relinquish valuable rights to our technologies or product candidates, or grant licenses on t</w:t>
      </w:r>
      <w:r>
        <w:rPr>
          <w:sz w:val="20"/>
          <w:szCs w:val="20"/>
        </w:rPr>
        <w:t>erms unfavorable to us.</w:t>
      </w:r>
    </w:p>
    <w:p w:rsidR="00000000" w:rsidRDefault="00FF2C06">
      <w:pPr>
        <w:pStyle w:val="a3"/>
        <w:spacing w:before="0" w:beforeAutospacing="0" w:after="200" w:afterAutospacing="0"/>
        <w:ind w:firstLine="540"/>
        <w:divId w:val="1439452522"/>
        <w:rPr>
          <w:sz w:val="20"/>
          <w:szCs w:val="20"/>
        </w:rPr>
      </w:pPr>
      <w:r>
        <w:rPr>
          <w:b/>
          <w:bCs/>
          <w:i/>
          <w:iCs/>
          <w:sz w:val="20"/>
          <w:szCs w:val="20"/>
        </w:rPr>
        <w:t>Subject to various spending levels approved by our Board of Directors, our management will have broad discretion in the use of the net proceeds from our capital raises, including our June 2020, October 2018 and January 2018 public o</w:t>
      </w:r>
      <w:r>
        <w:rPr>
          <w:b/>
          <w:bCs/>
          <w:i/>
          <w:iCs/>
          <w:sz w:val="20"/>
          <w:szCs w:val="20"/>
        </w:rPr>
        <w:t>fferings, and may not use them effectively.</w:t>
      </w:r>
    </w:p>
    <w:p w:rsidR="00000000" w:rsidRDefault="00FF2C06">
      <w:pPr>
        <w:pStyle w:val="a3"/>
        <w:spacing w:before="0" w:beforeAutospacing="0" w:after="200" w:afterAutospacing="0"/>
        <w:ind w:firstLine="540"/>
        <w:divId w:val="1439452522"/>
        <w:rPr>
          <w:sz w:val="20"/>
          <w:szCs w:val="20"/>
        </w:rPr>
      </w:pPr>
      <w:r>
        <w:rPr>
          <w:sz w:val="20"/>
          <w:szCs w:val="20"/>
        </w:rPr>
        <w:t>Our management will have discretion in the application of the net proceeds from our capital raises, and our stockholders will not have the opportunity as part of their investment decision to assess whether the ne</w:t>
      </w:r>
      <w:r>
        <w:rPr>
          <w:sz w:val="20"/>
          <w:szCs w:val="20"/>
        </w:rPr>
        <w:t xml:space="preserve">t proceeds from our capital raises are being used appropriately. You may not agree with our decisions, and our use of the proceeds from our capital raises may not yield any return to stockholders. Because of the number and variability of factors that will </w:t>
      </w:r>
      <w:r>
        <w:rPr>
          <w:sz w:val="20"/>
          <w:szCs w:val="20"/>
        </w:rPr>
        <w:t>determine our use of the net proceeds from our capital raises, their ultimate use may vary substantially from their currently intended use. Our failure to apply the net proceeds of our capital raises effectively could compromise our ability to pursue our g</w:t>
      </w:r>
      <w:r>
        <w:rPr>
          <w:sz w:val="20"/>
          <w:szCs w:val="20"/>
        </w:rPr>
        <w:t>rowth strategy and we might not be able to yield a significant return, if any, on our investment of those net proceeds. Stockholders will not have the opportunity to influence our decisions on how to use our net proceeds from our capital raises. Pending th</w:t>
      </w:r>
      <w:r>
        <w:rPr>
          <w:sz w:val="20"/>
          <w:szCs w:val="20"/>
        </w:rPr>
        <w:t>eir use, we may invest the net proceeds from our capital raises in interest and non-interest bearing cash accounts, short-term, investment-grade, interest-bearing instruments and U.S. government securities. These temporary investments are not likely to yie</w:t>
      </w:r>
      <w:r>
        <w:rPr>
          <w:sz w:val="20"/>
          <w:szCs w:val="20"/>
        </w:rPr>
        <w:t>ld a significant return.</w:t>
      </w:r>
    </w:p>
    <w:p w:rsidR="00000000" w:rsidRDefault="00FF2C06">
      <w:pPr>
        <w:pStyle w:val="a3"/>
        <w:spacing w:before="0" w:beforeAutospacing="0" w:after="200" w:afterAutospacing="0"/>
        <w:ind w:firstLine="540"/>
        <w:divId w:val="1439452522"/>
        <w:rPr>
          <w:sz w:val="20"/>
          <w:szCs w:val="20"/>
        </w:rPr>
      </w:pPr>
      <w:r>
        <w:rPr>
          <w:b/>
          <w:bCs/>
          <w:i/>
          <w:iCs/>
          <w:sz w:val="20"/>
          <w:szCs w:val="20"/>
        </w:rPr>
        <w:t>The use of our net operating loss carryforwards and research tax credits may be limited.</w:t>
      </w:r>
    </w:p>
    <w:p w:rsidR="00000000" w:rsidRDefault="00FF2C06">
      <w:pPr>
        <w:pStyle w:val="a3"/>
        <w:spacing w:before="0" w:beforeAutospacing="0" w:after="200" w:afterAutospacing="0"/>
        <w:ind w:firstLine="540"/>
        <w:divId w:val="1439452522"/>
        <w:rPr>
          <w:sz w:val="20"/>
          <w:szCs w:val="20"/>
        </w:rPr>
      </w:pPr>
      <w:r>
        <w:rPr>
          <w:sz w:val="20"/>
          <w:szCs w:val="20"/>
        </w:rPr>
        <w:t xml:space="preserve">Our net operating loss carryforwards and any future research and development tax credits may expire and not be used. As of December 31, 2019, </w:t>
      </w:r>
      <w:r>
        <w:rPr>
          <w:sz w:val="20"/>
          <w:szCs w:val="20"/>
        </w:rPr>
        <w:t>we had U.S. federal net operating loss carryforwards of approximately $426.7 million. Our net operating loss carryforwards arising in taxable years ending on or prior to December 31, 2017 will begin expiring in 2027 if we have not used them prior to that t</w:t>
      </w:r>
      <w:r>
        <w:rPr>
          <w:sz w:val="20"/>
          <w:szCs w:val="20"/>
        </w:rPr>
        <w:t xml:space="preserve">ime. Net operating loss carryforwards arising in taxable years ending after December 31, 2017 are no longer subject to expiration under the Internal Revenue Code of 1986, as amended, or the Code. Additionally, our ability to use any net operating loss and </w:t>
      </w:r>
      <w:r>
        <w:rPr>
          <w:sz w:val="20"/>
          <w:szCs w:val="20"/>
        </w:rPr>
        <w:t>credit carryforwards to offset taxable income or tax, respectively, in the future will be limited under Sections 382 and 383 of the Code, respectively, if we have a cumulative change in ownership of more than 50% within a three-year period.</w:t>
      </w:r>
    </w:p>
    <w:p w:rsidR="00000000" w:rsidRDefault="00FF2C06">
      <w:pPr>
        <w:pStyle w:val="a3"/>
        <w:spacing w:before="0" w:beforeAutospacing="0" w:after="200" w:afterAutospacing="0"/>
        <w:ind w:firstLine="540"/>
        <w:divId w:val="1439452522"/>
        <w:rPr>
          <w:sz w:val="20"/>
          <w:szCs w:val="20"/>
        </w:rPr>
      </w:pPr>
      <w:r>
        <w:rPr>
          <w:sz w:val="20"/>
          <w:szCs w:val="20"/>
        </w:rPr>
        <w:t>We have perform</w:t>
      </w:r>
      <w:r>
        <w:rPr>
          <w:sz w:val="20"/>
          <w:szCs w:val="20"/>
        </w:rPr>
        <w:t>ed an analysis under Section 382 of the Code as of December 31, 2018. Per the analysis, the May 2013 recapitalization, and private placements in 2014 and 2016 may have already triggered such an ownership change. As a result, the federal and state carryforw</w:t>
      </w:r>
      <w:r>
        <w:rPr>
          <w:sz w:val="20"/>
          <w:szCs w:val="20"/>
        </w:rPr>
        <w:t>ards associated with the net operating loss and credit deferred tax assets were reduced by the amount of tax attributes estimated to expire during their respective carryforward periods. In addition, since we will need to raise substantial additional fundin</w:t>
      </w:r>
      <w:r>
        <w:rPr>
          <w:sz w:val="20"/>
          <w:szCs w:val="20"/>
        </w:rPr>
        <w:t>g to finance our operations, we may undergo further ownership changes in the future. Any such annual limitation may significantly reduce the utilization of the net operating loss carryforwards and research tax credits before they expire. Depending on our f</w:t>
      </w:r>
      <w:r>
        <w:rPr>
          <w:sz w:val="20"/>
          <w:szCs w:val="20"/>
        </w:rPr>
        <w:t>uture tax position, limitation of our ability to use net operating loss carryforwards in states in which we are subject to income tax could have an adverse impact on our results of operations and financial condition.</w:t>
      </w:r>
    </w:p>
    <w:p w:rsidR="00000000" w:rsidRDefault="00FF2C06">
      <w:pPr>
        <w:pStyle w:val="a3"/>
        <w:spacing w:before="0" w:beforeAutospacing="0" w:after="200" w:afterAutospacing="0"/>
        <w:ind w:firstLine="540"/>
        <w:divId w:val="1439452522"/>
        <w:rPr>
          <w:sz w:val="20"/>
          <w:szCs w:val="20"/>
        </w:rPr>
      </w:pPr>
      <w:r>
        <w:rPr>
          <w:b/>
          <w:bCs/>
          <w:i/>
          <w:iCs/>
          <w:sz w:val="20"/>
          <w:szCs w:val="20"/>
        </w:rPr>
        <w:t>Recently enacted tax reform legislation</w:t>
      </w:r>
      <w:r>
        <w:rPr>
          <w:b/>
          <w:bCs/>
          <w:i/>
          <w:iCs/>
          <w:sz w:val="20"/>
          <w:szCs w:val="20"/>
        </w:rPr>
        <w:t xml:space="preserve"> in the U.S., changes to existing tax laws, or challenges to our tax positions could adversely affect our business and financial condition.</w:t>
      </w:r>
    </w:p>
    <w:p w:rsidR="00000000" w:rsidRDefault="00FF2C06">
      <w:pPr>
        <w:pStyle w:val="a3"/>
        <w:spacing w:before="0" w:beforeAutospacing="0" w:after="0" w:afterAutospacing="0"/>
        <w:ind w:firstLine="540"/>
        <w:divId w:val="1439452522"/>
        <w:rPr>
          <w:sz w:val="20"/>
          <w:szCs w:val="20"/>
        </w:rPr>
      </w:pPr>
      <w:r>
        <w:rPr>
          <w:sz w:val="20"/>
          <w:szCs w:val="20"/>
        </w:rPr>
        <w:t>On December 22, 2017, the Tax Cuts and Jobs Act of 2017, or the Tax Act, was signed into law, making significant cha</w:t>
      </w:r>
      <w:r>
        <w:rPr>
          <w:sz w:val="20"/>
          <w:szCs w:val="20"/>
        </w:rPr>
        <w:t>nges to the Internal Revenue Code. Changes under the Tax Act include, but are not limited to, a corporate tax rate decrease from 35% to 21% effective for tax years beginning after December 31, 2017, a one-time transition tax on the mandatory deemed repatri</w:t>
      </w:r>
      <w:r>
        <w:rPr>
          <w:sz w:val="20"/>
          <w:szCs w:val="20"/>
        </w:rPr>
        <w:t>ation of cumulative foreign earnings, limitation of the tax deduction for interest expense to 30% of adjusted earnings (except for certain small businesses), limitation of the deduction for net operating losses to 80% of current year taxable income and eli</w:t>
      </w:r>
      <w:r>
        <w:rPr>
          <w:sz w:val="20"/>
          <w:szCs w:val="20"/>
        </w:rPr>
        <w:t>mination of net operating loss carrybacks, one time taxation of offshore earnings at reduced rates regardless of whether they are repatriated, elimination of U.S. tax on foreign earnings (subject to certain important exceptions), immediate deductions for c</w:t>
      </w:r>
      <w:r>
        <w:rPr>
          <w:sz w:val="20"/>
          <w:szCs w:val="20"/>
        </w:rPr>
        <w:t>ertain new investments instead of deductions for depreciation expense over time, and modifying or repealing many business deductions and credits (including reducing the business tax credit for certain clinical testing expenses incurred in the testing of or</w:t>
      </w:r>
      <w:r>
        <w:rPr>
          <w:sz w:val="20"/>
          <w:szCs w:val="20"/>
        </w:rPr>
        <w:t xml:space="preserve">phan drugs). The overall impact of the new federal tax law is uncertain, and our business and financial condition could be adversely affected. For example, because of the tax rate decrease, our deferred tax assets and our corresponding valuation allowance </w:t>
      </w:r>
      <w:r>
        <w:rPr>
          <w:sz w:val="20"/>
          <w:szCs w:val="20"/>
        </w:rPr>
        <w:t xml:space="preserve">against these deferred tax assets have been reduced and </w:t>
      </w:r>
    </w:p>
    <w:p w:rsidR="00000000" w:rsidRDefault="00FF2C06">
      <w:pPr>
        <w:pStyle w:val="a3"/>
        <w:spacing w:before="480" w:beforeAutospacing="0" w:after="0" w:afterAutospacing="0"/>
        <w:jc w:val="center"/>
        <w:divId w:val="1780876225"/>
        <w:rPr>
          <w:sz w:val="20"/>
          <w:szCs w:val="20"/>
        </w:rPr>
      </w:pPr>
      <w:r>
        <w:rPr>
          <w:sz w:val="20"/>
          <w:szCs w:val="20"/>
        </w:rPr>
        <w:t>51</w:t>
      </w:r>
    </w:p>
    <w:p w:rsidR="00000000" w:rsidRDefault="00FF2C06">
      <w:pPr>
        <w:pStyle w:val="a3"/>
        <w:spacing w:before="0" w:beforeAutospacing="0" w:after="600" w:afterAutospacing="0"/>
        <w:divId w:val="1791826685"/>
        <w:rPr>
          <w:sz w:val="20"/>
          <w:szCs w:val="20"/>
        </w:rPr>
      </w:pPr>
      <w:hyperlink w:anchor="TOC" w:history="1">
        <w:r>
          <w:rPr>
            <w:rStyle w:val="a4"/>
            <w:sz w:val="20"/>
            <w:szCs w:val="20"/>
          </w:rPr>
          <w:t>Table of Contents</w:t>
        </w:r>
      </w:hyperlink>
    </w:p>
    <w:p w:rsidR="00000000" w:rsidRDefault="00FF2C06">
      <w:pPr>
        <w:pStyle w:val="a3"/>
        <w:spacing w:before="0" w:beforeAutospacing="0" w:after="200" w:afterAutospacing="0"/>
        <w:divId w:val="1589382432"/>
        <w:rPr>
          <w:sz w:val="20"/>
          <w:szCs w:val="20"/>
        </w:rPr>
      </w:pPr>
      <w:r>
        <w:rPr>
          <w:sz w:val="20"/>
          <w:szCs w:val="20"/>
        </w:rPr>
        <w:t>may continue to be adversely impacted. In addition, it is uncertain if and to what extent various states will conform to Tax Act and what effect that le</w:t>
      </w:r>
      <w:r>
        <w:rPr>
          <w:sz w:val="20"/>
          <w:szCs w:val="20"/>
        </w:rPr>
        <w:t>gal challenges will have on the Tax Act, including litigation in the U.S. and international challenges brought at organizations such as the World Trade Organization. The impact of the Tax Act on holders of our common stock is also uncertain and could be ad</w:t>
      </w:r>
      <w:r>
        <w:rPr>
          <w:sz w:val="20"/>
          <w:szCs w:val="20"/>
        </w:rPr>
        <w:t>verse. Investors should consult with their legal and tax advisors with respect to this legislation and the potential tax consequences of investing in or holding our common stock.</w:t>
      </w:r>
    </w:p>
    <w:p w:rsidR="00000000" w:rsidRDefault="00FF2C06">
      <w:pPr>
        <w:pStyle w:val="a3"/>
        <w:spacing w:before="0" w:beforeAutospacing="0" w:after="200" w:afterAutospacing="0"/>
        <w:ind w:firstLine="540"/>
        <w:divId w:val="1589382432"/>
        <w:rPr>
          <w:sz w:val="20"/>
          <w:szCs w:val="20"/>
        </w:rPr>
      </w:pPr>
      <w:r>
        <w:rPr>
          <w:sz w:val="20"/>
          <w:szCs w:val="20"/>
        </w:rPr>
        <w:t>In addition, U.S. federal, state and local tax laws are extremely complex and</w:t>
      </w:r>
      <w:r>
        <w:rPr>
          <w:sz w:val="20"/>
          <w:szCs w:val="20"/>
        </w:rPr>
        <w:t xml:space="preserve"> subject to various interpretations. Although we believe that our tax estimates and positions are reasonable, including our decision to build our commercial manufacturing facility at the Navy Yard in Philadelphia in order to take advantage of the site's de</w:t>
      </w:r>
      <w:r>
        <w:rPr>
          <w:sz w:val="20"/>
          <w:szCs w:val="20"/>
        </w:rPr>
        <w:t>signation as a Keystone Opportunity Zone, Keystone Opportunity Expansion Zone, or Keystone Opportunity Improvement Zone, or collectively KOZ, which allows incentives for business development, as well as certain other financial incentives provided by the Co</w:t>
      </w:r>
      <w:r>
        <w:rPr>
          <w:sz w:val="20"/>
          <w:szCs w:val="20"/>
        </w:rPr>
        <w:t>mmonwealth of Pennsylvania, the City of Philadelphia and the Philadelphia Industrial Development Corporation, there can be no assurance that our tax positions will not be challenged by relevant tax authorities or that we would be successful in any such cha</w:t>
      </w:r>
      <w:r>
        <w:rPr>
          <w:sz w:val="20"/>
          <w:szCs w:val="20"/>
        </w:rPr>
        <w:t>llenge. Further, challenges to the site's designation as a KOZ or broader challenges to Pennsylvania's KOZ program could result in the revocation of the site's designation as a KOZ and the attendant tax advantages associated with such designation. If we ar</w:t>
      </w:r>
      <w:r>
        <w:rPr>
          <w:sz w:val="20"/>
          <w:szCs w:val="20"/>
        </w:rPr>
        <w:t>e unsuccessful in such a challenge, or if the site's status as a KOZ is revoked, the relevant tax authorities may assess additional taxes, which could result in adjustments to, or impact the timing or amount of, taxable income, deductions or other tax allo</w:t>
      </w:r>
      <w:r>
        <w:rPr>
          <w:sz w:val="20"/>
          <w:szCs w:val="20"/>
        </w:rPr>
        <w:t>cations, which may adversely affect our results of operations and financial position.</w:t>
      </w:r>
    </w:p>
    <w:p w:rsidR="00000000" w:rsidRDefault="00FF2C06">
      <w:pPr>
        <w:pStyle w:val="a3"/>
        <w:spacing w:before="0" w:beforeAutospacing="0" w:after="200" w:afterAutospacing="0"/>
        <w:ind w:firstLine="540"/>
        <w:divId w:val="1589382432"/>
        <w:rPr>
          <w:sz w:val="20"/>
          <w:szCs w:val="20"/>
        </w:rPr>
      </w:pPr>
      <w:r>
        <w:rPr>
          <w:b/>
          <w:bCs/>
          <w:i/>
          <w:iCs/>
          <w:sz w:val="20"/>
          <w:szCs w:val="20"/>
        </w:rPr>
        <w:t xml:space="preserve">We are subject to extensive regulation, which can be costly, time consuming and can subject us to unanticipated delays; even if we obtain regulatory approval for some of </w:t>
      </w:r>
      <w:r>
        <w:rPr>
          <w:b/>
          <w:bCs/>
          <w:i/>
          <w:iCs/>
          <w:sz w:val="20"/>
          <w:szCs w:val="20"/>
        </w:rPr>
        <w:t>our products, those products may still face regulatory difficulties.</w:t>
      </w:r>
    </w:p>
    <w:p w:rsidR="00000000" w:rsidRDefault="00FF2C06">
      <w:pPr>
        <w:pStyle w:val="a3"/>
        <w:spacing w:before="0" w:beforeAutospacing="0" w:after="200" w:afterAutospacing="0"/>
        <w:ind w:firstLine="540"/>
        <w:divId w:val="1589382432"/>
        <w:rPr>
          <w:sz w:val="20"/>
          <w:szCs w:val="20"/>
        </w:rPr>
      </w:pPr>
      <w:r>
        <w:rPr>
          <w:sz w:val="20"/>
          <w:szCs w:val="20"/>
        </w:rPr>
        <w:t>Our potential products, cell processing and manufacturing activities, are subject to comprehensive regulation by the FDA in the United States and by comparable authorities in other countries. The process of obtaining FDA and other required regulatory appro</w:t>
      </w:r>
      <w:r>
        <w:rPr>
          <w:sz w:val="20"/>
          <w:szCs w:val="20"/>
        </w:rPr>
        <w:t>vals, including foreign approvals, is expensive and often takes many years and can vary substantially based upon the type, complexity and novelty of the products involved. In addition, regulatory agencies may lack experience with our technologies and produ</w:t>
      </w:r>
      <w:r>
        <w:rPr>
          <w:sz w:val="20"/>
          <w:szCs w:val="20"/>
        </w:rPr>
        <w:t>cts, which may lengthen the regulatory review process, increase our development costs and delay or prevent their commercialization.</w:t>
      </w:r>
    </w:p>
    <w:p w:rsidR="00000000" w:rsidRDefault="00FF2C06">
      <w:pPr>
        <w:pStyle w:val="a3"/>
        <w:spacing w:before="0" w:beforeAutospacing="0" w:after="200" w:afterAutospacing="0"/>
        <w:ind w:firstLine="540"/>
        <w:divId w:val="1589382432"/>
        <w:rPr>
          <w:sz w:val="20"/>
          <w:szCs w:val="20"/>
        </w:rPr>
      </w:pPr>
      <w:r>
        <w:rPr>
          <w:sz w:val="20"/>
          <w:szCs w:val="20"/>
        </w:rPr>
        <w:t>No adoptive cell therapy using TIL has been approved for marketing in the FDA. Consequently, there is no precedent for the s</w:t>
      </w:r>
      <w:r>
        <w:rPr>
          <w:sz w:val="20"/>
          <w:szCs w:val="20"/>
        </w:rPr>
        <w:t xml:space="preserve">uccessful commercialization of products based on our technologies. In addition, we have had only limited experience in filing and pursuing applications necessary to gain regulatory approvals, which may impede our ability to obtain timely FDA approvals, if </w:t>
      </w:r>
      <w:r>
        <w:rPr>
          <w:sz w:val="20"/>
          <w:szCs w:val="20"/>
        </w:rPr>
        <w:t>at all. We have not yet sought FDA approval for any adoptive cell therapy product. We will not be able to commercialize any of our potential products until we obtain FDA approval, and so any delay in obtaining, or inability to obtain, FDA approval would ha</w:t>
      </w:r>
      <w:r>
        <w:rPr>
          <w:sz w:val="20"/>
          <w:szCs w:val="20"/>
        </w:rPr>
        <w:t>rm our business.</w:t>
      </w:r>
    </w:p>
    <w:p w:rsidR="00000000" w:rsidRDefault="00FF2C06">
      <w:pPr>
        <w:pStyle w:val="a3"/>
        <w:spacing w:before="0" w:beforeAutospacing="0" w:after="200" w:afterAutospacing="0"/>
        <w:ind w:firstLine="540"/>
        <w:divId w:val="1589382432"/>
        <w:rPr>
          <w:sz w:val="20"/>
          <w:szCs w:val="20"/>
        </w:rPr>
      </w:pPr>
      <w:r>
        <w:rPr>
          <w:sz w:val="20"/>
          <w:szCs w:val="20"/>
        </w:rPr>
        <w:t>If we violate regulatory requirements at any stage, whether before or after marketing approval is obtained, we may face a number of regulatory consequences, including refusal to approve pending applications, license suspension or revocatio</w:t>
      </w:r>
      <w:r>
        <w:rPr>
          <w:sz w:val="20"/>
          <w:szCs w:val="20"/>
        </w:rPr>
        <w:t>n, withdrawal of an approval, imposition of a clinical hold or termination of clinical trials, warning letters, untitled letters, modification of promotional materials or labeling, provision of corrective information, imposition of post-market requirements</w:t>
      </w:r>
      <w:r>
        <w:rPr>
          <w:sz w:val="20"/>
          <w:szCs w:val="20"/>
        </w:rPr>
        <w:t xml:space="preserve"> including the need for additional testing, imposition of distribution or other restrictions under a REMS, product recalls, product seizures or detentions, refusal to allow imports or exports, total or partial suspension of production or distribution, FDA </w:t>
      </w:r>
      <w:r>
        <w:rPr>
          <w:sz w:val="20"/>
          <w:szCs w:val="20"/>
        </w:rPr>
        <w:t>debarment, injunctions, fines, consent decrees, corporate integrity agreements, debarment from receiving government contracts, and new orders under existing contracts, exclusion from participation in federal and state healthcare programs, restitution, disg</w:t>
      </w:r>
      <w:r>
        <w:rPr>
          <w:sz w:val="20"/>
          <w:szCs w:val="20"/>
        </w:rPr>
        <w:t>orgement, or civil or criminal penalties, including fines and imprisonment, and adverse publicity, among other adverse consequences. Additionally, we may not be able to obtain the labeling claims necessary or desirable for the promotion of our products. We</w:t>
      </w:r>
      <w:r>
        <w:rPr>
          <w:sz w:val="20"/>
          <w:szCs w:val="20"/>
        </w:rPr>
        <w:t xml:space="preserve"> may also be required to undertake post-marketing trials. In addition, if we or others identify side effects after any of our adoptive cell therapies are on the market, or if manufacturing problems occur, regulatory approval may be withdrawn, and reformula</w:t>
      </w:r>
      <w:r>
        <w:rPr>
          <w:sz w:val="20"/>
          <w:szCs w:val="20"/>
        </w:rPr>
        <w:t>tion of our products may be required.</w:t>
      </w:r>
    </w:p>
    <w:p w:rsidR="00000000" w:rsidRDefault="00FF2C06">
      <w:pPr>
        <w:pStyle w:val="a3"/>
        <w:spacing w:before="0" w:beforeAutospacing="0" w:after="200" w:afterAutospacing="0"/>
        <w:ind w:firstLine="540"/>
        <w:divId w:val="1589382432"/>
        <w:rPr>
          <w:sz w:val="20"/>
          <w:szCs w:val="20"/>
        </w:rPr>
      </w:pPr>
      <w:r>
        <w:rPr>
          <w:b/>
          <w:bCs/>
          <w:i/>
          <w:iCs/>
          <w:sz w:val="20"/>
          <w:szCs w:val="20"/>
        </w:rPr>
        <w:t>We may not be able to license new technology from third parties.</w:t>
      </w:r>
    </w:p>
    <w:p w:rsidR="00000000" w:rsidRDefault="00FF2C06">
      <w:pPr>
        <w:pStyle w:val="a3"/>
        <w:spacing w:before="0" w:beforeAutospacing="0" w:after="200" w:afterAutospacing="0"/>
        <w:ind w:firstLine="540"/>
        <w:divId w:val="1589382432"/>
        <w:rPr>
          <w:sz w:val="20"/>
          <w:szCs w:val="20"/>
        </w:rPr>
      </w:pPr>
      <w:r>
        <w:rPr>
          <w:sz w:val="20"/>
          <w:szCs w:val="20"/>
        </w:rPr>
        <w:t xml:space="preserve">An element of our intellectual property portfolio is to license additional rights and technologies from third parties, including the NIH and others. Our </w:t>
      </w:r>
      <w:r>
        <w:rPr>
          <w:sz w:val="20"/>
          <w:szCs w:val="20"/>
        </w:rPr>
        <w:t>inability to license the rights and technologies that we have identified, or that we may in the future identify, could have a material adverse impact on our ability to complete the development of our products or to develop additional products. No assurance</w:t>
      </w:r>
      <w:r>
        <w:rPr>
          <w:sz w:val="20"/>
          <w:szCs w:val="20"/>
        </w:rPr>
        <w:t xml:space="preserve"> can be given that we will be successful in licensing any additional rights or technologies from third parties, including the NIH and others. Failure to obtain additional rights and licenses may detrimentally affect our planned development of additional pr</w:t>
      </w:r>
      <w:r>
        <w:rPr>
          <w:sz w:val="20"/>
          <w:szCs w:val="20"/>
        </w:rPr>
        <w:t>oduct candidates and could increase the cost, and extend the timelines associated with our development of such other products.</w:t>
      </w:r>
    </w:p>
    <w:p w:rsidR="00000000" w:rsidRDefault="00FF2C06">
      <w:pPr>
        <w:pStyle w:val="a3"/>
        <w:spacing w:before="480" w:beforeAutospacing="0" w:after="0" w:afterAutospacing="0"/>
        <w:jc w:val="center"/>
        <w:divId w:val="406654528"/>
        <w:rPr>
          <w:sz w:val="20"/>
          <w:szCs w:val="20"/>
        </w:rPr>
      </w:pPr>
      <w:r>
        <w:rPr>
          <w:sz w:val="20"/>
          <w:szCs w:val="20"/>
        </w:rPr>
        <w:t>52</w:t>
      </w:r>
    </w:p>
    <w:p w:rsidR="00000000" w:rsidRDefault="00FF2C06">
      <w:pPr>
        <w:pStyle w:val="a3"/>
        <w:spacing w:before="0" w:beforeAutospacing="0" w:after="600" w:afterAutospacing="0"/>
        <w:divId w:val="2135127769"/>
        <w:rPr>
          <w:sz w:val="20"/>
          <w:szCs w:val="20"/>
        </w:rPr>
      </w:pPr>
      <w:hyperlink w:anchor="TOC" w:history="1">
        <w:r>
          <w:rPr>
            <w:rStyle w:val="a4"/>
            <w:sz w:val="20"/>
            <w:szCs w:val="20"/>
          </w:rPr>
          <w:t>Table of Contents</w:t>
        </w:r>
      </w:hyperlink>
    </w:p>
    <w:p w:rsidR="00000000" w:rsidRDefault="00FF2C06">
      <w:pPr>
        <w:pStyle w:val="a3"/>
        <w:spacing w:before="0" w:beforeAutospacing="0" w:after="200" w:afterAutospacing="0"/>
        <w:ind w:firstLine="540"/>
        <w:divId w:val="371275408"/>
        <w:rPr>
          <w:sz w:val="20"/>
          <w:szCs w:val="20"/>
        </w:rPr>
      </w:pPr>
      <w:r>
        <w:rPr>
          <w:b/>
          <w:bCs/>
          <w:i/>
          <w:iCs/>
          <w:sz w:val="20"/>
          <w:szCs w:val="20"/>
        </w:rPr>
        <w:t xml:space="preserve">Our projections regarding the market opportunities for our product candidates may </w:t>
      </w:r>
      <w:r>
        <w:rPr>
          <w:b/>
          <w:bCs/>
          <w:i/>
          <w:iCs/>
          <w:sz w:val="20"/>
          <w:szCs w:val="20"/>
        </w:rPr>
        <w:t>not be accurate, and the actual market for our products may be smaller than we estimate.</w:t>
      </w:r>
    </w:p>
    <w:p w:rsidR="00000000" w:rsidRDefault="00FF2C06">
      <w:pPr>
        <w:pStyle w:val="a3"/>
        <w:spacing w:before="0" w:beforeAutospacing="0" w:after="200" w:afterAutospacing="0"/>
        <w:ind w:firstLine="540"/>
        <w:divId w:val="371275408"/>
        <w:rPr>
          <w:sz w:val="20"/>
          <w:szCs w:val="20"/>
        </w:rPr>
      </w:pPr>
      <w:r>
        <w:rPr>
          <w:sz w:val="20"/>
          <w:szCs w:val="20"/>
        </w:rPr>
        <w:t>Our projections of both the number of people who have the cancers we are targeting, as well as the subset of people with these cancers who are in a position to receive</w:t>
      </w:r>
      <w:r>
        <w:rPr>
          <w:sz w:val="20"/>
          <w:szCs w:val="20"/>
        </w:rPr>
        <w:t xml:space="preserve"> second- or third- line therapy, and who have the potential to benefit from treatment with our product candidates, are based on our beliefs and estimates. These estimates have been derived from a variety of sources, including scientific literature, surveys</w:t>
      </w:r>
      <w:r>
        <w:rPr>
          <w:sz w:val="20"/>
          <w:szCs w:val="20"/>
        </w:rPr>
        <w:t xml:space="preserve"> of clinics, patient foundations, or market research by third parties, and may prove to be incorrect. Further, new studies or approvals of new therapeutics may change the estimated incidence or prevalence of these cancers. The number of patients may turn o</w:t>
      </w:r>
      <w:r>
        <w:rPr>
          <w:sz w:val="20"/>
          <w:szCs w:val="20"/>
        </w:rPr>
        <w:t>ut to be lower than expected. Additionally, the potentially addressable patient population for our product candidates may be limited or may not be amenable to treatment with our product candidates and may also be limited by the cost of our treatments and t</w:t>
      </w:r>
      <w:r>
        <w:rPr>
          <w:sz w:val="20"/>
          <w:szCs w:val="20"/>
        </w:rPr>
        <w:t>he reimbursement of those treatment costs by third-party payors. For instance, we expect lifileucel to initially target a small patient population that suffers from metastatic melanoma. Even if we obtain significant market share for our product candidates,</w:t>
      </w:r>
      <w:r>
        <w:rPr>
          <w:sz w:val="20"/>
          <w:szCs w:val="20"/>
        </w:rPr>
        <w:t xml:space="preserve"> because the potential target populations are small, we may never achieve profitability without obtaining regulatory approval for additional indications.</w:t>
      </w:r>
    </w:p>
    <w:p w:rsidR="00000000" w:rsidRDefault="00FF2C06">
      <w:pPr>
        <w:pStyle w:val="a3"/>
        <w:spacing w:before="0" w:beforeAutospacing="0" w:after="200" w:afterAutospacing="0"/>
        <w:ind w:firstLine="540"/>
        <w:divId w:val="371275408"/>
        <w:rPr>
          <w:sz w:val="20"/>
          <w:szCs w:val="20"/>
        </w:rPr>
      </w:pPr>
      <w:r>
        <w:rPr>
          <w:b/>
          <w:bCs/>
          <w:i/>
          <w:iCs/>
          <w:sz w:val="20"/>
          <w:szCs w:val="20"/>
        </w:rPr>
        <w:t>We are required to pay substantial royalties and lump sum benchmark payments under our license agreeme</w:t>
      </w:r>
      <w:r>
        <w:rPr>
          <w:b/>
          <w:bCs/>
          <w:i/>
          <w:iCs/>
          <w:sz w:val="20"/>
          <w:szCs w:val="20"/>
        </w:rPr>
        <w:t>nts with the NIH, Moffitt, Novartis, and Cellectis, and we must meet certain milestones to maintain our license rights.</w:t>
      </w:r>
    </w:p>
    <w:p w:rsidR="00000000" w:rsidRDefault="00FF2C06">
      <w:pPr>
        <w:pStyle w:val="a3"/>
        <w:spacing w:before="0" w:beforeAutospacing="0" w:after="200" w:afterAutospacing="0"/>
        <w:ind w:firstLine="540"/>
        <w:divId w:val="371275408"/>
        <w:rPr>
          <w:sz w:val="20"/>
          <w:szCs w:val="20"/>
        </w:rPr>
      </w:pPr>
      <w:r>
        <w:rPr>
          <w:sz w:val="20"/>
          <w:szCs w:val="20"/>
        </w:rPr>
        <w:t xml:space="preserve">Under our license agreements with the NIH, Novartis, and Cellectis for our adoptive cell therapy and immunotherapy technologies, we are </w:t>
      </w:r>
      <w:r>
        <w:rPr>
          <w:sz w:val="20"/>
          <w:szCs w:val="20"/>
        </w:rPr>
        <w:t xml:space="preserve">currently required to pay both substantial benchmark payments and royalties to that institution based on our revenues from sales of our products utilizing the licensed technologies. These payments could adversely affect the overall profitability for us of </w:t>
      </w:r>
      <w:r>
        <w:rPr>
          <w:sz w:val="20"/>
          <w:szCs w:val="20"/>
        </w:rPr>
        <w:t>any products that we may seek to commercialize under these license agreements. In order to maintain our license rights under the NIH, Moffitt, Novartis, and Cellectis license agreements, we will need to meet certain specified milestones, subject to certain</w:t>
      </w:r>
      <w:r>
        <w:rPr>
          <w:sz w:val="20"/>
          <w:szCs w:val="20"/>
        </w:rPr>
        <w:t xml:space="preserve"> cure provisions, in the development of our product candidates. There is no assurance that we will be successful in meeting these milestones on a timely basis, or at all.</w:t>
      </w:r>
    </w:p>
    <w:p w:rsidR="00000000" w:rsidRDefault="00FF2C06">
      <w:pPr>
        <w:pStyle w:val="a3"/>
        <w:spacing w:before="0" w:beforeAutospacing="0" w:after="200" w:afterAutospacing="0"/>
        <w:ind w:firstLine="540"/>
        <w:divId w:val="371275408"/>
        <w:rPr>
          <w:sz w:val="20"/>
          <w:szCs w:val="20"/>
        </w:rPr>
      </w:pPr>
      <w:r>
        <w:rPr>
          <w:b/>
          <w:bCs/>
          <w:i/>
          <w:iCs/>
          <w:sz w:val="20"/>
          <w:szCs w:val="20"/>
        </w:rPr>
        <w:t>Because our current products represent, and our other potential product candidates wi</w:t>
      </w:r>
      <w:r>
        <w:rPr>
          <w:b/>
          <w:bCs/>
          <w:i/>
          <w:iCs/>
          <w:sz w:val="20"/>
          <w:szCs w:val="20"/>
        </w:rPr>
        <w:t>ll represent novel approaches to the treatment of disease, there are many uncertainties regarding the development, the market acceptance, third-party reimbursement coverage and the commercial potential of our product candidates.</w:t>
      </w:r>
    </w:p>
    <w:p w:rsidR="00000000" w:rsidRDefault="00FF2C06">
      <w:pPr>
        <w:pStyle w:val="a3"/>
        <w:spacing w:before="0" w:beforeAutospacing="0" w:after="200" w:afterAutospacing="0"/>
        <w:ind w:firstLine="540"/>
        <w:divId w:val="371275408"/>
        <w:rPr>
          <w:sz w:val="20"/>
          <w:szCs w:val="20"/>
        </w:rPr>
      </w:pPr>
      <w:r>
        <w:rPr>
          <w:sz w:val="20"/>
          <w:szCs w:val="20"/>
        </w:rPr>
        <w:t>Human immunotherapy product</w:t>
      </w:r>
      <w:r>
        <w:rPr>
          <w:sz w:val="20"/>
          <w:szCs w:val="20"/>
        </w:rPr>
        <w:t>s are a new category of therapeutics. Because this is a relatively new and expanding area of novel therapeutic interventions, there are many uncertainties related to development, marketing, reimbursement, and the commercial potential for our product candid</w:t>
      </w:r>
      <w:r>
        <w:rPr>
          <w:sz w:val="20"/>
          <w:szCs w:val="20"/>
        </w:rPr>
        <w:t>ates. There can be no assurance as to the length of the trial period, the number of patients the FDA will require to be enrolled in the trials in order to establish the safety, efficacy, purity and potency of immunotherapy products, or that the data genera</w:t>
      </w:r>
      <w:r>
        <w:rPr>
          <w:sz w:val="20"/>
          <w:szCs w:val="20"/>
        </w:rPr>
        <w:t xml:space="preserve">ted in these trials will be acceptable to the FDA to support marketing approval. The FDA may take longer than usual to come to a decision on any BLA that we submit and may ultimately determine that there is not enough data, information, or experience with </w:t>
      </w:r>
      <w:r>
        <w:rPr>
          <w:sz w:val="20"/>
          <w:szCs w:val="20"/>
        </w:rPr>
        <w:t>our product candidates to support an approval decision. The FDA may also require that we conduct additional post-marketing studies or implement risk management programs, such as REMS until more experience with our product candidates is obtained. Finally, a</w:t>
      </w:r>
      <w:r>
        <w:rPr>
          <w:sz w:val="20"/>
          <w:szCs w:val="20"/>
        </w:rPr>
        <w:t>fter increased usage, we may find that our product candidates do not have the intended effect or have unanticipated side effects, potentially jeopardizing initial or continuing regulatory approval and commercial prospects.</w:t>
      </w:r>
    </w:p>
    <w:p w:rsidR="00000000" w:rsidRDefault="00FF2C06">
      <w:pPr>
        <w:pStyle w:val="a3"/>
        <w:spacing w:before="0" w:beforeAutospacing="0" w:after="200" w:afterAutospacing="0"/>
        <w:ind w:firstLine="540"/>
        <w:divId w:val="371275408"/>
        <w:rPr>
          <w:sz w:val="20"/>
          <w:szCs w:val="20"/>
        </w:rPr>
      </w:pPr>
      <w:r>
        <w:rPr>
          <w:sz w:val="20"/>
          <w:szCs w:val="20"/>
        </w:rPr>
        <w:t>We may also find that the manufac</w:t>
      </w:r>
      <w:r>
        <w:rPr>
          <w:sz w:val="20"/>
          <w:szCs w:val="20"/>
        </w:rPr>
        <w:t>ture of our product candidates is more difficult than anticipated, resulting in an inability to produce a sufficient amount of our product candidates for our clinical trials or, if approved, commercial supply. Moreover, because of the complexity and novelt</w:t>
      </w:r>
      <w:r>
        <w:rPr>
          <w:sz w:val="20"/>
          <w:szCs w:val="20"/>
        </w:rPr>
        <w:t>y of our manufacturing process, there are only a limited number of manufacturers who have the capability of producing our product candidates. Should any of our contract manufacturers no longer produce our product candidates, it may take us significant time</w:t>
      </w:r>
      <w:r>
        <w:rPr>
          <w:sz w:val="20"/>
          <w:szCs w:val="20"/>
        </w:rPr>
        <w:t xml:space="preserve"> to find a replacement, if we are able to find a replacement at all.</w:t>
      </w:r>
    </w:p>
    <w:p w:rsidR="00000000" w:rsidRDefault="00FF2C06">
      <w:pPr>
        <w:pStyle w:val="a3"/>
        <w:spacing w:before="0" w:beforeAutospacing="0" w:after="0" w:afterAutospacing="0"/>
        <w:ind w:firstLine="540"/>
        <w:divId w:val="371275408"/>
        <w:rPr>
          <w:sz w:val="20"/>
          <w:szCs w:val="20"/>
        </w:rPr>
      </w:pPr>
      <w:r>
        <w:rPr>
          <w:sz w:val="20"/>
          <w:szCs w:val="20"/>
        </w:rPr>
        <w:t>There is no assurance that the approaches offered by our products will gain broad acceptance among doctors or patients or that governmental agencies or third-party medical insurers will b</w:t>
      </w:r>
      <w:r>
        <w:rPr>
          <w:sz w:val="20"/>
          <w:szCs w:val="20"/>
        </w:rPr>
        <w:t>e willing to provide reimbursement coverage for proposed product candidates. Moreover, we do not have verifiable internal marketing data regarding the potential size of the commercial market for our product candidates, nor have we obtained current independ</w:t>
      </w:r>
      <w:r>
        <w:rPr>
          <w:sz w:val="20"/>
          <w:szCs w:val="20"/>
        </w:rPr>
        <w:t>ent marketing surveys to verify the potential size of the commercial markets for our current product candidates or any future product candidates. Since our current product candidates and any future product candidates will represent novel approaches to trea</w:t>
      </w:r>
      <w:r>
        <w:rPr>
          <w:sz w:val="20"/>
          <w:szCs w:val="20"/>
        </w:rPr>
        <w:t>ting various conditions, it may be difficult, in any event, to accurately estimate the potential revenues from these product candidates. Accordingly, we may spend significant capital trying to obtain approval for product candidates that have an uncertain c</w:t>
      </w:r>
      <w:r>
        <w:rPr>
          <w:sz w:val="20"/>
          <w:szCs w:val="20"/>
        </w:rPr>
        <w:t xml:space="preserve">ommercial market. The market for any products that we successfully develop will also depend on the cost of the product. We do not yet have sufficient information to reliably estimate what it will cost to commercially </w:t>
      </w:r>
    </w:p>
    <w:p w:rsidR="00000000" w:rsidRDefault="00FF2C06">
      <w:pPr>
        <w:pStyle w:val="a3"/>
        <w:spacing w:before="480" w:beforeAutospacing="0" w:after="0" w:afterAutospacing="0"/>
        <w:jc w:val="center"/>
        <w:divId w:val="1556624542"/>
        <w:rPr>
          <w:sz w:val="20"/>
          <w:szCs w:val="20"/>
        </w:rPr>
      </w:pPr>
      <w:r>
        <w:rPr>
          <w:sz w:val="20"/>
          <w:szCs w:val="20"/>
        </w:rPr>
        <w:t>53</w:t>
      </w:r>
    </w:p>
    <w:p w:rsidR="00000000" w:rsidRDefault="00FF2C06">
      <w:pPr>
        <w:pStyle w:val="a3"/>
        <w:spacing w:before="0" w:beforeAutospacing="0" w:after="600" w:afterAutospacing="0"/>
        <w:divId w:val="538475085"/>
        <w:rPr>
          <w:sz w:val="20"/>
          <w:szCs w:val="20"/>
        </w:rPr>
      </w:pPr>
      <w:hyperlink w:anchor="TOC" w:history="1">
        <w:r>
          <w:rPr>
            <w:rStyle w:val="a4"/>
            <w:sz w:val="20"/>
            <w:szCs w:val="20"/>
          </w:rPr>
          <w:t xml:space="preserve">Table of </w:t>
        </w:r>
        <w:r>
          <w:rPr>
            <w:rStyle w:val="a4"/>
            <w:sz w:val="20"/>
            <w:szCs w:val="20"/>
          </w:rPr>
          <w:t>Contents</w:t>
        </w:r>
      </w:hyperlink>
    </w:p>
    <w:p w:rsidR="00000000" w:rsidRDefault="00FF2C06">
      <w:pPr>
        <w:pStyle w:val="a3"/>
        <w:spacing w:before="0" w:beforeAutospacing="0" w:after="200" w:afterAutospacing="0"/>
        <w:divId w:val="2103986143"/>
        <w:rPr>
          <w:sz w:val="20"/>
          <w:szCs w:val="20"/>
        </w:rPr>
      </w:pPr>
      <w:r>
        <w:rPr>
          <w:sz w:val="20"/>
          <w:szCs w:val="20"/>
        </w:rPr>
        <w:t>manufacture our current product candidates, and the actual cost to manufacture these products could materially and adversely affect the commercial viability of these products. Our goal is to reduce the cost of manufacturing and providing our thera</w:t>
      </w:r>
      <w:r>
        <w:rPr>
          <w:sz w:val="20"/>
          <w:szCs w:val="20"/>
        </w:rPr>
        <w:t>pies. However, unless we can reduce those costs to an acceptable amount, we may never be able to develop a commercially viable product. If we do not successfully develop and commercialize products based upon our approach or find suitable and economical sou</w:t>
      </w:r>
      <w:r>
        <w:rPr>
          <w:sz w:val="20"/>
          <w:szCs w:val="20"/>
        </w:rPr>
        <w:t>rces for materials used in the production of our products, we will not become profitable, which would materially and adversely affect the value of our common stock.</w:t>
      </w:r>
    </w:p>
    <w:p w:rsidR="00000000" w:rsidRDefault="00FF2C06">
      <w:pPr>
        <w:pStyle w:val="a3"/>
        <w:spacing w:before="0" w:beforeAutospacing="0" w:after="200" w:afterAutospacing="0"/>
        <w:ind w:firstLine="540"/>
        <w:divId w:val="2103986143"/>
        <w:rPr>
          <w:sz w:val="20"/>
          <w:szCs w:val="20"/>
        </w:rPr>
      </w:pPr>
      <w:r>
        <w:rPr>
          <w:sz w:val="20"/>
          <w:szCs w:val="20"/>
        </w:rPr>
        <w:t>Our TIL therapies and our other therapies may be provided to patients in combination with o</w:t>
      </w:r>
      <w:r>
        <w:rPr>
          <w:sz w:val="20"/>
          <w:szCs w:val="20"/>
        </w:rPr>
        <w:t>ther agents provided by third parties. The cost of such combination therapy may increase the overall cost of therapy and may result in issues regarding the allocation of reimbursements between our therapy and the other agents, all of which may affect our a</w:t>
      </w:r>
      <w:r>
        <w:rPr>
          <w:sz w:val="20"/>
          <w:szCs w:val="20"/>
        </w:rPr>
        <w:t>bility to obtain reimbursement coverage for the combination therapy from governmental or private third party medical insurers.</w:t>
      </w:r>
    </w:p>
    <w:p w:rsidR="00000000" w:rsidRDefault="00FF2C06">
      <w:pPr>
        <w:pStyle w:val="a3"/>
        <w:spacing w:before="0" w:beforeAutospacing="0" w:after="200" w:afterAutospacing="0"/>
        <w:ind w:firstLine="540"/>
        <w:divId w:val="2103986143"/>
        <w:rPr>
          <w:sz w:val="20"/>
          <w:szCs w:val="20"/>
        </w:rPr>
      </w:pPr>
      <w:r>
        <w:rPr>
          <w:b/>
          <w:bCs/>
          <w:i/>
          <w:iCs/>
          <w:sz w:val="20"/>
          <w:szCs w:val="20"/>
        </w:rPr>
        <w:t>No assurance can be given that the Gen 2 manufacturing process we have selected will be FDA-compliant, more efficient and lower t</w:t>
      </w:r>
      <w:r>
        <w:rPr>
          <w:b/>
          <w:bCs/>
          <w:i/>
          <w:iCs/>
          <w:sz w:val="20"/>
          <w:szCs w:val="20"/>
        </w:rPr>
        <w:t>he cost to manufacture TIL products.</w:t>
      </w:r>
    </w:p>
    <w:p w:rsidR="00000000" w:rsidRDefault="00FF2C06">
      <w:pPr>
        <w:pStyle w:val="a3"/>
        <w:spacing w:before="0" w:beforeAutospacing="0" w:after="200" w:afterAutospacing="0"/>
        <w:ind w:firstLine="540"/>
        <w:divId w:val="2103986143"/>
        <w:rPr>
          <w:sz w:val="20"/>
          <w:szCs w:val="20"/>
        </w:rPr>
      </w:pPr>
      <w:r>
        <w:rPr>
          <w:sz w:val="20"/>
          <w:szCs w:val="20"/>
        </w:rPr>
        <w:t xml:space="preserve">Pursuant to the CRADA, and in cooperation with our contract manufacturers and potentially other manufacturers, we have developed and are developing improved methods for the generating and selecting autologous TILs, and </w:t>
      </w:r>
      <w:r>
        <w:rPr>
          <w:sz w:val="20"/>
          <w:szCs w:val="20"/>
        </w:rPr>
        <w:t>methods for large-scale production of autologous TILs that are in accord with current cGMP procedures. We have developed a new and more efficient TIL manufacturing process that we believe can be more efficient and cost effective, and in a more automated ma</w:t>
      </w:r>
      <w:r>
        <w:rPr>
          <w:sz w:val="20"/>
          <w:szCs w:val="20"/>
        </w:rPr>
        <w:t>nner than previous processes. The production and control of the physical and/or chemical attributes of our products in a cGMP facility is subject to many uncertainties and difficulties. We have never manufactured our adoptive cell therapy product candidate</w:t>
      </w:r>
      <w:r>
        <w:rPr>
          <w:sz w:val="20"/>
          <w:szCs w:val="20"/>
        </w:rPr>
        <w:t xml:space="preserve"> on a commercial scale, nor have our partners. As a result, we cannot give any assurance that the Gen 2 process or any future process that we select will be a manufacturing process that can produce our products in compliance with the applicable regulatory </w:t>
      </w:r>
      <w:r>
        <w:rPr>
          <w:sz w:val="20"/>
          <w:szCs w:val="20"/>
        </w:rPr>
        <w:t>requirements, at a cost or in quantities necessary to make them commercially viable. Moreover, our third-party manufacturers will have to continually adhere to current cGMP regulations enforced by the FDA through its facilities inspection program. If our f</w:t>
      </w:r>
      <w:r>
        <w:rPr>
          <w:sz w:val="20"/>
          <w:szCs w:val="20"/>
        </w:rPr>
        <w:t>acilities or any of the facilities of these manufacturers cannot pass a pre-approval plant inspection, the FDA pre-market approval of our products will not be granted. In complying with cGMP and foreign regulatory requirements, we and any of our third-part</w:t>
      </w:r>
      <w:r>
        <w:rPr>
          <w:sz w:val="20"/>
          <w:szCs w:val="20"/>
        </w:rPr>
        <w:t>y manufacturers will be obligated to expend time, money and effort in production, record-keeping and quality control to assure that our products meet applicable specifications and other requirements. If we or any of our third-party manufacturers fail to co</w:t>
      </w:r>
      <w:r>
        <w:rPr>
          <w:sz w:val="20"/>
          <w:szCs w:val="20"/>
        </w:rPr>
        <w:t>mply with these requirements, we may be subject to regulatory action. No assurance can be given that we will be able to develop such a manufacturing process, or that our partners will thereafter be able to establish and operate such a production facility.</w:t>
      </w:r>
    </w:p>
    <w:p w:rsidR="00000000" w:rsidRDefault="00FF2C06">
      <w:pPr>
        <w:pStyle w:val="a3"/>
        <w:spacing w:before="0" w:beforeAutospacing="0" w:after="200" w:afterAutospacing="0"/>
        <w:ind w:firstLine="540"/>
        <w:divId w:val="2103986143"/>
        <w:rPr>
          <w:sz w:val="20"/>
          <w:szCs w:val="20"/>
        </w:rPr>
      </w:pPr>
      <w:r>
        <w:rPr>
          <w:b/>
          <w:bCs/>
          <w:i/>
          <w:iCs/>
          <w:sz w:val="20"/>
          <w:szCs w:val="20"/>
        </w:rPr>
        <w:t>If product liability lawsuits are brought against us, we may incur substantial liabilities and may be required to limit commercialization of our product candidates.</w:t>
      </w:r>
    </w:p>
    <w:p w:rsidR="00000000" w:rsidRDefault="00FF2C06">
      <w:pPr>
        <w:pStyle w:val="a3"/>
        <w:spacing w:before="0" w:beforeAutospacing="0" w:after="200" w:afterAutospacing="0"/>
        <w:ind w:firstLine="540"/>
        <w:divId w:val="2103986143"/>
        <w:rPr>
          <w:sz w:val="20"/>
          <w:szCs w:val="20"/>
        </w:rPr>
      </w:pPr>
      <w:r>
        <w:rPr>
          <w:sz w:val="20"/>
          <w:szCs w:val="20"/>
        </w:rPr>
        <w:t>We face an inherent risk of product liability as a result of the clinical testing of our pr</w:t>
      </w:r>
      <w:r>
        <w:rPr>
          <w:sz w:val="20"/>
          <w:szCs w:val="20"/>
        </w:rPr>
        <w:t>oduct candidates and will face an even greater risk if we commercialize any products. For example, we may be sued if our product candidates cause or are perceived to cause injury or are found to be otherwise unsuitable during clinical testing, manufacturin</w:t>
      </w:r>
      <w:r>
        <w:rPr>
          <w:sz w:val="20"/>
          <w:szCs w:val="20"/>
        </w:rPr>
        <w:t xml:space="preserve">g, marketing or sale. Any such product liability claims may include allegations of defects in manufacturing, defects in design, a failure to warn of dangers inherent in the product, negligence, strict liability or a breach of warranties. Claims could also </w:t>
      </w:r>
      <w:r>
        <w:rPr>
          <w:sz w:val="20"/>
          <w:szCs w:val="20"/>
        </w:rPr>
        <w:t>be asserted under state consumer protection acts. Large judgements have also been awarded in class action lawsuits based on therapeutics that had unanticipated side effects. If we cannot successfully defend ourselves against product liability claims, we ma</w:t>
      </w:r>
      <w:r>
        <w:rPr>
          <w:sz w:val="20"/>
          <w:szCs w:val="20"/>
        </w:rPr>
        <w:t>y incur substantial liabilities or be required to limit commercialization of our product candidates. Even successful defense would require significant financial and management resources. Regardless of the merits or eventual outcome, liability claims may re</w:t>
      </w:r>
      <w:r>
        <w:rPr>
          <w:sz w:val="20"/>
          <w:szCs w:val="20"/>
        </w:rPr>
        <w:t>sult in:</w:t>
      </w:r>
    </w:p>
    <w:p w:rsidR="00000000" w:rsidRDefault="00FF2C06">
      <w:pPr>
        <w:ind w:left="547" w:hanging="360"/>
        <w:divId w:val="2097893"/>
        <w:rPr>
          <w:rFonts w:eastAsia="Times New Roman"/>
          <w:sz w:val="20"/>
          <w:szCs w:val="20"/>
        </w:rPr>
      </w:pPr>
      <w:r>
        <w:rPr>
          <w:rFonts w:eastAsia="Times New Roman"/>
          <w:sz w:val="20"/>
          <w:szCs w:val="20"/>
        </w:rPr>
        <w:t>●</w:t>
      </w:r>
      <w:r>
        <w:rPr>
          <w:rFonts w:eastAsia="Times New Roman"/>
          <w:sz w:val="20"/>
          <w:szCs w:val="20"/>
        </w:rPr>
        <w:t>decreased demand for our product candidates;</w:t>
      </w:r>
    </w:p>
    <w:p w:rsidR="00000000" w:rsidRDefault="00FF2C06">
      <w:pPr>
        <w:ind w:left="547" w:hanging="360"/>
        <w:divId w:val="94063712"/>
        <w:rPr>
          <w:rFonts w:eastAsia="Times New Roman"/>
          <w:sz w:val="20"/>
          <w:szCs w:val="20"/>
        </w:rPr>
      </w:pPr>
      <w:r>
        <w:rPr>
          <w:rFonts w:eastAsia="Times New Roman"/>
          <w:sz w:val="20"/>
          <w:szCs w:val="20"/>
        </w:rPr>
        <w:t>●</w:t>
      </w:r>
      <w:r>
        <w:rPr>
          <w:rFonts w:eastAsia="Times New Roman"/>
          <w:sz w:val="20"/>
          <w:szCs w:val="20"/>
        </w:rPr>
        <w:t>injury to our reputation;</w:t>
      </w:r>
    </w:p>
    <w:p w:rsidR="00000000" w:rsidRDefault="00FF2C06">
      <w:pPr>
        <w:ind w:left="547" w:hanging="360"/>
        <w:divId w:val="289897424"/>
        <w:rPr>
          <w:rFonts w:eastAsia="Times New Roman"/>
          <w:sz w:val="20"/>
          <w:szCs w:val="20"/>
        </w:rPr>
      </w:pPr>
      <w:r>
        <w:rPr>
          <w:rFonts w:eastAsia="Times New Roman"/>
          <w:sz w:val="20"/>
          <w:szCs w:val="20"/>
        </w:rPr>
        <w:t>●</w:t>
      </w:r>
      <w:r>
        <w:rPr>
          <w:rFonts w:eastAsia="Times New Roman"/>
          <w:sz w:val="20"/>
          <w:szCs w:val="20"/>
        </w:rPr>
        <w:t>withdrawal of clinical trial participants or sites and potential termination of clinical trial sites or entire clinical programs;</w:t>
      </w:r>
    </w:p>
    <w:p w:rsidR="00000000" w:rsidRDefault="00FF2C06">
      <w:pPr>
        <w:ind w:left="547" w:hanging="360"/>
        <w:divId w:val="105930190"/>
        <w:rPr>
          <w:rFonts w:eastAsia="Times New Roman"/>
          <w:sz w:val="20"/>
          <w:szCs w:val="20"/>
        </w:rPr>
      </w:pPr>
      <w:r>
        <w:rPr>
          <w:rFonts w:eastAsia="Times New Roman"/>
          <w:sz w:val="20"/>
          <w:szCs w:val="20"/>
        </w:rPr>
        <w:t>●</w:t>
      </w:r>
      <w:r>
        <w:rPr>
          <w:rFonts w:eastAsia="Times New Roman"/>
          <w:sz w:val="20"/>
          <w:szCs w:val="20"/>
        </w:rPr>
        <w:t>initiation of investigations by regulators, refusal to approve marketing applications or supplements, and withdrawal or limit</w:t>
      </w:r>
      <w:r>
        <w:rPr>
          <w:rFonts w:eastAsia="Times New Roman"/>
          <w:sz w:val="20"/>
          <w:szCs w:val="20"/>
        </w:rPr>
        <w:t>ation of product approvals;</w:t>
      </w:r>
    </w:p>
    <w:p w:rsidR="00000000" w:rsidRDefault="00FF2C06">
      <w:pPr>
        <w:ind w:left="547" w:hanging="360"/>
        <w:divId w:val="1551502035"/>
        <w:rPr>
          <w:rFonts w:eastAsia="Times New Roman"/>
          <w:sz w:val="20"/>
          <w:szCs w:val="20"/>
        </w:rPr>
      </w:pPr>
      <w:r>
        <w:rPr>
          <w:rFonts w:eastAsia="Times New Roman"/>
          <w:sz w:val="20"/>
          <w:szCs w:val="20"/>
        </w:rPr>
        <w:t>●</w:t>
      </w:r>
      <w:r>
        <w:rPr>
          <w:rFonts w:eastAsia="Times New Roman"/>
          <w:sz w:val="20"/>
          <w:szCs w:val="20"/>
        </w:rPr>
        <w:t>costs to defend the related litigation;</w:t>
      </w:r>
    </w:p>
    <w:p w:rsidR="00000000" w:rsidRDefault="00FF2C06">
      <w:pPr>
        <w:ind w:left="547" w:hanging="360"/>
        <w:divId w:val="1421176796"/>
        <w:rPr>
          <w:rFonts w:eastAsia="Times New Roman"/>
          <w:sz w:val="20"/>
          <w:szCs w:val="20"/>
        </w:rPr>
      </w:pPr>
      <w:r>
        <w:rPr>
          <w:rFonts w:eastAsia="Times New Roman"/>
          <w:sz w:val="20"/>
          <w:szCs w:val="20"/>
        </w:rPr>
        <w:t>●</w:t>
      </w:r>
      <w:r>
        <w:rPr>
          <w:rFonts w:eastAsia="Times New Roman"/>
          <w:sz w:val="20"/>
          <w:szCs w:val="20"/>
        </w:rPr>
        <w:t>a diversion of management’s time and our resources;</w:t>
      </w:r>
    </w:p>
    <w:p w:rsidR="00000000" w:rsidRDefault="00FF2C06">
      <w:pPr>
        <w:ind w:left="547" w:hanging="360"/>
        <w:divId w:val="1896358047"/>
        <w:rPr>
          <w:rFonts w:eastAsia="Times New Roman"/>
          <w:sz w:val="20"/>
          <w:szCs w:val="20"/>
        </w:rPr>
      </w:pPr>
      <w:r>
        <w:rPr>
          <w:rFonts w:eastAsia="Times New Roman"/>
          <w:sz w:val="20"/>
          <w:szCs w:val="20"/>
        </w:rPr>
        <w:t>●</w:t>
      </w:r>
      <w:r>
        <w:rPr>
          <w:rFonts w:eastAsia="Times New Roman"/>
          <w:sz w:val="20"/>
          <w:szCs w:val="20"/>
        </w:rPr>
        <w:t>substantial monetary awards to trial participants or patients;</w:t>
      </w:r>
    </w:p>
    <w:p w:rsidR="00000000" w:rsidRDefault="00FF2C06">
      <w:pPr>
        <w:ind w:left="547" w:hanging="360"/>
        <w:divId w:val="2113355825"/>
        <w:rPr>
          <w:rFonts w:eastAsia="Times New Roman"/>
          <w:sz w:val="20"/>
          <w:szCs w:val="20"/>
        </w:rPr>
      </w:pPr>
      <w:r>
        <w:rPr>
          <w:rFonts w:eastAsia="Times New Roman"/>
          <w:sz w:val="20"/>
          <w:szCs w:val="20"/>
        </w:rPr>
        <w:t>●</w:t>
      </w:r>
      <w:r>
        <w:rPr>
          <w:rFonts w:eastAsia="Times New Roman"/>
          <w:sz w:val="20"/>
          <w:szCs w:val="20"/>
        </w:rPr>
        <w:t>product recalls, withdrawals or labeling, marketing or promotional re</w:t>
      </w:r>
      <w:r>
        <w:rPr>
          <w:rFonts w:eastAsia="Times New Roman"/>
          <w:sz w:val="20"/>
          <w:szCs w:val="20"/>
        </w:rPr>
        <w:t>strictions;</w:t>
      </w:r>
    </w:p>
    <w:p w:rsidR="00000000" w:rsidRDefault="00FF2C06">
      <w:pPr>
        <w:ind w:left="547" w:hanging="360"/>
        <w:divId w:val="1041512621"/>
        <w:rPr>
          <w:rFonts w:eastAsia="Times New Roman"/>
          <w:sz w:val="20"/>
          <w:szCs w:val="20"/>
        </w:rPr>
      </w:pPr>
      <w:r>
        <w:rPr>
          <w:rFonts w:eastAsia="Times New Roman"/>
          <w:sz w:val="20"/>
          <w:szCs w:val="20"/>
        </w:rPr>
        <w:t>●</w:t>
      </w:r>
      <w:r>
        <w:rPr>
          <w:rFonts w:eastAsia="Times New Roman"/>
          <w:sz w:val="20"/>
          <w:szCs w:val="20"/>
        </w:rPr>
        <w:t>loss of revenue;</w:t>
      </w:r>
    </w:p>
    <w:p w:rsidR="00000000" w:rsidRDefault="00FF2C06">
      <w:pPr>
        <w:ind w:left="547" w:hanging="360"/>
        <w:divId w:val="1291208098"/>
        <w:rPr>
          <w:rFonts w:eastAsia="Times New Roman"/>
          <w:sz w:val="20"/>
          <w:szCs w:val="20"/>
        </w:rPr>
      </w:pPr>
      <w:r>
        <w:rPr>
          <w:rFonts w:eastAsia="Times New Roman"/>
          <w:sz w:val="20"/>
          <w:szCs w:val="20"/>
        </w:rPr>
        <w:t>●</w:t>
      </w:r>
      <w:r>
        <w:rPr>
          <w:rFonts w:eastAsia="Times New Roman"/>
          <w:sz w:val="20"/>
          <w:szCs w:val="20"/>
        </w:rPr>
        <w:t>significant negative media attention;</w:t>
      </w:r>
    </w:p>
    <w:p w:rsidR="00000000" w:rsidRDefault="00FF2C06">
      <w:pPr>
        <w:pStyle w:val="a3"/>
        <w:spacing w:before="480" w:beforeAutospacing="0" w:after="0" w:afterAutospacing="0"/>
        <w:jc w:val="center"/>
        <w:divId w:val="1578857967"/>
        <w:rPr>
          <w:sz w:val="20"/>
          <w:szCs w:val="20"/>
        </w:rPr>
      </w:pPr>
      <w:r>
        <w:rPr>
          <w:sz w:val="20"/>
          <w:szCs w:val="20"/>
        </w:rPr>
        <w:t>54</w:t>
      </w:r>
    </w:p>
    <w:p w:rsidR="00000000" w:rsidRDefault="00FF2C06">
      <w:pPr>
        <w:pStyle w:val="a3"/>
        <w:spacing w:before="0" w:beforeAutospacing="0" w:after="600" w:afterAutospacing="0"/>
        <w:divId w:val="593243165"/>
        <w:rPr>
          <w:sz w:val="20"/>
          <w:szCs w:val="20"/>
        </w:rPr>
      </w:pPr>
      <w:hyperlink w:anchor="TOC" w:history="1">
        <w:r>
          <w:rPr>
            <w:rStyle w:val="a4"/>
            <w:sz w:val="20"/>
            <w:szCs w:val="20"/>
          </w:rPr>
          <w:t>Table of Contents</w:t>
        </w:r>
      </w:hyperlink>
    </w:p>
    <w:p w:rsidR="00000000" w:rsidRDefault="00FF2C06">
      <w:pPr>
        <w:ind w:left="547" w:hanging="360"/>
        <w:divId w:val="1686323312"/>
        <w:rPr>
          <w:rFonts w:eastAsia="Times New Roman"/>
          <w:sz w:val="20"/>
          <w:szCs w:val="20"/>
        </w:rPr>
      </w:pPr>
      <w:r>
        <w:rPr>
          <w:rFonts w:eastAsia="Times New Roman"/>
          <w:sz w:val="20"/>
          <w:szCs w:val="20"/>
        </w:rPr>
        <w:t>●</w:t>
      </w:r>
      <w:r>
        <w:rPr>
          <w:rFonts w:eastAsia="Times New Roman"/>
          <w:sz w:val="20"/>
          <w:szCs w:val="20"/>
        </w:rPr>
        <w:t>decrease in the price of our stock and overall value of our company;</w:t>
      </w:r>
    </w:p>
    <w:p w:rsidR="00000000" w:rsidRDefault="00FF2C06">
      <w:pPr>
        <w:ind w:left="547" w:hanging="360"/>
        <w:divId w:val="380250063"/>
        <w:rPr>
          <w:rFonts w:eastAsia="Times New Roman"/>
          <w:sz w:val="20"/>
          <w:szCs w:val="20"/>
        </w:rPr>
      </w:pPr>
      <w:r>
        <w:rPr>
          <w:rFonts w:eastAsia="Times New Roman"/>
          <w:sz w:val="20"/>
          <w:szCs w:val="20"/>
        </w:rPr>
        <w:t>●</w:t>
      </w:r>
      <w:r>
        <w:rPr>
          <w:rFonts w:eastAsia="Times New Roman"/>
          <w:sz w:val="20"/>
          <w:szCs w:val="20"/>
        </w:rPr>
        <w:t>exhaustion of our available insurance coverage and our capital resources; or</w:t>
      </w:r>
    </w:p>
    <w:p w:rsidR="00000000" w:rsidRDefault="00FF2C06">
      <w:pPr>
        <w:ind w:left="547" w:hanging="360"/>
        <w:divId w:val="827675412"/>
        <w:rPr>
          <w:rFonts w:eastAsia="Times New Roman"/>
          <w:sz w:val="20"/>
          <w:szCs w:val="20"/>
        </w:rPr>
      </w:pPr>
      <w:r>
        <w:rPr>
          <w:rFonts w:eastAsia="Times New Roman"/>
          <w:sz w:val="20"/>
          <w:szCs w:val="20"/>
        </w:rPr>
        <w:t>●</w:t>
      </w:r>
      <w:r>
        <w:rPr>
          <w:rFonts w:eastAsia="Times New Roman"/>
          <w:sz w:val="20"/>
          <w:szCs w:val="20"/>
        </w:rPr>
        <w:t>the inability to commercialize our product candidates.</w:t>
      </w:r>
    </w:p>
    <w:p w:rsidR="00000000" w:rsidRDefault="00FF2C06">
      <w:pPr>
        <w:pStyle w:val="a3"/>
        <w:spacing w:before="0" w:beforeAutospacing="0" w:after="200" w:afterAutospacing="0"/>
        <w:ind w:firstLine="547"/>
        <w:divId w:val="249003675"/>
        <w:rPr>
          <w:sz w:val="20"/>
          <w:szCs w:val="20"/>
        </w:rPr>
      </w:pPr>
      <w:r>
        <w:rPr>
          <w:sz w:val="20"/>
          <w:szCs w:val="20"/>
        </w:rPr>
        <w:t>Our inability to obtain sufficient product liability insurance at an acceptable cost to protect against potential product l</w:t>
      </w:r>
      <w:r>
        <w:rPr>
          <w:sz w:val="20"/>
          <w:szCs w:val="20"/>
        </w:rPr>
        <w:t>iability claims could prevent or inhibit the commercialization of products we develop, alone or with corporate collaborators. Our insurance policies may also have various exclusions, and we may be subject to a product liability claim for which we have no c</w:t>
      </w:r>
      <w:r>
        <w:rPr>
          <w:sz w:val="20"/>
          <w:szCs w:val="20"/>
        </w:rPr>
        <w:t xml:space="preserve">overage. While we have obtained clinical trial insurance for our Phase 2 clinical trials, we may have to pay amounts awarded by a court or negotiated in a settlement that exceed our coverage limitations or that are not covered by our insurance, and we may </w:t>
      </w:r>
      <w:r>
        <w:rPr>
          <w:sz w:val="20"/>
          <w:szCs w:val="20"/>
        </w:rPr>
        <w:t>not have, or be able to obtain, sufficient capital to pay such amounts. Even if our agreements with any future corporate collaborators entitle us to indemnification against losses, such indemnification may not be available or adequate should any claim aris</w:t>
      </w:r>
      <w:r>
        <w:rPr>
          <w:sz w:val="20"/>
          <w:szCs w:val="20"/>
        </w:rPr>
        <w:t>e.</w:t>
      </w:r>
    </w:p>
    <w:p w:rsidR="00000000" w:rsidRDefault="00FF2C06">
      <w:pPr>
        <w:pStyle w:val="a3"/>
        <w:spacing w:before="0" w:beforeAutospacing="0" w:after="200" w:afterAutospacing="0"/>
        <w:ind w:firstLine="547"/>
        <w:divId w:val="249003675"/>
        <w:rPr>
          <w:sz w:val="20"/>
          <w:szCs w:val="20"/>
        </w:rPr>
      </w:pPr>
      <w:r>
        <w:rPr>
          <w:b/>
          <w:bCs/>
          <w:i/>
          <w:iCs/>
          <w:sz w:val="20"/>
          <w:szCs w:val="20"/>
        </w:rPr>
        <w:t>We face significant competition from other biotechnology and pharmaceutical companies and from non-profit institutions.*</w:t>
      </w:r>
    </w:p>
    <w:p w:rsidR="00000000" w:rsidRDefault="00FF2C06">
      <w:pPr>
        <w:pStyle w:val="a3"/>
        <w:spacing w:before="0" w:beforeAutospacing="0" w:after="200" w:afterAutospacing="0"/>
        <w:ind w:firstLine="547"/>
        <w:divId w:val="249003675"/>
        <w:rPr>
          <w:sz w:val="20"/>
          <w:szCs w:val="20"/>
        </w:rPr>
      </w:pPr>
      <w:r>
        <w:rPr>
          <w:sz w:val="20"/>
          <w:szCs w:val="20"/>
        </w:rPr>
        <w:t>Competition in the field of cancer therapy is intense and is accentuated by the rapid pace of technological development. Research an</w:t>
      </w:r>
      <w:r>
        <w:rPr>
          <w:sz w:val="20"/>
          <w:szCs w:val="20"/>
        </w:rPr>
        <w:t>d discoveries by others may result in breakthroughs which may render our products obsolete even before they generate any revenue. There are products that are approved and currently under development by others that could compete with the products that we ar</w:t>
      </w:r>
      <w:r>
        <w:rPr>
          <w:sz w:val="20"/>
          <w:szCs w:val="20"/>
        </w:rPr>
        <w:t>e developing. Many of our potential competitors have substantially greater research and development capabilities and approval, manufacturing, marketing, financial and managerial resources and experience than we do. Our competitors may:</w:t>
      </w:r>
    </w:p>
    <w:p w:rsidR="00000000" w:rsidRDefault="00FF2C06">
      <w:pPr>
        <w:ind w:left="547" w:hanging="360"/>
        <w:divId w:val="1105805690"/>
        <w:rPr>
          <w:rFonts w:eastAsia="Times New Roman"/>
          <w:sz w:val="20"/>
          <w:szCs w:val="20"/>
        </w:rPr>
      </w:pPr>
      <w:r>
        <w:rPr>
          <w:rFonts w:eastAsia="Times New Roman"/>
          <w:sz w:val="20"/>
          <w:szCs w:val="20"/>
        </w:rPr>
        <w:t>●</w:t>
      </w:r>
      <w:r>
        <w:rPr>
          <w:rFonts w:eastAsia="Times New Roman"/>
          <w:sz w:val="20"/>
          <w:szCs w:val="20"/>
        </w:rPr>
        <w:t>develop safer, more</w:t>
      </w:r>
      <w:r>
        <w:rPr>
          <w:rFonts w:eastAsia="Times New Roman"/>
          <w:sz w:val="20"/>
          <w:szCs w:val="20"/>
        </w:rPr>
        <w:t xml:space="preserve"> convenient or more effective immunotherapies and other therapeutic products;</w:t>
      </w:r>
    </w:p>
    <w:p w:rsidR="00000000" w:rsidRDefault="00FF2C06">
      <w:pPr>
        <w:ind w:left="547" w:hanging="360"/>
        <w:divId w:val="87774165"/>
        <w:rPr>
          <w:rFonts w:eastAsia="Times New Roman"/>
          <w:sz w:val="20"/>
          <w:szCs w:val="20"/>
        </w:rPr>
      </w:pPr>
      <w:r>
        <w:rPr>
          <w:rFonts w:eastAsia="Times New Roman"/>
          <w:sz w:val="20"/>
          <w:szCs w:val="20"/>
        </w:rPr>
        <w:t>●</w:t>
      </w:r>
      <w:r>
        <w:rPr>
          <w:rFonts w:eastAsia="Times New Roman"/>
          <w:sz w:val="20"/>
          <w:szCs w:val="20"/>
        </w:rPr>
        <w:t>develop therapies that are less expensive or have better reimbursement from private or public payors;</w:t>
      </w:r>
    </w:p>
    <w:p w:rsidR="00000000" w:rsidRDefault="00FF2C06">
      <w:pPr>
        <w:ind w:left="547" w:hanging="360"/>
        <w:divId w:val="594360038"/>
        <w:rPr>
          <w:rFonts w:eastAsia="Times New Roman"/>
          <w:sz w:val="20"/>
          <w:szCs w:val="20"/>
        </w:rPr>
      </w:pPr>
      <w:r>
        <w:rPr>
          <w:rFonts w:eastAsia="Times New Roman"/>
          <w:sz w:val="20"/>
          <w:szCs w:val="20"/>
        </w:rPr>
        <w:t>●</w:t>
      </w:r>
      <w:r>
        <w:rPr>
          <w:rFonts w:eastAsia="Times New Roman"/>
          <w:sz w:val="20"/>
          <w:szCs w:val="20"/>
        </w:rPr>
        <w:t>reach the market more rapidly, reducing the potential sales of our product</w:t>
      </w:r>
      <w:r>
        <w:rPr>
          <w:rFonts w:eastAsia="Times New Roman"/>
          <w:sz w:val="20"/>
          <w:szCs w:val="20"/>
        </w:rPr>
        <w:t>s; or</w:t>
      </w:r>
    </w:p>
    <w:p w:rsidR="00000000" w:rsidRDefault="00FF2C06">
      <w:pPr>
        <w:ind w:left="547" w:hanging="360"/>
        <w:divId w:val="783768506"/>
        <w:rPr>
          <w:rFonts w:eastAsia="Times New Roman"/>
          <w:sz w:val="20"/>
          <w:szCs w:val="20"/>
        </w:rPr>
      </w:pPr>
      <w:r>
        <w:rPr>
          <w:rFonts w:eastAsia="Times New Roman"/>
          <w:sz w:val="20"/>
          <w:szCs w:val="20"/>
        </w:rPr>
        <w:t>●</w:t>
      </w:r>
      <w:r>
        <w:rPr>
          <w:rFonts w:eastAsia="Times New Roman"/>
          <w:sz w:val="20"/>
          <w:szCs w:val="20"/>
        </w:rPr>
        <w:t>establish superior proprietary positions.</w:t>
      </w:r>
    </w:p>
    <w:p w:rsidR="00000000" w:rsidRDefault="00FF2C06">
      <w:pPr>
        <w:pStyle w:val="a3"/>
        <w:spacing w:before="0" w:beforeAutospacing="0" w:after="200" w:afterAutospacing="0"/>
        <w:ind w:firstLine="547"/>
        <w:divId w:val="249003675"/>
        <w:rPr>
          <w:sz w:val="20"/>
          <w:szCs w:val="20"/>
        </w:rPr>
      </w:pPr>
      <w:r>
        <w:rPr>
          <w:sz w:val="20"/>
          <w:szCs w:val="20"/>
        </w:rPr>
        <w:t>Due to the promising clinical therapeutic effect of competitor therapies in clinical exploratory trials, we anticipate substantial direct competition from other organizations developing advanced T cell thera</w:t>
      </w:r>
      <w:r>
        <w:rPr>
          <w:sz w:val="20"/>
          <w:szCs w:val="20"/>
        </w:rPr>
        <w:t>pies targeting patients who have received prior anti-PD-1/PD-L1 therapies. In particular, we expect to compete with other new therapies for our lead indications developed by companies such as Bristol-Myers Squibb, Merck, Nektar Therapeutics, Idera Pharmace</w:t>
      </w:r>
      <w:r>
        <w:rPr>
          <w:sz w:val="20"/>
          <w:szCs w:val="20"/>
        </w:rPr>
        <w:t>uticals, Checkmate Pharmaceuticals, WindMIL Therapeutics, Seattle Genetics, and others. We also may compete with therapies based on genetically engineered T cells rendered reactive against tumor-associated antigens prior to their administration to patients</w:t>
      </w:r>
      <w:r>
        <w:rPr>
          <w:sz w:val="20"/>
          <w:szCs w:val="20"/>
        </w:rPr>
        <w:t>. Genetically engineered T cells are being pursued by several companies, including Adaptimmune, Bristol-Myers Squibb, Gilead Sciences, Novartis and others. To date, these technologies have been primarily applicable to hematologic malignancies, but their ap</w:t>
      </w:r>
      <w:r>
        <w:rPr>
          <w:sz w:val="20"/>
          <w:szCs w:val="20"/>
        </w:rPr>
        <w:t>plication in solid tumor indications may create competition with us. Many of these companies and our other current and potential competitors have substantially greater research and development capabilities and financial, scientific, regulatory, manufacturi</w:t>
      </w:r>
      <w:r>
        <w:rPr>
          <w:sz w:val="20"/>
          <w:szCs w:val="20"/>
        </w:rPr>
        <w:t>ng, marketing, sales, human resources, and experience than we do. Many of our competitors have several therapeutic products that have already been developed, approved and successfully commercialized, or are in the process of obtaining regulatory approval f</w:t>
      </w:r>
      <w:r>
        <w:rPr>
          <w:sz w:val="20"/>
          <w:szCs w:val="20"/>
        </w:rPr>
        <w:t>or their therapeutic products in the United States and internationally. Our competitors may obtain regulatory approval for their products more rapidly than we may obtain approval for ours, which could result in competitors establishing a strong market posi</w:t>
      </w:r>
      <w:r>
        <w:rPr>
          <w:sz w:val="20"/>
          <w:szCs w:val="20"/>
        </w:rPr>
        <w:t>tion before we are able to enter the market.</w:t>
      </w:r>
    </w:p>
    <w:p w:rsidR="00000000" w:rsidRDefault="00FF2C06">
      <w:pPr>
        <w:pStyle w:val="a3"/>
        <w:spacing w:before="0" w:beforeAutospacing="0" w:after="200" w:afterAutospacing="0"/>
        <w:ind w:firstLine="547"/>
        <w:divId w:val="249003675"/>
        <w:rPr>
          <w:sz w:val="20"/>
          <w:szCs w:val="20"/>
        </w:rPr>
      </w:pPr>
      <w:r>
        <w:rPr>
          <w:sz w:val="20"/>
          <w:szCs w:val="20"/>
        </w:rPr>
        <w:t>Universities and public and private research institutions in the U.S. and Europe are also potential competitors. For example, a Phase 3 trial comparing TIL to standard ipilimumab in patients with metastatic melanoma is currently being conducted in Europe b</w:t>
      </w:r>
      <w:r>
        <w:rPr>
          <w:sz w:val="20"/>
          <w:szCs w:val="20"/>
        </w:rPr>
        <w:t>y the Netherlands Cancer Institute, the Copenhagen County Herlev University Hospital, and the University of Manchester. While these universities and public and private research institutions primarily have educational objectives, they may develop proprietar</w:t>
      </w:r>
      <w:r>
        <w:rPr>
          <w:sz w:val="20"/>
          <w:szCs w:val="20"/>
        </w:rPr>
        <w:t>y technologies that lead to other FDA approved therapies or that secure patent protection that we may need for the development of our technologies and products.</w:t>
      </w:r>
    </w:p>
    <w:p w:rsidR="00000000" w:rsidRDefault="00FF2C06">
      <w:pPr>
        <w:pStyle w:val="a3"/>
        <w:spacing w:before="0" w:beforeAutospacing="0" w:after="200" w:afterAutospacing="0"/>
        <w:ind w:firstLine="547"/>
        <w:divId w:val="249003675"/>
        <w:rPr>
          <w:sz w:val="20"/>
          <w:szCs w:val="20"/>
        </w:rPr>
      </w:pPr>
      <w:r>
        <w:rPr>
          <w:sz w:val="20"/>
          <w:szCs w:val="20"/>
        </w:rPr>
        <w:t>Our lead product candidate lifileucel is a therapy for the treatment of metastatic melanoma and</w:t>
      </w:r>
      <w:r>
        <w:rPr>
          <w:sz w:val="20"/>
          <w:szCs w:val="20"/>
        </w:rPr>
        <w:t xml:space="preserve"> metastatic cervical cancer. Currently, there are numerous companies that are developing various alternate treatments for melanoma and cervical cancer, including patients that have progressed after prior treatment with checkpoint inhibitors and chemotherap</w:t>
      </w:r>
      <w:r>
        <w:rPr>
          <w:sz w:val="20"/>
          <w:szCs w:val="20"/>
        </w:rPr>
        <w:t xml:space="preserve">y. Accordingly, lifileucel faces significant competition in the melanoma and cervical cancer treatment space from multiple companies. Even if we obtain regulatory approval for lifileucel, the availability and price of our competitors’ products could limit </w:t>
      </w:r>
      <w:r>
        <w:rPr>
          <w:sz w:val="20"/>
          <w:szCs w:val="20"/>
        </w:rPr>
        <w:t>the demand and the price we are able to charge for our therapies. We may not be able to implement our business plan if the acceptance of our products is inhibited by price competition or the reluctance of physicians to switch from other methods of treatmen</w:t>
      </w:r>
      <w:r>
        <w:rPr>
          <w:sz w:val="20"/>
          <w:szCs w:val="20"/>
        </w:rPr>
        <w:t>t to our product, or if physicians switch to other new therapies, drugs or biologic products or choose to reserve our product for use in limited circumstances.</w:t>
      </w:r>
    </w:p>
    <w:p w:rsidR="00000000" w:rsidRDefault="00FF2C06">
      <w:pPr>
        <w:pStyle w:val="a3"/>
        <w:spacing w:before="480" w:beforeAutospacing="0" w:after="0" w:afterAutospacing="0"/>
        <w:jc w:val="center"/>
        <w:divId w:val="1081953097"/>
        <w:rPr>
          <w:sz w:val="20"/>
          <w:szCs w:val="20"/>
        </w:rPr>
      </w:pPr>
      <w:r>
        <w:rPr>
          <w:sz w:val="20"/>
          <w:szCs w:val="20"/>
        </w:rPr>
        <w:t>55</w:t>
      </w:r>
    </w:p>
    <w:p w:rsidR="00000000" w:rsidRDefault="00FF2C06">
      <w:pPr>
        <w:pStyle w:val="a3"/>
        <w:spacing w:before="0" w:beforeAutospacing="0" w:after="600" w:afterAutospacing="0"/>
        <w:divId w:val="246422612"/>
        <w:rPr>
          <w:sz w:val="20"/>
          <w:szCs w:val="20"/>
        </w:rPr>
      </w:pPr>
      <w:hyperlink w:anchor="TOC" w:history="1">
        <w:r>
          <w:rPr>
            <w:rStyle w:val="a4"/>
            <w:sz w:val="20"/>
            <w:szCs w:val="20"/>
          </w:rPr>
          <w:t>Table of Contents</w:t>
        </w:r>
      </w:hyperlink>
    </w:p>
    <w:p w:rsidR="00000000" w:rsidRDefault="00FF2C06">
      <w:pPr>
        <w:pStyle w:val="a3"/>
        <w:spacing w:before="0" w:beforeAutospacing="0" w:after="200" w:afterAutospacing="0"/>
        <w:ind w:firstLine="547"/>
        <w:divId w:val="569002537"/>
        <w:rPr>
          <w:sz w:val="20"/>
          <w:szCs w:val="20"/>
        </w:rPr>
      </w:pPr>
      <w:r>
        <w:rPr>
          <w:sz w:val="20"/>
          <w:szCs w:val="20"/>
        </w:rPr>
        <w:t>Mergers and acquisitions in the pharmaceutical an</w:t>
      </w:r>
      <w:r>
        <w:rPr>
          <w:sz w:val="20"/>
          <w:szCs w:val="20"/>
        </w:rPr>
        <w:t>d biotechnology industries may result in even more resources being concentrated among a smaller number of our competitors. Early stage companies may also prove to be significant competitors, particularly through collaborative arrangements with large and es</w:t>
      </w:r>
      <w:r>
        <w:rPr>
          <w:sz w:val="20"/>
          <w:szCs w:val="20"/>
        </w:rPr>
        <w:t>tablished companies. These third parties compete with us in recruiting and retaining qualified scientific and management personnel and establishing clinical trial sites and patient registration for clinical trials, as well as in acquiring technologies comp</w:t>
      </w:r>
      <w:r>
        <w:rPr>
          <w:sz w:val="20"/>
          <w:szCs w:val="20"/>
        </w:rPr>
        <w:t>lementary to, or necessary for, our programs.</w:t>
      </w:r>
    </w:p>
    <w:p w:rsidR="00000000" w:rsidRDefault="00FF2C06">
      <w:pPr>
        <w:pStyle w:val="a3"/>
        <w:spacing w:before="0" w:beforeAutospacing="0" w:after="200" w:afterAutospacing="0"/>
        <w:ind w:firstLine="547"/>
        <w:divId w:val="569002537"/>
        <w:rPr>
          <w:sz w:val="20"/>
          <w:szCs w:val="20"/>
        </w:rPr>
      </w:pPr>
      <w:r>
        <w:rPr>
          <w:b/>
          <w:bCs/>
          <w:i/>
          <w:iCs/>
          <w:sz w:val="20"/>
          <w:szCs w:val="20"/>
        </w:rPr>
        <w:t>We are dependent on third parties to support our research, development and manufacturing activities and, therefore, are subject to the efforts of these parties and our ability to successfully collaborate with t</w:t>
      </w:r>
      <w:r>
        <w:rPr>
          <w:b/>
          <w:bCs/>
          <w:i/>
          <w:iCs/>
          <w:sz w:val="20"/>
          <w:szCs w:val="20"/>
        </w:rPr>
        <w:t>hese third parties.</w:t>
      </w:r>
    </w:p>
    <w:p w:rsidR="00000000" w:rsidRDefault="00FF2C06">
      <w:pPr>
        <w:pStyle w:val="a3"/>
        <w:spacing w:before="0" w:beforeAutospacing="0" w:after="200" w:afterAutospacing="0"/>
        <w:ind w:firstLine="547"/>
        <w:divId w:val="569002537"/>
        <w:rPr>
          <w:sz w:val="20"/>
          <w:szCs w:val="20"/>
        </w:rPr>
      </w:pPr>
      <w:r>
        <w:rPr>
          <w:sz w:val="20"/>
          <w:szCs w:val="20"/>
        </w:rPr>
        <w:t>As a result of our current strategy to outsource most of our manufacturing, we rely very heavily on third parties to perform for us the manufacturing of our products for our clinical trials. We also license a portion of our technology f</w:t>
      </w:r>
      <w:r>
        <w:rPr>
          <w:sz w:val="20"/>
          <w:szCs w:val="20"/>
        </w:rPr>
        <w:t>rom others. We intend to rely upon our contract manufacturers to produce large quantities of materials needed for clinical trials and potentially product commercialization. Third party manufacturers may not be able to meet our needs with respect to timing,</w:t>
      </w:r>
      <w:r>
        <w:rPr>
          <w:sz w:val="20"/>
          <w:szCs w:val="20"/>
        </w:rPr>
        <w:t xml:space="preserve"> quantity or quality. If we are unable to contract for a sufficient supply of needed materials on acceptable terms, or if we should encounter delays or difficulties in our relationships with manufacturers, our clinical testing may be delayed, thereby delay</w:t>
      </w:r>
      <w:r>
        <w:rPr>
          <w:sz w:val="20"/>
          <w:szCs w:val="20"/>
        </w:rPr>
        <w:t>ing the submission of products for regulatory approval or the market introduction and subsequent sales of our products. Any such delay may lower our revenues and potential profitability.</w:t>
      </w:r>
    </w:p>
    <w:p w:rsidR="00000000" w:rsidRDefault="00FF2C06">
      <w:pPr>
        <w:pStyle w:val="a3"/>
        <w:spacing w:before="0" w:beforeAutospacing="0" w:after="200" w:afterAutospacing="0"/>
        <w:ind w:firstLine="547"/>
        <w:divId w:val="569002537"/>
        <w:rPr>
          <w:sz w:val="20"/>
          <w:szCs w:val="20"/>
        </w:rPr>
      </w:pPr>
      <w:r>
        <w:rPr>
          <w:sz w:val="20"/>
          <w:szCs w:val="20"/>
        </w:rPr>
        <w:t>In addition, in order to supplement our own efforts to improve TIL ma</w:t>
      </w:r>
      <w:r>
        <w:rPr>
          <w:sz w:val="20"/>
          <w:szCs w:val="20"/>
        </w:rPr>
        <w:t xml:space="preserve">nufacturing and develop TIL therapies in new indications in clinical trials, we currently work and collaborate with government and academic research institutions, medical institutions and corporate partners such as the NCI, Moffitt, Ohio State University, </w:t>
      </w:r>
      <w:r>
        <w:rPr>
          <w:sz w:val="20"/>
          <w:szCs w:val="20"/>
        </w:rPr>
        <w:t>Cellectis, Yale University, Novartis, and CHUM. We also intend to continue to enter into additional third-party collaborative agreements in the future. However, we may not be able to successfully negotiate any additional collaborative arrangements. If esta</w:t>
      </w:r>
      <w:r>
        <w:rPr>
          <w:sz w:val="20"/>
          <w:szCs w:val="20"/>
        </w:rPr>
        <w:t>blished, these relationships may not be scientifically or commercially successful, or may be unable to enroll patients, which has occurred in one of our prior collaborations. The success of these and future collaborations and joint development arrangements</w:t>
      </w:r>
      <w:r>
        <w:rPr>
          <w:sz w:val="20"/>
          <w:szCs w:val="20"/>
        </w:rPr>
        <w:t xml:space="preserve"> may be subject to numerous risks and uncertainties, including the inability or unwillingness of our partners to perform in the manner, or to the extent anticipated, and may also be subject to disagreements regarding the rights, interests, and performance </w:t>
      </w:r>
      <w:r>
        <w:rPr>
          <w:sz w:val="20"/>
          <w:szCs w:val="20"/>
        </w:rPr>
        <w:t>of the counterparties under our licenses and development agreements. Disagreements between parties to a collaboration arrangement regarding clinical development and commercialization matters can lead to delays in the development process or commercializatio</w:t>
      </w:r>
      <w:r>
        <w:rPr>
          <w:sz w:val="20"/>
          <w:szCs w:val="20"/>
        </w:rPr>
        <w:t>n of the applicable product candidate and, in some cases, termination of the collaboration arrangement. These disagreements can be difficult to resolve if neither of the parties has final decision-making authority under the collaboration agreement.</w:t>
      </w:r>
    </w:p>
    <w:p w:rsidR="00000000" w:rsidRDefault="00FF2C06">
      <w:pPr>
        <w:pStyle w:val="a3"/>
        <w:spacing w:before="0" w:beforeAutospacing="0" w:after="200" w:afterAutospacing="0"/>
        <w:ind w:firstLine="547"/>
        <w:divId w:val="569002537"/>
        <w:rPr>
          <w:sz w:val="20"/>
          <w:szCs w:val="20"/>
        </w:rPr>
      </w:pPr>
      <w:r>
        <w:rPr>
          <w:sz w:val="20"/>
          <w:szCs w:val="20"/>
        </w:rPr>
        <w:t>With re</w:t>
      </w:r>
      <w:r>
        <w:rPr>
          <w:sz w:val="20"/>
          <w:szCs w:val="20"/>
        </w:rPr>
        <w:t>gard to future collaboration efforts, we face significant competition in seeking appropriate collaborators. Our ability to reach a definitive agreement for collaboration will depend, among other things, upon our assessment of the collaborator’s resources a</w:t>
      </w:r>
      <w:r>
        <w:rPr>
          <w:sz w:val="20"/>
          <w:szCs w:val="20"/>
        </w:rPr>
        <w:t>nd expertise, the terms and conditions of the proposed collaboration and, an evaluation by the proposed collaborator of a number of similar or unique factors.</w:t>
      </w:r>
    </w:p>
    <w:p w:rsidR="00000000" w:rsidRDefault="00FF2C06">
      <w:pPr>
        <w:pStyle w:val="a3"/>
        <w:spacing w:before="0" w:beforeAutospacing="0" w:after="200" w:afterAutospacing="0"/>
        <w:ind w:firstLine="547"/>
        <w:divId w:val="569002537"/>
        <w:rPr>
          <w:sz w:val="20"/>
          <w:szCs w:val="20"/>
        </w:rPr>
      </w:pPr>
      <w:r>
        <w:rPr>
          <w:sz w:val="20"/>
          <w:szCs w:val="20"/>
        </w:rPr>
        <w:t>Collaborations with biopharmaceutical companies and other third parties often are terminated or a</w:t>
      </w:r>
      <w:r>
        <w:rPr>
          <w:sz w:val="20"/>
          <w:szCs w:val="20"/>
        </w:rPr>
        <w:t>llowed to expire by the other party. Any such termination or expiration would adversely affect us financially and could harm our business reputation. Any collaboration may pose a number of risks, including the following:</w:t>
      </w:r>
    </w:p>
    <w:p w:rsidR="00000000" w:rsidRDefault="00FF2C06">
      <w:pPr>
        <w:ind w:left="547" w:hanging="360"/>
        <w:divId w:val="1588535530"/>
        <w:rPr>
          <w:rFonts w:eastAsia="Times New Roman"/>
          <w:sz w:val="20"/>
          <w:szCs w:val="20"/>
        </w:rPr>
      </w:pPr>
      <w:r>
        <w:rPr>
          <w:rFonts w:eastAsia="Times New Roman"/>
          <w:sz w:val="20"/>
          <w:szCs w:val="20"/>
        </w:rPr>
        <w:t>●</w:t>
      </w:r>
      <w:r>
        <w:rPr>
          <w:rFonts w:eastAsia="Times New Roman"/>
          <w:sz w:val="20"/>
          <w:szCs w:val="20"/>
        </w:rPr>
        <w:t>collaborators may not perform thei</w:t>
      </w:r>
      <w:r>
        <w:rPr>
          <w:rFonts w:eastAsia="Times New Roman"/>
          <w:sz w:val="20"/>
          <w:szCs w:val="20"/>
        </w:rPr>
        <w:t>r obligations as expected;</w:t>
      </w:r>
    </w:p>
    <w:p w:rsidR="00000000" w:rsidRDefault="00FF2C06">
      <w:pPr>
        <w:ind w:left="547" w:hanging="360"/>
        <w:divId w:val="1199127627"/>
        <w:rPr>
          <w:rFonts w:eastAsia="Times New Roman"/>
          <w:sz w:val="20"/>
          <w:szCs w:val="20"/>
        </w:rPr>
      </w:pPr>
      <w:r>
        <w:rPr>
          <w:rFonts w:eastAsia="Times New Roman"/>
          <w:sz w:val="20"/>
          <w:szCs w:val="20"/>
        </w:rPr>
        <w:t>●</w:t>
      </w:r>
      <w:r>
        <w:rPr>
          <w:rFonts w:eastAsia="Times New Roman"/>
          <w:sz w:val="20"/>
          <w:szCs w:val="20"/>
        </w:rPr>
        <w:t>collaborators may not pursue development and commercialization of any product candidates that achieve regulatory approval or may elect not to continue or renew development or commercialization programs based on clinical trial re</w:t>
      </w:r>
      <w:r>
        <w:rPr>
          <w:rFonts w:eastAsia="Times New Roman"/>
          <w:sz w:val="20"/>
          <w:szCs w:val="20"/>
        </w:rPr>
        <w:t>sults, changes in the collaborators’ strategic focus or available funding, or external factors, such as an acquisition, that divert resources or create competing priorities;</w:t>
      </w:r>
    </w:p>
    <w:p w:rsidR="00000000" w:rsidRDefault="00FF2C06">
      <w:pPr>
        <w:ind w:left="547" w:hanging="360"/>
        <w:divId w:val="579367688"/>
        <w:rPr>
          <w:rFonts w:eastAsia="Times New Roman"/>
          <w:sz w:val="20"/>
          <w:szCs w:val="20"/>
        </w:rPr>
      </w:pPr>
      <w:r>
        <w:rPr>
          <w:rFonts w:eastAsia="Times New Roman"/>
          <w:sz w:val="20"/>
          <w:szCs w:val="20"/>
        </w:rPr>
        <w:t>●</w:t>
      </w:r>
      <w:r>
        <w:rPr>
          <w:rFonts w:eastAsia="Times New Roman"/>
          <w:sz w:val="20"/>
          <w:szCs w:val="20"/>
        </w:rPr>
        <w:t>collaborators may delay clinical trials, provide insufficient funding for a clini</w:t>
      </w:r>
      <w:r>
        <w:rPr>
          <w:rFonts w:eastAsia="Times New Roman"/>
          <w:sz w:val="20"/>
          <w:szCs w:val="20"/>
        </w:rPr>
        <w:t>cal trial program, stop a clinical trial or abandon a product candidate, repeat or conduct new clinical trials or require a new formulation of a product candidate for clinical testing;</w:t>
      </w:r>
    </w:p>
    <w:p w:rsidR="00000000" w:rsidRDefault="00FF2C06">
      <w:pPr>
        <w:ind w:left="547" w:hanging="360"/>
        <w:divId w:val="739063444"/>
        <w:rPr>
          <w:rFonts w:eastAsia="Times New Roman"/>
          <w:sz w:val="20"/>
          <w:szCs w:val="20"/>
        </w:rPr>
      </w:pPr>
      <w:r>
        <w:rPr>
          <w:rFonts w:eastAsia="Times New Roman"/>
          <w:sz w:val="20"/>
          <w:szCs w:val="20"/>
        </w:rPr>
        <w:t>●</w:t>
      </w:r>
      <w:r>
        <w:rPr>
          <w:rFonts w:eastAsia="Times New Roman"/>
          <w:sz w:val="20"/>
          <w:szCs w:val="20"/>
        </w:rPr>
        <w:t>collaborators could fail to make timely regulatory submissions for a p</w:t>
      </w:r>
      <w:r>
        <w:rPr>
          <w:rFonts w:eastAsia="Times New Roman"/>
          <w:sz w:val="20"/>
          <w:szCs w:val="20"/>
        </w:rPr>
        <w:t>roduct candidate;</w:t>
      </w:r>
    </w:p>
    <w:p w:rsidR="00000000" w:rsidRDefault="00FF2C06">
      <w:pPr>
        <w:ind w:left="547" w:hanging="360"/>
        <w:divId w:val="1974409680"/>
        <w:rPr>
          <w:rFonts w:eastAsia="Times New Roman"/>
          <w:sz w:val="20"/>
          <w:szCs w:val="20"/>
        </w:rPr>
      </w:pPr>
      <w:r>
        <w:rPr>
          <w:rFonts w:eastAsia="Times New Roman"/>
          <w:sz w:val="20"/>
          <w:szCs w:val="20"/>
        </w:rPr>
        <w:t>●</w:t>
      </w:r>
      <w:r>
        <w:rPr>
          <w:rFonts w:eastAsia="Times New Roman"/>
          <w:sz w:val="20"/>
          <w:szCs w:val="20"/>
        </w:rPr>
        <w:t>collaborators may not comply with all applicable regulatory requirements or may fail to report safety data in accordance with all applicable regulatory requirements;</w:t>
      </w:r>
    </w:p>
    <w:p w:rsidR="00000000" w:rsidRDefault="00FF2C06">
      <w:pPr>
        <w:ind w:left="547" w:hanging="360"/>
        <w:divId w:val="1557472666"/>
        <w:rPr>
          <w:rFonts w:eastAsia="Times New Roman"/>
          <w:sz w:val="20"/>
          <w:szCs w:val="20"/>
        </w:rPr>
      </w:pPr>
      <w:r>
        <w:rPr>
          <w:rFonts w:eastAsia="Times New Roman"/>
          <w:sz w:val="20"/>
          <w:szCs w:val="20"/>
        </w:rPr>
        <w:t>●</w:t>
      </w:r>
      <w:r>
        <w:rPr>
          <w:rFonts w:eastAsia="Times New Roman"/>
          <w:sz w:val="20"/>
          <w:szCs w:val="20"/>
        </w:rPr>
        <w:t>collaborators could independently develop, or develop with third parti</w:t>
      </w:r>
      <w:r>
        <w:rPr>
          <w:rFonts w:eastAsia="Times New Roman"/>
          <w:sz w:val="20"/>
          <w:szCs w:val="20"/>
        </w:rPr>
        <w:t>es, products that compete directly or indirectly with our products or product candidates if the collaborators believe that competitive products are more likely to be successfully developed or can be commercialized under terms that are more economically att</w:t>
      </w:r>
      <w:r>
        <w:rPr>
          <w:rFonts w:eastAsia="Times New Roman"/>
          <w:sz w:val="20"/>
          <w:szCs w:val="20"/>
        </w:rPr>
        <w:t>ractive than ours;</w:t>
      </w:r>
    </w:p>
    <w:p w:rsidR="00000000" w:rsidRDefault="00FF2C06">
      <w:pPr>
        <w:pStyle w:val="a3"/>
        <w:spacing w:before="480" w:beforeAutospacing="0" w:after="0" w:afterAutospacing="0"/>
        <w:jc w:val="center"/>
        <w:divId w:val="350647043"/>
        <w:rPr>
          <w:sz w:val="20"/>
          <w:szCs w:val="20"/>
        </w:rPr>
      </w:pPr>
      <w:r>
        <w:rPr>
          <w:sz w:val="20"/>
          <w:szCs w:val="20"/>
        </w:rPr>
        <w:t>56</w:t>
      </w:r>
    </w:p>
    <w:p w:rsidR="00000000" w:rsidRDefault="00FF2C06">
      <w:pPr>
        <w:pStyle w:val="a3"/>
        <w:spacing w:before="0" w:beforeAutospacing="0" w:after="600" w:afterAutospacing="0"/>
        <w:divId w:val="1861503976"/>
        <w:rPr>
          <w:sz w:val="20"/>
          <w:szCs w:val="20"/>
        </w:rPr>
      </w:pPr>
      <w:hyperlink w:anchor="TOC" w:history="1">
        <w:r>
          <w:rPr>
            <w:rStyle w:val="a4"/>
            <w:sz w:val="20"/>
            <w:szCs w:val="20"/>
          </w:rPr>
          <w:t>Table of Contents</w:t>
        </w:r>
      </w:hyperlink>
    </w:p>
    <w:p w:rsidR="00000000" w:rsidRDefault="00FF2C06">
      <w:pPr>
        <w:ind w:left="547" w:hanging="360"/>
        <w:divId w:val="868446378"/>
        <w:rPr>
          <w:rFonts w:eastAsia="Times New Roman"/>
          <w:sz w:val="20"/>
          <w:szCs w:val="20"/>
        </w:rPr>
      </w:pPr>
      <w:r>
        <w:rPr>
          <w:rFonts w:eastAsia="Times New Roman"/>
          <w:sz w:val="20"/>
          <w:szCs w:val="20"/>
        </w:rPr>
        <w:t>●</w:t>
      </w:r>
      <w:r>
        <w:rPr>
          <w:rFonts w:eastAsia="Times New Roman"/>
          <w:sz w:val="20"/>
          <w:szCs w:val="20"/>
        </w:rPr>
        <w:t>product candidates discovered in collaboration with us may be viewed by our collaborators as competitive with their own product candidates or products, which may cause collaborators to ceas</w:t>
      </w:r>
      <w:r>
        <w:rPr>
          <w:rFonts w:eastAsia="Times New Roman"/>
          <w:sz w:val="20"/>
          <w:szCs w:val="20"/>
        </w:rPr>
        <w:t>e to devote resources to the commercialization of our product candidates;</w:t>
      </w:r>
    </w:p>
    <w:p w:rsidR="00000000" w:rsidRDefault="00FF2C06">
      <w:pPr>
        <w:ind w:left="547" w:hanging="360"/>
        <w:divId w:val="1201355222"/>
        <w:rPr>
          <w:rFonts w:eastAsia="Times New Roman"/>
          <w:sz w:val="20"/>
          <w:szCs w:val="20"/>
        </w:rPr>
      </w:pPr>
      <w:r>
        <w:rPr>
          <w:rFonts w:eastAsia="Times New Roman"/>
          <w:sz w:val="20"/>
          <w:szCs w:val="20"/>
        </w:rPr>
        <w:t>●</w:t>
      </w:r>
      <w:r>
        <w:rPr>
          <w:rFonts w:eastAsia="Times New Roman"/>
          <w:sz w:val="20"/>
          <w:szCs w:val="20"/>
        </w:rPr>
        <w:t xml:space="preserve">a collaborator with marketing and distribution rights to one or more of our product candidates that achieve regulatory approval may not commit sufficient resources to the marketing </w:t>
      </w:r>
      <w:r>
        <w:rPr>
          <w:rFonts w:eastAsia="Times New Roman"/>
          <w:sz w:val="20"/>
          <w:szCs w:val="20"/>
        </w:rPr>
        <w:t>and distribution of such product candidate or product;</w:t>
      </w:r>
    </w:p>
    <w:p w:rsidR="00000000" w:rsidRDefault="00FF2C06">
      <w:pPr>
        <w:ind w:left="547" w:hanging="360"/>
        <w:divId w:val="1418206699"/>
        <w:rPr>
          <w:rFonts w:eastAsia="Times New Roman"/>
          <w:sz w:val="20"/>
          <w:szCs w:val="20"/>
        </w:rPr>
      </w:pPr>
      <w:r>
        <w:rPr>
          <w:rFonts w:eastAsia="Times New Roman"/>
          <w:sz w:val="20"/>
          <w:szCs w:val="20"/>
        </w:rPr>
        <w:t>●</w:t>
      </w:r>
      <w:r>
        <w:rPr>
          <w:rFonts w:eastAsia="Times New Roman"/>
          <w:sz w:val="20"/>
          <w:szCs w:val="20"/>
        </w:rPr>
        <w:t>disagreements with collaborators, including disagreements over proprietary rights, contract interpretation or the preferred course of development, might cause delays or termination of the research, de</w:t>
      </w:r>
      <w:r>
        <w:rPr>
          <w:rFonts w:eastAsia="Times New Roman"/>
          <w:sz w:val="20"/>
          <w:szCs w:val="20"/>
        </w:rPr>
        <w:t>velopment or commercialization of product candidates, might lead to additional responsibilities for us with respect to product candidates, or might result in litigation or arbitration, any of which would be time consuming and expensive;</w:t>
      </w:r>
    </w:p>
    <w:p w:rsidR="00000000" w:rsidRDefault="00FF2C06">
      <w:pPr>
        <w:ind w:left="547" w:hanging="360"/>
        <w:divId w:val="1640915407"/>
        <w:rPr>
          <w:rFonts w:eastAsia="Times New Roman"/>
          <w:sz w:val="20"/>
          <w:szCs w:val="20"/>
        </w:rPr>
      </w:pPr>
      <w:r>
        <w:rPr>
          <w:rFonts w:eastAsia="Times New Roman"/>
          <w:sz w:val="20"/>
          <w:szCs w:val="20"/>
        </w:rPr>
        <w:t>●</w:t>
      </w:r>
      <w:r>
        <w:rPr>
          <w:rFonts w:eastAsia="Times New Roman"/>
          <w:sz w:val="20"/>
          <w:szCs w:val="20"/>
        </w:rPr>
        <w:t xml:space="preserve">collaborators may </w:t>
      </w:r>
      <w:r>
        <w:rPr>
          <w:rFonts w:eastAsia="Times New Roman"/>
          <w:sz w:val="20"/>
          <w:szCs w:val="20"/>
        </w:rPr>
        <w:t>not properly maintain or defend our intellectual property rights or may use our proprietary information in such a way as to invite litigation that could jeopardize or invalidate our intellectual property or proprietary information or expose us to potential</w:t>
      </w:r>
      <w:r>
        <w:rPr>
          <w:rFonts w:eastAsia="Times New Roman"/>
          <w:sz w:val="20"/>
          <w:szCs w:val="20"/>
        </w:rPr>
        <w:t xml:space="preserve"> litigation;</w:t>
      </w:r>
    </w:p>
    <w:p w:rsidR="00000000" w:rsidRDefault="00FF2C06">
      <w:pPr>
        <w:ind w:left="547" w:hanging="360"/>
        <w:divId w:val="1744907174"/>
        <w:rPr>
          <w:rFonts w:eastAsia="Times New Roman"/>
          <w:sz w:val="20"/>
          <w:szCs w:val="20"/>
        </w:rPr>
      </w:pPr>
      <w:r>
        <w:rPr>
          <w:rFonts w:eastAsia="Times New Roman"/>
          <w:sz w:val="20"/>
          <w:szCs w:val="20"/>
        </w:rPr>
        <w:t>●</w:t>
      </w:r>
      <w:r>
        <w:rPr>
          <w:rFonts w:eastAsia="Times New Roman"/>
          <w:sz w:val="20"/>
          <w:szCs w:val="20"/>
        </w:rPr>
        <w:t>collaborators may infringe the intellectual property rights of third parties, which may expose us to litigation and potential liability;</w:t>
      </w:r>
    </w:p>
    <w:p w:rsidR="00000000" w:rsidRDefault="00FF2C06">
      <w:pPr>
        <w:ind w:left="547" w:hanging="360"/>
        <w:divId w:val="463083579"/>
        <w:rPr>
          <w:rFonts w:eastAsia="Times New Roman"/>
          <w:sz w:val="20"/>
          <w:szCs w:val="20"/>
        </w:rPr>
      </w:pPr>
      <w:r>
        <w:rPr>
          <w:rFonts w:eastAsia="Times New Roman"/>
          <w:sz w:val="20"/>
          <w:szCs w:val="20"/>
        </w:rPr>
        <w:t>●</w:t>
      </w:r>
      <w:r>
        <w:rPr>
          <w:rFonts w:eastAsia="Times New Roman"/>
          <w:sz w:val="20"/>
          <w:szCs w:val="20"/>
        </w:rPr>
        <w:t>collaborators may be involved in a business combination, resulting in the decreased emphasis or terminat</w:t>
      </w:r>
      <w:r>
        <w:rPr>
          <w:rFonts w:eastAsia="Times New Roman"/>
          <w:sz w:val="20"/>
          <w:szCs w:val="20"/>
        </w:rPr>
        <w:t>ion of development or commercialization of any product candidate subject to the collaboration agreement; and</w:t>
      </w:r>
    </w:p>
    <w:p w:rsidR="00000000" w:rsidRDefault="00FF2C06">
      <w:pPr>
        <w:ind w:left="547" w:hanging="360"/>
        <w:divId w:val="207647775"/>
        <w:rPr>
          <w:rFonts w:eastAsia="Times New Roman"/>
          <w:sz w:val="20"/>
          <w:szCs w:val="20"/>
        </w:rPr>
      </w:pPr>
      <w:r>
        <w:rPr>
          <w:rFonts w:eastAsia="Times New Roman"/>
          <w:sz w:val="20"/>
          <w:szCs w:val="20"/>
        </w:rPr>
        <w:t>●</w:t>
      </w:r>
      <w:r>
        <w:rPr>
          <w:rFonts w:eastAsia="Times New Roman"/>
          <w:sz w:val="20"/>
          <w:szCs w:val="20"/>
        </w:rPr>
        <w:t xml:space="preserve">termination of a collaboration agreement may make it more difficult to attract new collaborators and our and our products’ or product candidates’ </w:t>
      </w:r>
      <w:r>
        <w:rPr>
          <w:rFonts w:eastAsia="Times New Roman"/>
          <w:sz w:val="20"/>
          <w:szCs w:val="20"/>
        </w:rPr>
        <w:t>reputation in the medical, business, and financial communities could be adversely affected.</w:t>
      </w:r>
    </w:p>
    <w:p w:rsidR="00000000" w:rsidRDefault="00FF2C06">
      <w:pPr>
        <w:pStyle w:val="a3"/>
        <w:spacing w:before="0" w:beforeAutospacing="0" w:after="200" w:afterAutospacing="0"/>
        <w:ind w:firstLine="547"/>
        <w:divId w:val="2024743721"/>
        <w:rPr>
          <w:sz w:val="20"/>
          <w:szCs w:val="20"/>
        </w:rPr>
      </w:pPr>
      <w:r>
        <w:rPr>
          <w:sz w:val="20"/>
          <w:szCs w:val="20"/>
        </w:rPr>
        <w:t>If any third-party collaborator breaches or terminates its agreement with us or fails to conduct its activities in a timely manner, the commercialization of our products under development could be delayed or blocked completely. It is possible that our coll</w:t>
      </w:r>
      <w:r>
        <w:rPr>
          <w:sz w:val="20"/>
          <w:szCs w:val="20"/>
        </w:rPr>
        <w:t>aborators will change their strategic focus, pursue alternative technologies or develop alternative products, either on their own or in collaboration with others, as a means for developing treatments for the diseases targeted by our collaborative programs.</w:t>
      </w:r>
      <w:r>
        <w:rPr>
          <w:sz w:val="20"/>
          <w:szCs w:val="20"/>
        </w:rPr>
        <w:t xml:space="preserve"> The effectiveness of our collaborators in marketing our products will also affect our revenues and earnings.</w:t>
      </w:r>
    </w:p>
    <w:p w:rsidR="00000000" w:rsidRDefault="00FF2C06">
      <w:pPr>
        <w:pStyle w:val="a3"/>
        <w:spacing w:before="0" w:beforeAutospacing="0" w:after="200" w:afterAutospacing="0"/>
        <w:ind w:firstLine="547"/>
        <w:divId w:val="2024743721"/>
        <w:rPr>
          <w:sz w:val="20"/>
          <w:szCs w:val="20"/>
        </w:rPr>
      </w:pPr>
      <w:r>
        <w:rPr>
          <w:sz w:val="20"/>
          <w:szCs w:val="20"/>
        </w:rPr>
        <w:t>Our collaborators will also be required to comply with the applicable regulatory requirements, and, as such, are subject to the same risks as we a</w:t>
      </w:r>
      <w:r>
        <w:rPr>
          <w:sz w:val="20"/>
          <w:szCs w:val="20"/>
        </w:rPr>
        <w:t>re. If they do not or are not able to comply with these requirements, we may not be able to use the data generated through their studies to support our future investigational or marketing applications. Collaborator noncompliance may also expose them and us</w:t>
      </w:r>
      <w:r>
        <w:rPr>
          <w:sz w:val="20"/>
          <w:szCs w:val="20"/>
        </w:rPr>
        <w:t xml:space="preserve"> to regulatory enforcement actions.</w:t>
      </w:r>
    </w:p>
    <w:p w:rsidR="00000000" w:rsidRDefault="00FF2C06">
      <w:pPr>
        <w:pStyle w:val="a3"/>
        <w:spacing w:before="0" w:beforeAutospacing="0" w:after="200" w:afterAutospacing="0"/>
        <w:ind w:firstLine="547"/>
        <w:divId w:val="2024743721"/>
        <w:rPr>
          <w:sz w:val="20"/>
          <w:szCs w:val="20"/>
        </w:rPr>
      </w:pPr>
      <w:r>
        <w:rPr>
          <w:sz w:val="20"/>
          <w:szCs w:val="20"/>
        </w:rPr>
        <w:t>No assurance can be given that we will be able to successfully collaborate with our partners as anticipated and that our current or future collaborations and clinical trials will be completed as contemplated, support the</w:t>
      </w:r>
      <w:r>
        <w:rPr>
          <w:sz w:val="20"/>
          <w:szCs w:val="20"/>
        </w:rPr>
        <w:t xml:space="preserve"> regulatory approval of our current product candidates, or result in any viable additional product candidates. For instance, to the extent that these collaborators conduct their studies with manufacturing processes that are different than ours or product t</w:t>
      </w:r>
      <w:r>
        <w:rPr>
          <w:sz w:val="20"/>
          <w:szCs w:val="20"/>
        </w:rPr>
        <w:t>hat is different than ours, the results generated from their studies may not be seen in our current or future studies that employ our manufacturing processes and the results generated from their studies may not support approval of our product candidates.</w:t>
      </w:r>
    </w:p>
    <w:p w:rsidR="00000000" w:rsidRDefault="00FF2C06">
      <w:pPr>
        <w:pStyle w:val="a3"/>
        <w:spacing w:before="0" w:beforeAutospacing="0" w:after="200" w:afterAutospacing="0"/>
        <w:ind w:firstLine="547"/>
        <w:divId w:val="2024743721"/>
        <w:rPr>
          <w:sz w:val="20"/>
          <w:szCs w:val="20"/>
        </w:rPr>
      </w:pPr>
      <w:r>
        <w:rPr>
          <w:sz w:val="20"/>
          <w:szCs w:val="20"/>
        </w:rPr>
        <w:t>I</w:t>
      </w:r>
      <w:r>
        <w:rPr>
          <w:sz w:val="20"/>
          <w:szCs w:val="20"/>
        </w:rPr>
        <w:t>f we are unable to obtain or maintain suitable collaborators on a timely basis, on acceptable terms, or at all, we may have to curtail the development of a product candidate, reduce or delay its development program or one or more of our other development p</w:t>
      </w:r>
      <w:r>
        <w:rPr>
          <w:sz w:val="20"/>
          <w:szCs w:val="20"/>
        </w:rPr>
        <w:t>rograms, delay its potential commercialization or reduce the scope of any sales or marketing activities, or increase our expenditures and undertake development or commercialization activities at our own expense.</w:t>
      </w:r>
    </w:p>
    <w:p w:rsidR="00000000" w:rsidRDefault="00FF2C06">
      <w:pPr>
        <w:pStyle w:val="a3"/>
        <w:spacing w:before="0" w:beforeAutospacing="0" w:after="200" w:afterAutospacing="0"/>
        <w:ind w:firstLine="547"/>
        <w:divId w:val="2024743721"/>
        <w:rPr>
          <w:sz w:val="20"/>
          <w:szCs w:val="20"/>
        </w:rPr>
      </w:pPr>
      <w:r>
        <w:rPr>
          <w:b/>
          <w:bCs/>
          <w:i/>
          <w:iCs/>
          <w:sz w:val="20"/>
          <w:szCs w:val="20"/>
        </w:rPr>
        <w:t xml:space="preserve">Development of a product candidate intended </w:t>
      </w:r>
      <w:r>
        <w:rPr>
          <w:b/>
          <w:bCs/>
          <w:i/>
          <w:iCs/>
          <w:sz w:val="20"/>
          <w:szCs w:val="20"/>
        </w:rPr>
        <w:t>for use in combination with an already approved product may present more or different challenges than development of a product candidate for use as a single agent.</w:t>
      </w:r>
    </w:p>
    <w:p w:rsidR="00000000" w:rsidRDefault="00FF2C06">
      <w:pPr>
        <w:pStyle w:val="a3"/>
        <w:spacing w:before="0" w:beforeAutospacing="0" w:after="200" w:afterAutospacing="0"/>
        <w:ind w:firstLine="547"/>
        <w:divId w:val="2024743721"/>
        <w:rPr>
          <w:sz w:val="20"/>
          <w:szCs w:val="20"/>
        </w:rPr>
      </w:pPr>
      <w:r>
        <w:rPr>
          <w:sz w:val="20"/>
          <w:szCs w:val="20"/>
        </w:rPr>
        <w:t>We are currently developing lifileucel as part of a regimen which uses IL-2. We and our coll</w:t>
      </w:r>
      <w:r>
        <w:rPr>
          <w:sz w:val="20"/>
          <w:szCs w:val="20"/>
        </w:rPr>
        <w:t>aborators are also studying TIL therapy along with other products, such as pembrolizumab, ipilimumab and nivolumab. The development of product candidates for use in combination with another product may present challenges. For example, the FDA may require u</w:t>
      </w:r>
      <w:r>
        <w:rPr>
          <w:sz w:val="20"/>
          <w:szCs w:val="20"/>
        </w:rPr>
        <w:t xml:space="preserve">s to use more complex clinical trial designs, in order to evaluate the contribution of each product and product candidate to any observed effects. It is possible that the results of these trials could show that any positive results are attributable to the </w:t>
      </w:r>
      <w:r>
        <w:rPr>
          <w:sz w:val="20"/>
          <w:szCs w:val="20"/>
        </w:rPr>
        <w:t>already approved product. Moreover, following product approval, the FDA may require that products used in conjunction with each other be cross labeled for combined use. To the extent that we do not have rights to already approved products, this may require</w:t>
      </w:r>
      <w:r>
        <w:rPr>
          <w:sz w:val="20"/>
          <w:szCs w:val="20"/>
        </w:rPr>
        <w:t xml:space="preserve"> us to work with another company to satisfy such a requirement. Moreover, developments related to the already approved products may impact our clinical trials for the combination as well as our commercial prospects should we receive marketing approval. Suc</w:t>
      </w:r>
      <w:r>
        <w:rPr>
          <w:sz w:val="20"/>
          <w:szCs w:val="20"/>
        </w:rPr>
        <w:t>h developments may include changes to the approved product’s safety or efficacy profile, changes to the availability of the approved product, and changes to the standard of care.</w:t>
      </w:r>
    </w:p>
    <w:p w:rsidR="00000000" w:rsidRDefault="00FF2C06">
      <w:pPr>
        <w:pStyle w:val="a3"/>
        <w:spacing w:before="480" w:beforeAutospacing="0" w:after="0" w:afterAutospacing="0"/>
        <w:jc w:val="center"/>
        <w:divId w:val="1975401785"/>
        <w:rPr>
          <w:sz w:val="20"/>
          <w:szCs w:val="20"/>
        </w:rPr>
      </w:pPr>
      <w:r>
        <w:rPr>
          <w:sz w:val="20"/>
          <w:szCs w:val="20"/>
        </w:rPr>
        <w:t>57</w:t>
      </w:r>
    </w:p>
    <w:p w:rsidR="00000000" w:rsidRDefault="00FF2C06">
      <w:pPr>
        <w:pStyle w:val="a3"/>
        <w:spacing w:before="0" w:beforeAutospacing="0" w:after="600" w:afterAutospacing="0"/>
        <w:divId w:val="1108738426"/>
        <w:rPr>
          <w:sz w:val="20"/>
          <w:szCs w:val="20"/>
        </w:rPr>
      </w:pPr>
      <w:hyperlink w:anchor="TOC" w:history="1">
        <w:r>
          <w:rPr>
            <w:rStyle w:val="a4"/>
            <w:sz w:val="20"/>
            <w:szCs w:val="20"/>
          </w:rPr>
          <w:t>Table of Contents</w:t>
        </w:r>
      </w:hyperlink>
    </w:p>
    <w:p w:rsidR="00000000" w:rsidRDefault="00FF2C06">
      <w:pPr>
        <w:pStyle w:val="a3"/>
        <w:spacing w:before="0" w:beforeAutospacing="0" w:after="200" w:afterAutospacing="0"/>
        <w:ind w:firstLine="547"/>
        <w:divId w:val="639656919"/>
        <w:rPr>
          <w:sz w:val="20"/>
          <w:szCs w:val="20"/>
        </w:rPr>
      </w:pPr>
      <w:r>
        <w:rPr>
          <w:b/>
          <w:bCs/>
          <w:i/>
          <w:iCs/>
          <w:sz w:val="20"/>
          <w:szCs w:val="20"/>
        </w:rPr>
        <w:t>A Fast Track product designati</w:t>
      </w:r>
      <w:r>
        <w:rPr>
          <w:b/>
          <w:bCs/>
          <w:i/>
          <w:iCs/>
          <w:sz w:val="20"/>
          <w:szCs w:val="20"/>
        </w:rPr>
        <w:t xml:space="preserve">on, Breakthrough Therapy designation or other designation to facilitate product candidate development may not lead to faster development or a faster regulatory review or approval process, and it does not increase the likelihood that our product candidates </w:t>
      </w:r>
      <w:r>
        <w:rPr>
          <w:b/>
          <w:bCs/>
          <w:i/>
          <w:iCs/>
          <w:sz w:val="20"/>
          <w:szCs w:val="20"/>
        </w:rPr>
        <w:t>will receive marketing approval.</w:t>
      </w:r>
    </w:p>
    <w:p w:rsidR="00000000" w:rsidRDefault="00FF2C06">
      <w:pPr>
        <w:pStyle w:val="a3"/>
        <w:spacing w:before="0" w:beforeAutospacing="0" w:after="200" w:afterAutospacing="0"/>
        <w:ind w:firstLine="547"/>
        <w:divId w:val="639656919"/>
        <w:rPr>
          <w:sz w:val="20"/>
          <w:szCs w:val="20"/>
        </w:rPr>
      </w:pPr>
      <w:r>
        <w:rPr>
          <w:sz w:val="20"/>
          <w:szCs w:val="20"/>
        </w:rPr>
        <w:t>We were granted Fast Track designation by the FDA for lifileucel in metastatic melanoma and metastatic cervical cancer. We were granted Breakthrough Therapy designation, or BTD, for lifileucel for metastatic cervical cancer</w:t>
      </w:r>
      <w:r>
        <w:rPr>
          <w:sz w:val="20"/>
          <w:szCs w:val="20"/>
        </w:rPr>
        <w:t xml:space="preserve"> and Regenerative Medicine Advanced Therapy, or RMAT, designation for lifileucel in advanced melanoma. We may seek Fast Track or Breakthrough designation for other of our current or future product candidates. Receipt of a designation to facilitate product </w:t>
      </w:r>
      <w:r>
        <w:rPr>
          <w:sz w:val="20"/>
          <w:szCs w:val="20"/>
        </w:rPr>
        <w:t>candidate development is within the discretion of the FDA. Accordingly, even if we believe one of our product candidates meets the criteria for a designation, the FDA may disagree. In any event, the receipt of such a designation for a product candidate may</w:t>
      </w:r>
      <w:r>
        <w:rPr>
          <w:sz w:val="20"/>
          <w:szCs w:val="20"/>
        </w:rPr>
        <w:t xml:space="preserve"> not result in a faster development process, review, or approval compared to product candidates considered for approval under conventional the FDA procedures and does not assure ultimate marketing approval by the FDA. In addition, the FDA may later decide </w:t>
      </w:r>
      <w:r>
        <w:rPr>
          <w:sz w:val="20"/>
          <w:szCs w:val="20"/>
        </w:rPr>
        <w:t>that the products no longer meet the designation conditions.</w:t>
      </w:r>
    </w:p>
    <w:p w:rsidR="00000000" w:rsidRDefault="00FF2C06">
      <w:pPr>
        <w:pStyle w:val="a3"/>
        <w:spacing w:before="0" w:beforeAutospacing="0" w:after="200" w:afterAutospacing="0"/>
        <w:ind w:firstLine="547"/>
        <w:divId w:val="639656919"/>
        <w:rPr>
          <w:sz w:val="20"/>
          <w:szCs w:val="20"/>
        </w:rPr>
      </w:pPr>
      <w:r>
        <w:rPr>
          <w:b/>
          <w:bCs/>
          <w:i/>
          <w:iCs/>
          <w:sz w:val="20"/>
          <w:szCs w:val="20"/>
        </w:rPr>
        <w:t>While lifileucel has received orphan drug designation for melanoma stages IIB-IV and for cervical cancer patients with tumors greater than 2 cm, there is no guarantee that we will be able to main</w:t>
      </w:r>
      <w:r>
        <w:rPr>
          <w:b/>
          <w:bCs/>
          <w:i/>
          <w:iCs/>
          <w:sz w:val="20"/>
          <w:szCs w:val="20"/>
        </w:rPr>
        <w:t>tain this designation, receive these designations for any of our other product candidates, or receive or maintain any corresponding benefits, including periods of exclusivity.</w:t>
      </w:r>
    </w:p>
    <w:p w:rsidR="00000000" w:rsidRDefault="00FF2C06">
      <w:pPr>
        <w:pStyle w:val="a3"/>
        <w:spacing w:before="0" w:beforeAutospacing="0" w:after="200" w:afterAutospacing="0"/>
        <w:ind w:firstLine="547"/>
        <w:divId w:val="639656919"/>
        <w:rPr>
          <w:sz w:val="20"/>
          <w:szCs w:val="20"/>
        </w:rPr>
      </w:pPr>
      <w:r>
        <w:rPr>
          <w:sz w:val="20"/>
          <w:szCs w:val="20"/>
        </w:rPr>
        <w:t>We received orphan drug designation in the United States for lifileucel to treat</w:t>
      </w:r>
      <w:r>
        <w:rPr>
          <w:sz w:val="20"/>
          <w:szCs w:val="20"/>
        </w:rPr>
        <w:t xml:space="preserve"> malignant melanoma stages IIB-IV and cervical cancer patients with tumors greater than 2 cm. We may also seek orphan drug designation for our other product candidates, as appropriate. Orphan designation, however, may be lost if the indication for which we</w:t>
      </w:r>
      <w:r>
        <w:rPr>
          <w:sz w:val="20"/>
          <w:szCs w:val="20"/>
        </w:rPr>
        <w:t xml:space="preserve"> develop our designated product candidates do not meet the orphan criteria. Moreover, following product approval, orphan exclusivity may be lost if the FDA determines, among other reasons, that the request for designation was materially defective or if the</w:t>
      </w:r>
      <w:r>
        <w:rPr>
          <w:sz w:val="20"/>
          <w:szCs w:val="20"/>
        </w:rPr>
        <w:t xml:space="preserve"> manufacturer is unable to assure sufficient quantity of the product to meet the needs of patients with the rare disease or condition. Even if we obtain orphan exclusivity, that exclusivity may not effectively protect the product from competition because d</w:t>
      </w:r>
      <w:r>
        <w:rPr>
          <w:sz w:val="20"/>
          <w:szCs w:val="20"/>
        </w:rPr>
        <w:t>ifferent products can be approved for the same condition and the same product can be approved for different conditions. Even after an orphan product is approved, the FDA can subsequently approve a product containing the same principal molecular features fo</w:t>
      </w:r>
      <w:r>
        <w:rPr>
          <w:sz w:val="20"/>
          <w:szCs w:val="20"/>
        </w:rPr>
        <w:t>r the same condition if the FDA concludes that the later product is clinically superior in that it is shown to be safer or more effective or makes a major contribution to patient care.</w:t>
      </w:r>
    </w:p>
    <w:p w:rsidR="00000000" w:rsidRDefault="00FF2C06">
      <w:pPr>
        <w:pStyle w:val="a3"/>
        <w:spacing w:before="0" w:beforeAutospacing="0" w:after="200" w:afterAutospacing="0"/>
        <w:ind w:firstLine="547"/>
        <w:divId w:val="639656919"/>
        <w:rPr>
          <w:sz w:val="20"/>
          <w:szCs w:val="20"/>
        </w:rPr>
      </w:pPr>
      <w:r>
        <w:rPr>
          <w:sz w:val="20"/>
          <w:szCs w:val="20"/>
        </w:rPr>
        <w:t>Moreover, the FDA may grant orphan drug designations to multiple of the</w:t>
      </w:r>
      <w:r>
        <w:rPr>
          <w:sz w:val="20"/>
          <w:szCs w:val="20"/>
        </w:rPr>
        <w:t xml:space="preserve"> same products for the same indication. If another sponsor receives FDA approval for an orphan drug designated product that is the same as our product candidates and intended for the same indication before we do, we would be prevented from launching our pr</w:t>
      </w:r>
      <w:r>
        <w:rPr>
          <w:sz w:val="20"/>
          <w:szCs w:val="20"/>
        </w:rPr>
        <w:t>oduct in the United States for this indication for a period of at least 7 years.</w:t>
      </w:r>
    </w:p>
    <w:p w:rsidR="00000000" w:rsidRDefault="00FF2C06">
      <w:pPr>
        <w:pStyle w:val="a3"/>
        <w:spacing w:before="0" w:beforeAutospacing="0" w:after="200" w:afterAutospacing="0"/>
        <w:ind w:firstLine="547"/>
        <w:divId w:val="639656919"/>
        <w:rPr>
          <w:sz w:val="20"/>
          <w:szCs w:val="20"/>
        </w:rPr>
      </w:pPr>
      <w:r>
        <w:rPr>
          <w:sz w:val="20"/>
          <w:szCs w:val="20"/>
        </w:rPr>
        <w:t xml:space="preserve">In response to a court decision regarding the plain meaning of the exclusivity provision of the Orphan Drug Act, the FDA may undertake a reevaluation of aspects of its orphan </w:t>
      </w:r>
      <w:r>
        <w:rPr>
          <w:sz w:val="20"/>
          <w:szCs w:val="20"/>
        </w:rPr>
        <w:t>drug regulations and policies. We do not know if, when, or how the FDA may change the orphan drug regulations and policies, and it is uncertain how any changes might affect our business. Depending on what changes the FDA may make to its orphan drug regulat</w:t>
      </w:r>
      <w:r>
        <w:rPr>
          <w:sz w:val="20"/>
          <w:szCs w:val="20"/>
        </w:rPr>
        <w:t>ions and policies, our business, financial condition, results of operations, and prospects could be harmed.</w:t>
      </w:r>
    </w:p>
    <w:p w:rsidR="00000000" w:rsidRDefault="00FF2C06">
      <w:pPr>
        <w:pStyle w:val="a3"/>
        <w:spacing w:before="0" w:beforeAutospacing="0" w:after="200" w:afterAutospacing="0"/>
        <w:ind w:firstLine="547"/>
        <w:divId w:val="639656919"/>
        <w:rPr>
          <w:sz w:val="20"/>
          <w:szCs w:val="20"/>
        </w:rPr>
      </w:pPr>
      <w:r>
        <w:rPr>
          <w:b/>
          <w:bCs/>
          <w:i/>
          <w:iCs/>
          <w:sz w:val="20"/>
          <w:szCs w:val="20"/>
        </w:rPr>
        <w:t>As a condition of approval, the FDA may require that we implement various post-marketing requirements and conduct post-marketing studies, any of whi</w:t>
      </w:r>
      <w:r>
        <w:rPr>
          <w:b/>
          <w:bCs/>
          <w:i/>
          <w:iCs/>
          <w:sz w:val="20"/>
          <w:szCs w:val="20"/>
        </w:rPr>
        <w:t>ch would require a substantial investment of time, effort, and money, and which may limit our commercial prospects.</w:t>
      </w:r>
    </w:p>
    <w:p w:rsidR="00000000" w:rsidRDefault="00FF2C06">
      <w:pPr>
        <w:pStyle w:val="a3"/>
        <w:spacing w:before="0" w:beforeAutospacing="0" w:after="200" w:afterAutospacing="0"/>
        <w:ind w:firstLine="547"/>
        <w:divId w:val="639656919"/>
        <w:rPr>
          <w:sz w:val="20"/>
          <w:szCs w:val="20"/>
        </w:rPr>
      </w:pPr>
      <w:r>
        <w:rPr>
          <w:sz w:val="20"/>
          <w:szCs w:val="20"/>
        </w:rPr>
        <w:t>As a condition of biologic licensing, the FDA is authorized to require that sponsors of approved BLAs implement various post-market requirem</w:t>
      </w:r>
      <w:r>
        <w:rPr>
          <w:sz w:val="20"/>
          <w:szCs w:val="20"/>
        </w:rPr>
        <w:t>ents, including REMS and Phase 4 studies. For example, when the FDA approved Novartis’ Kymriah in August 2017, a CAR-T cell therapy for the treatment of patients up to 25 years of age with B-cell precursor acute lymphoblastic leukemia, or ALL, that is refr</w:t>
      </w:r>
      <w:r>
        <w:rPr>
          <w:sz w:val="20"/>
          <w:szCs w:val="20"/>
        </w:rPr>
        <w:t xml:space="preserve">actory or in second or later relapse, the FDA required significant post-marketing commitments, including a Phase 4 trial, revalidation of a test method, and a substantial REMS program that included, among other requirements, the certification of hospitals </w:t>
      </w:r>
      <w:r>
        <w:rPr>
          <w:sz w:val="20"/>
          <w:szCs w:val="20"/>
        </w:rPr>
        <w:t>and their associated clinics that dispense Kymriah, which certification includes a number of requirements, the implementation of a Kymriah training program, and limited distribution only to certified hospitals and their associated clinics. If we receive ap</w:t>
      </w:r>
      <w:r>
        <w:rPr>
          <w:sz w:val="20"/>
          <w:szCs w:val="20"/>
        </w:rPr>
        <w:t xml:space="preserve">proval of our product candidates, the FDA may determine that similar or additional post-approval requirements are necessary to ensure that our product candidates are safe, pure, and potent. To the extent that we are required to establish and implement any </w:t>
      </w:r>
      <w:r>
        <w:rPr>
          <w:sz w:val="20"/>
          <w:szCs w:val="20"/>
        </w:rPr>
        <w:t>post-approval requirements, we will likely need to invest a significant amount of time, effort, and money. Such post-approval requirements may also limit the commercial prospects of our product candidates.</w:t>
      </w:r>
    </w:p>
    <w:p w:rsidR="00000000" w:rsidRDefault="00FF2C06">
      <w:pPr>
        <w:pStyle w:val="a3"/>
        <w:spacing w:before="480" w:beforeAutospacing="0" w:after="0" w:afterAutospacing="0"/>
        <w:jc w:val="center"/>
        <w:divId w:val="1214121746"/>
        <w:rPr>
          <w:sz w:val="20"/>
          <w:szCs w:val="20"/>
        </w:rPr>
      </w:pPr>
      <w:r>
        <w:rPr>
          <w:sz w:val="20"/>
          <w:szCs w:val="20"/>
        </w:rPr>
        <w:t>58</w:t>
      </w:r>
    </w:p>
    <w:p w:rsidR="00000000" w:rsidRDefault="00FF2C06">
      <w:pPr>
        <w:pStyle w:val="a3"/>
        <w:spacing w:before="0" w:beforeAutospacing="0" w:after="600" w:afterAutospacing="0"/>
        <w:divId w:val="1056196676"/>
        <w:rPr>
          <w:sz w:val="20"/>
          <w:szCs w:val="20"/>
        </w:rPr>
      </w:pPr>
      <w:hyperlink w:anchor="TOC" w:history="1">
        <w:r>
          <w:rPr>
            <w:rStyle w:val="a4"/>
            <w:sz w:val="20"/>
            <w:szCs w:val="20"/>
          </w:rPr>
          <w:t>Table of Contents</w:t>
        </w:r>
      </w:hyperlink>
    </w:p>
    <w:p w:rsidR="00000000" w:rsidRDefault="00FF2C06">
      <w:pPr>
        <w:pStyle w:val="a3"/>
        <w:spacing w:before="0" w:beforeAutospacing="0" w:after="200" w:afterAutospacing="0"/>
        <w:ind w:firstLine="547"/>
        <w:divId w:val="429280998"/>
        <w:rPr>
          <w:sz w:val="20"/>
          <w:szCs w:val="20"/>
        </w:rPr>
      </w:pPr>
      <w:r>
        <w:rPr>
          <w:b/>
          <w:bCs/>
          <w:i/>
          <w:iCs/>
          <w:sz w:val="20"/>
          <w:szCs w:val="20"/>
        </w:rPr>
        <w:t xml:space="preserve">We </w:t>
      </w:r>
      <w:r>
        <w:rPr>
          <w:b/>
          <w:bCs/>
          <w:i/>
          <w:iCs/>
          <w:sz w:val="20"/>
          <w:szCs w:val="20"/>
        </w:rPr>
        <w:t>may be unable to establish effective marketing and sales capabilities or enter into agreements with third parties to market and sell our product candidates, if they are approved, and as a result, we may be unable to generate product revenues.</w:t>
      </w:r>
    </w:p>
    <w:p w:rsidR="00000000" w:rsidRDefault="00FF2C06">
      <w:pPr>
        <w:pStyle w:val="a3"/>
        <w:spacing w:before="0" w:beforeAutospacing="0" w:after="200" w:afterAutospacing="0"/>
        <w:ind w:firstLine="547"/>
        <w:divId w:val="429280998"/>
        <w:rPr>
          <w:sz w:val="20"/>
          <w:szCs w:val="20"/>
        </w:rPr>
      </w:pPr>
      <w:r>
        <w:rPr>
          <w:sz w:val="20"/>
          <w:szCs w:val="20"/>
        </w:rPr>
        <w:t xml:space="preserve">We currently </w:t>
      </w:r>
      <w:r>
        <w:rPr>
          <w:sz w:val="20"/>
          <w:szCs w:val="20"/>
        </w:rPr>
        <w:t xml:space="preserve">have a small commercial team focused on our commercial strategy, but we do not have a commercial infrastructure for the marketing, sale, and distribution of biopharmaceutical products. If approved, in order to commercialize our products, we must build our </w:t>
      </w:r>
      <w:r>
        <w:rPr>
          <w:sz w:val="20"/>
          <w:szCs w:val="20"/>
        </w:rPr>
        <w:t>marketing, sales, and distribution capabilities or make arrangements with third parties to perform these services, which will take time and require significant financial expenditures and we may not be successful in doing so. Even if we are able to effectiv</w:t>
      </w:r>
      <w:r>
        <w:rPr>
          <w:sz w:val="20"/>
          <w:szCs w:val="20"/>
        </w:rPr>
        <w:t>ely establish a sales force and develop a marketing and sales infrastructure, our sales force and marketing teams may not be successful in commercializing our current or future product candidates. To the extent we rely on third parties to commercialize any</w:t>
      </w:r>
      <w:r>
        <w:rPr>
          <w:sz w:val="20"/>
          <w:szCs w:val="20"/>
        </w:rPr>
        <w:t xml:space="preserve"> products for which we obtain regulatory approval, we would have less control over their sales efforts, and could be held liable if they failed to comply with applicable legal or regulatory requirements.</w:t>
      </w:r>
    </w:p>
    <w:p w:rsidR="00000000" w:rsidRDefault="00FF2C06">
      <w:pPr>
        <w:pStyle w:val="a3"/>
        <w:spacing w:before="0" w:beforeAutospacing="0" w:after="200" w:afterAutospacing="0"/>
        <w:ind w:firstLine="547"/>
        <w:divId w:val="429280998"/>
        <w:rPr>
          <w:sz w:val="20"/>
          <w:szCs w:val="20"/>
        </w:rPr>
      </w:pPr>
      <w:r>
        <w:rPr>
          <w:sz w:val="20"/>
          <w:szCs w:val="20"/>
        </w:rPr>
        <w:t xml:space="preserve">We have no prior experience in the marketing, sale, </w:t>
      </w:r>
      <w:r>
        <w:rPr>
          <w:sz w:val="20"/>
          <w:szCs w:val="20"/>
        </w:rPr>
        <w:t>and distribution of biopharmaceutical products, and there are significant risks involved in the building and managing of a commercial infrastructure. The establishment and development of commercial capabilities, including a comprehensive healthcare complia</w:t>
      </w:r>
      <w:r>
        <w:rPr>
          <w:sz w:val="20"/>
          <w:szCs w:val="20"/>
        </w:rPr>
        <w:t>nce program, to market any products we may develop will be expensive and time consuming and could delay any product launch, and we may not be able to successfully develop this capability. We, or our collaborators, will have to compete with other pharmaceut</w:t>
      </w:r>
      <w:r>
        <w:rPr>
          <w:sz w:val="20"/>
          <w:szCs w:val="20"/>
        </w:rPr>
        <w:t>ical and biotechnology companies to recruit, hire, train, manage, and retain marketing, sales and commercial support personnel. In the event we are unable to develop a commercial infrastructure, we may not be able to commercialize our current or future pro</w:t>
      </w:r>
      <w:r>
        <w:rPr>
          <w:sz w:val="20"/>
          <w:szCs w:val="20"/>
        </w:rPr>
        <w:t>duct candidates, which would limit our ability to generate product revenues. Factors that may inhibit our efforts to commercialize our current or future product candidates and generate product revenues include:</w:t>
      </w:r>
    </w:p>
    <w:p w:rsidR="00000000" w:rsidRDefault="00FF2C06">
      <w:pPr>
        <w:ind w:left="547" w:hanging="360"/>
        <w:divId w:val="3673791"/>
        <w:rPr>
          <w:rFonts w:eastAsia="Times New Roman"/>
          <w:sz w:val="20"/>
          <w:szCs w:val="20"/>
        </w:rPr>
      </w:pPr>
      <w:r>
        <w:rPr>
          <w:rFonts w:eastAsia="Times New Roman"/>
          <w:sz w:val="20"/>
          <w:szCs w:val="20"/>
        </w:rPr>
        <w:t>●</w:t>
      </w:r>
      <w:r>
        <w:rPr>
          <w:rFonts w:eastAsia="Times New Roman"/>
          <w:sz w:val="20"/>
          <w:szCs w:val="20"/>
        </w:rPr>
        <w:t>if the COVID-19 Pandemic continues or reoccu</w:t>
      </w:r>
      <w:r>
        <w:rPr>
          <w:rFonts w:eastAsia="Times New Roman"/>
          <w:sz w:val="20"/>
          <w:szCs w:val="20"/>
        </w:rPr>
        <w:t>rs it may negatively impact our ability to establish commercial operations, educate and interact with healthcare professionals, and successfully launch our product on a timely basis;</w:t>
      </w:r>
    </w:p>
    <w:p w:rsidR="00000000" w:rsidRDefault="00FF2C06">
      <w:pPr>
        <w:ind w:left="547" w:hanging="360"/>
        <w:divId w:val="880441996"/>
        <w:rPr>
          <w:rFonts w:eastAsia="Times New Roman"/>
          <w:sz w:val="20"/>
          <w:szCs w:val="20"/>
        </w:rPr>
      </w:pPr>
      <w:r>
        <w:rPr>
          <w:rFonts w:eastAsia="Times New Roman"/>
          <w:sz w:val="20"/>
          <w:szCs w:val="20"/>
        </w:rPr>
        <w:t>●</w:t>
      </w:r>
      <w:r>
        <w:rPr>
          <w:rFonts w:eastAsia="Times New Roman"/>
          <w:sz w:val="20"/>
          <w:szCs w:val="20"/>
        </w:rPr>
        <w:t>the inability of sales personnel to obtain access to physicians or persu</w:t>
      </w:r>
      <w:r>
        <w:rPr>
          <w:rFonts w:eastAsia="Times New Roman"/>
          <w:sz w:val="20"/>
          <w:szCs w:val="20"/>
        </w:rPr>
        <w:t>ade adequate numbers of physicians to prescribe our current or future product candidates;</w:t>
      </w:r>
    </w:p>
    <w:p w:rsidR="00000000" w:rsidRDefault="00FF2C06">
      <w:pPr>
        <w:ind w:left="547" w:hanging="360"/>
        <w:divId w:val="104888533"/>
        <w:rPr>
          <w:rFonts w:eastAsia="Times New Roman"/>
          <w:sz w:val="20"/>
          <w:szCs w:val="20"/>
        </w:rPr>
      </w:pPr>
      <w:r>
        <w:rPr>
          <w:rFonts w:eastAsia="Times New Roman"/>
          <w:sz w:val="20"/>
          <w:szCs w:val="20"/>
        </w:rPr>
        <w:t>●</w:t>
      </w:r>
      <w:r>
        <w:rPr>
          <w:rFonts w:eastAsia="Times New Roman"/>
          <w:sz w:val="20"/>
          <w:szCs w:val="20"/>
        </w:rPr>
        <w:t>our inability to effectively oversee a geographically dispersed sales and marketing team;</w:t>
      </w:r>
    </w:p>
    <w:p w:rsidR="00000000" w:rsidRDefault="00FF2C06">
      <w:pPr>
        <w:ind w:left="547" w:hanging="360"/>
        <w:divId w:val="561062651"/>
        <w:rPr>
          <w:rFonts w:eastAsia="Times New Roman"/>
          <w:sz w:val="20"/>
          <w:szCs w:val="20"/>
        </w:rPr>
      </w:pPr>
      <w:r>
        <w:rPr>
          <w:rFonts w:eastAsia="Times New Roman"/>
          <w:sz w:val="20"/>
          <w:szCs w:val="20"/>
        </w:rPr>
        <w:t>●</w:t>
      </w:r>
      <w:r>
        <w:rPr>
          <w:rFonts w:eastAsia="Times New Roman"/>
          <w:sz w:val="20"/>
          <w:szCs w:val="20"/>
        </w:rPr>
        <w:t>the costs and time associated with the initial and ongoing training of sal</w:t>
      </w:r>
      <w:r>
        <w:rPr>
          <w:rFonts w:eastAsia="Times New Roman"/>
          <w:sz w:val="20"/>
          <w:szCs w:val="20"/>
        </w:rPr>
        <w:t>es and marketing personnel on legal and regulatory compliance matters and monitoring their actions;</w:t>
      </w:r>
    </w:p>
    <w:p w:rsidR="00000000" w:rsidRDefault="00FF2C06">
      <w:pPr>
        <w:ind w:left="547" w:hanging="360"/>
        <w:divId w:val="139735483"/>
        <w:rPr>
          <w:rFonts w:eastAsia="Times New Roman"/>
          <w:sz w:val="20"/>
          <w:szCs w:val="20"/>
        </w:rPr>
      </w:pPr>
      <w:r>
        <w:rPr>
          <w:rFonts w:eastAsia="Times New Roman"/>
          <w:sz w:val="20"/>
          <w:szCs w:val="20"/>
        </w:rPr>
        <w:t>●</w:t>
      </w:r>
      <w:r>
        <w:rPr>
          <w:rFonts w:eastAsia="Times New Roman"/>
          <w:sz w:val="20"/>
          <w:szCs w:val="20"/>
        </w:rPr>
        <w:t>an inability to secure adequate coverage and reimbursement by government and private health plans;</w:t>
      </w:r>
    </w:p>
    <w:p w:rsidR="00000000" w:rsidRDefault="00FF2C06">
      <w:pPr>
        <w:ind w:left="547" w:hanging="360"/>
        <w:divId w:val="2022009228"/>
        <w:rPr>
          <w:rFonts w:eastAsia="Times New Roman"/>
          <w:sz w:val="20"/>
          <w:szCs w:val="20"/>
        </w:rPr>
      </w:pPr>
      <w:r>
        <w:rPr>
          <w:rFonts w:eastAsia="Times New Roman"/>
          <w:sz w:val="20"/>
          <w:szCs w:val="20"/>
        </w:rPr>
        <w:t>●</w:t>
      </w:r>
      <w:r>
        <w:rPr>
          <w:rFonts w:eastAsia="Times New Roman"/>
          <w:sz w:val="20"/>
          <w:szCs w:val="20"/>
        </w:rPr>
        <w:t>the clinical indications for which the products are approved and the claims that we may make for the products;</w:t>
      </w:r>
    </w:p>
    <w:p w:rsidR="00000000" w:rsidRDefault="00FF2C06">
      <w:pPr>
        <w:ind w:left="547" w:hanging="360"/>
        <w:divId w:val="1458791998"/>
        <w:rPr>
          <w:rFonts w:eastAsia="Times New Roman"/>
          <w:sz w:val="20"/>
          <w:szCs w:val="20"/>
        </w:rPr>
      </w:pPr>
      <w:r>
        <w:rPr>
          <w:rFonts w:eastAsia="Times New Roman"/>
          <w:sz w:val="20"/>
          <w:szCs w:val="20"/>
        </w:rPr>
        <w:t>●</w:t>
      </w:r>
      <w:r>
        <w:rPr>
          <w:rFonts w:eastAsia="Times New Roman"/>
          <w:sz w:val="20"/>
          <w:szCs w:val="20"/>
        </w:rPr>
        <w:t>limitations or warnings, including distribut</w:t>
      </w:r>
      <w:r>
        <w:rPr>
          <w:rFonts w:eastAsia="Times New Roman"/>
          <w:sz w:val="20"/>
          <w:szCs w:val="20"/>
        </w:rPr>
        <w:t>ion or use restrictions, contained in the products’ approved labeling;</w:t>
      </w:r>
    </w:p>
    <w:p w:rsidR="00000000" w:rsidRDefault="00FF2C06">
      <w:pPr>
        <w:ind w:left="547" w:hanging="360"/>
        <w:divId w:val="1840926530"/>
        <w:rPr>
          <w:rFonts w:eastAsia="Times New Roman"/>
          <w:sz w:val="20"/>
          <w:szCs w:val="20"/>
        </w:rPr>
      </w:pPr>
      <w:r>
        <w:rPr>
          <w:rFonts w:eastAsia="Times New Roman"/>
          <w:sz w:val="20"/>
          <w:szCs w:val="20"/>
        </w:rPr>
        <w:t>●</w:t>
      </w:r>
      <w:r>
        <w:rPr>
          <w:rFonts w:eastAsia="Times New Roman"/>
          <w:sz w:val="20"/>
          <w:szCs w:val="20"/>
        </w:rPr>
        <w:t>any distribution and use restrictions imposed by the FDA or to which we agree as part of a mandatory REMS or voluntary risk management plan;</w:t>
      </w:r>
    </w:p>
    <w:p w:rsidR="00000000" w:rsidRDefault="00FF2C06">
      <w:pPr>
        <w:ind w:left="547" w:hanging="360"/>
        <w:divId w:val="1157652572"/>
        <w:rPr>
          <w:rFonts w:eastAsia="Times New Roman"/>
          <w:sz w:val="20"/>
          <w:szCs w:val="20"/>
        </w:rPr>
      </w:pPr>
      <w:r>
        <w:rPr>
          <w:rFonts w:eastAsia="Times New Roman"/>
          <w:sz w:val="20"/>
          <w:szCs w:val="20"/>
        </w:rPr>
        <w:t>●</w:t>
      </w:r>
      <w:r>
        <w:rPr>
          <w:rFonts w:eastAsia="Times New Roman"/>
          <w:sz w:val="20"/>
          <w:szCs w:val="20"/>
        </w:rPr>
        <w:t>liability for sales or marketing personnel</w:t>
      </w:r>
      <w:r>
        <w:rPr>
          <w:rFonts w:eastAsia="Times New Roman"/>
          <w:sz w:val="20"/>
          <w:szCs w:val="20"/>
        </w:rPr>
        <w:t xml:space="preserve"> who fail to comply with the applicable legal and regulatory requirements;</w:t>
      </w:r>
    </w:p>
    <w:p w:rsidR="00000000" w:rsidRDefault="00FF2C06">
      <w:pPr>
        <w:ind w:left="547" w:hanging="360"/>
        <w:divId w:val="1534996046"/>
        <w:rPr>
          <w:rFonts w:eastAsia="Times New Roman"/>
          <w:sz w:val="20"/>
          <w:szCs w:val="20"/>
        </w:rPr>
      </w:pPr>
      <w:r>
        <w:rPr>
          <w:rFonts w:eastAsia="Times New Roman"/>
          <w:sz w:val="20"/>
          <w:szCs w:val="20"/>
        </w:rPr>
        <w:t>●</w:t>
      </w:r>
      <w:r>
        <w:rPr>
          <w:rFonts w:eastAsia="Times New Roman"/>
          <w:sz w:val="20"/>
          <w:szCs w:val="20"/>
        </w:rPr>
        <w:t>the lack of complementary products to be offered by sales personnel, which may put us at a competitive disadvantage relative to companies with more extensive product lines; and</w:t>
      </w:r>
    </w:p>
    <w:p w:rsidR="00000000" w:rsidRDefault="00FF2C06">
      <w:pPr>
        <w:ind w:left="547" w:hanging="360"/>
        <w:divId w:val="36928782"/>
        <w:rPr>
          <w:rFonts w:eastAsia="Times New Roman"/>
          <w:sz w:val="20"/>
          <w:szCs w:val="20"/>
        </w:rPr>
      </w:pPr>
      <w:r>
        <w:rPr>
          <w:rFonts w:eastAsia="Times New Roman"/>
          <w:sz w:val="20"/>
          <w:szCs w:val="20"/>
        </w:rPr>
        <w:t>●</w:t>
      </w:r>
      <w:r>
        <w:rPr>
          <w:rFonts w:eastAsia="Times New Roman"/>
          <w:sz w:val="20"/>
          <w:szCs w:val="20"/>
        </w:rPr>
        <w:t>un</w:t>
      </w:r>
      <w:r>
        <w:rPr>
          <w:rFonts w:eastAsia="Times New Roman"/>
          <w:sz w:val="20"/>
          <w:szCs w:val="20"/>
        </w:rPr>
        <w:t>foreseen costs and expenses associated with creating an independent sales and marketing organization or engaging a contract sales organization.</w:t>
      </w:r>
    </w:p>
    <w:p w:rsidR="00000000" w:rsidRDefault="00FF2C06">
      <w:pPr>
        <w:pStyle w:val="a3"/>
        <w:spacing w:before="0" w:beforeAutospacing="0" w:after="200" w:afterAutospacing="0"/>
        <w:ind w:firstLine="547"/>
        <w:divId w:val="429280998"/>
        <w:rPr>
          <w:sz w:val="20"/>
          <w:szCs w:val="20"/>
        </w:rPr>
      </w:pPr>
      <w:r>
        <w:rPr>
          <w:b/>
          <w:bCs/>
          <w:i/>
          <w:iCs/>
          <w:sz w:val="20"/>
          <w:szCs w:val="20"/>
        </w:rPr>
        <w:t>If our product candidates do not achieve broad market acceptance, the revenues that we generate from their sales</w:t>
      </w:r>
      <w:r>
        <w:rPr>
          <w:b/>
          <w:bCs/>
          <w:i/>
          <w:iCs/>
          <w:sz w:val="20"/>
          <w:szCs w:val="20"/>
        </w:rPr>
        <w:t xml:space="preserve"> will be limited.</w:t>
      </w:r>
    </w:p>
    <w:p w:rsidR="00000000" w:rsidRDefault="00FF2C06">
      <w:pPr>
        <w:pStyle w:val="a3"/>
        <w:spacing w:before="0" w:beforeAutospacing="0" w:after="200" w:afterAutospacing="0"/>
        <w:ind w:firstLine="547"/>
        <w:divId w:val="429280998"/>
        <w:rPr>
          <w:sz w:val="20"/>
          <w:szCs w:val="20"/>
        </w:rPr>
      </w:pPr>
      <w:r>
        <w:rPr>
          <w:sz w:val="20"/>
          <w:szCs w:val="20"/>
        </w:rPr>
        <w:t>We have never commercialized a product candidate for any indication. Even if our product candidates are approved by the appropriate regulatory authorities for marketing and sale, they may not gain acceptance among physicians, patients, th</w:t>
      </w:r>
      <w:r>
        <w:rPr>
          <w:sz w:val="20"/>
          <w:szCs w:val="20"/>
        </w:rPr>
        <w:t>ird-party payors, and others in the medical community. If any product candidate for which we obtain regulatory approval does not gain an adequate level of market acceptance, we may not generate significant product revenues or become profitable. Market acce</w:t>
      </w:r>
      <w:r>
        <w:rPr>
          <w:sz w:val="20"/>
          <w:szCs w:val="20"/>
        </w:rPr>
        <w:t>ptance of our product candidates by the medical community, patients, and third-party payors will depend on a number of factors, some of which are beyond our control. For example, physicians are often reluctant to switch their patients and patients may be r</w:t>
      </w:r>
      <w:r>
        <w:rPr>
          <w:sz w:val="20"/>
          <w:szCs w:val="20"/>
        </w:rPr>
        <w:t>eluctant to switch from existing therapies even when new and potentially more effective or safer treatments enter the market.</w:t>
      </w:r>
    </w:p>
    <w:p w:rsidR="00000000" w:rsidRDefault="00FF2C06">
      <w:pPr>
        <w:pStyle w:val="a3"/>
        <w:spacing w:before="0" w:beforeAutospacing="0" w:after="200" w:afterAutospacing="0"/>
        <w:ind w:firstLine="547"/>
        <w:divId w:val="429280998"/>
        <w:rPr>
          <w:sz w:val="20"/>
          <w:szCs w:val="20"/>
        </w:rPr>
      </w:pPr>
      <w:r>
        <w:rPr>
          <w:sz w:val="20"/>
          <w:szCs w:val="20"/>
        </w:rPr>
        <w:t xml:space="preserve">Efforts to educate the medical community and third-party payors on the benefits of our product candidates may require significant </w:t>
      </w:r>
      <w:r>
        <w:rPr>
          <w:sz w:val="20"/>
          <w:szCs w:val="20"/>
        </w:rPr>
        <w:t>resources and may not be successful. If any of our product candidates is approved but does not achieve an adequate level of market acceptance, we may not generate significant revenues and we may not become profitable. The degree of market acceptance of any</w:t>
      </w:r>
      <w:r>
        <w:rPr>
          <w:sz w:val="20"/>
          <w:szCs w:val="20"/>
        </w:rPr>
        <w:t xml:space="preserve"> of our product candidates will depend on a number of factors, including:</w:t>
      </w:r>
    </w:p>
    <w:p w:rsidR="00000000" w:rsidRDefault="00FF2C06">
      <w:pPr>
        <w:ind w:left="547" w:hanging="360"/>
        <w:divId w:val="777994355"/>
        <w:rPr>
          <w:rFonts w:eastAsia="Times New Roman"/>
          <w:sz w:val="20"/>
          <w:szCs w:val="20"/>
        </w:rPr>
      </w:pPr>
      <w:r>
        <w:rPr>
          <w:rFonts w:eastAsia="Times New Roman"/>
          <w:sz w:val="20"/>
          <w:szCs w:val="20"/>
        </w:rPr>
        <w:t>●</w:t>
      </w:r>
      <w:r>
        <w:rPr>
          <w:rFonts w:eastAsia="Times New Roman"/>
          <w:sz w:val="20"/>
          <w:szCs w:val="20"/>
        </w:rPr>
        <w:t>the efficacy of our product candidates;</w:t>
      </w:r>
    </w:p>
    <w:p w:rsidR="00000000" w:rsidRDefault="00FF2C06">
      <w:pPr>
        <w:pStyle w:val="a3"/>
        <w:spacing w:before="480" w:beforeAutospacing="0" w:after="0" w:afterAutospacing="0"/>
        <w:jc w:val="center"/>
        <w:divId w:val="1786774210"/>
        <w:rPr>
          <w:sz w:val="20"/>
          <w:szCs w:val="20"/>
        </w:rPr>
      </w:pPr>
      <w:r>
        <w:rPr>
          <w:sz w:val="20"/>
          <w:szCs w:val="20"/>
        </w:rPr>
        <w:t>59</w:t>
      </w:r>
    </w:p>
    <w:p w:rsidR="00000000" w:rsidRDefault="00FF2C06">
      <w:pPr>
        <w:pStyle w:val="a3"/>
        <w:spacing w:before="0" w:beforeAutospacing="0" w:after="600" w:afterAutospacing="0"/>
        <w:divId w:val="272521650"/>
        <w:rPr>
          <w:sz w:val="20"/>
          <w:szCs w:val="20"/>
        </w:rPr>
      </w:pPr>
      <w:hyperlink w:anchor="TOC" w:history="1">
        <w:r>
          <w:rPr>
            <w:rStyle w:val="a4"/>
            <w:sz w:val="20"/>
            <w:szCs w:val="20"/>
          </w:rPr>
          <w:t>Table of Contents</w:t>
        </w:r>
      </w:hyperlink>
    </w:p>
    <w:p w:rsidR="00000000" w:rsidRDefault="00FF2C06">
      <w:pPr>
        <w:ind w:left="547" w:hanging="360"/>
        <w:divId w:val="361594105"/>
        <w:rPr>
          <w:rFonts w:eastAsia="Times New Roman"/>
          <w:sz w:val="20"/>
          <w:szCs w:val="20"/>
        </w:rPr>
      </w:pPr>
      <w:r>
        <w:rPr>
          <w:rFonts w:eastAsia="Times New Roman"/>
          <w:sz w:val="20"/>
          <w:szCs w:val="20"/>
        </w:rPr>
        <w:t>●</w:t>
      </w:r>
      <w:r>
        <w:rPr>
          <w:rFonts w:eastAsia="Times New Roman"/>
          <w:sz w:val="20"/>
          <w:szCs w:val="20"/>
        </w:rPr>
        <w:t>the prevalence and severity of adverse events associated with such product candidates;</w:t>
      </w:r>
    </w:p>
    <w:p w:rsidR="00000000" w:rsidRDefault="00FF2C06">
      <w:pPr>
        <w:ind w:left="547" w:hanging="360"/>
        <w:divId w:val="2167480"/>
        <w:rPr>
          <w:rFonts w:eastAsia="Times New Roman"/>
          <w:sz w:val="20"/>
          <w:szCs w:val="20"/>
        </w:rPr>
      </w:pPr>
      <w:r>
        <w:rPr>
          <w:rFonts w:eastAsia="Times New Roman"/>
          <w:sz w:val="20"/>
          <w:szCs w:val="20"/>
        </w:rPr>
        <w:t>●</w:t>
      </w:r>
      <w:r>
        <w:rPr>
          <w:rFonts w:eastAsia="Times New Roman"/>
          <w:sz w:val="20"/>
          <w:szCs w:val="20"/>
        </w:rPr>
        <w:t>the c</w:t>
      </w:r>
      <w:r>
        <w:rPr>
          <w:rFonts w:eastAsia="Times New Roman"/>
          <w:sz w:val="20"/>
          <w:szCs w:val="20"/>
        </w:rPr>
        <w:t>linical indications for which the products are approved and the approved claims that we may make for the products;</w:t>
      </w:r>
    </w:p>
    <w:p w:rsidR="00000000" w:rsidRDefault="00FF2C06">
      <w:pPr>
        <w:ind w:left="547" w:hanging="360"/>
        <w:divId w:val="671298087"/>
        <w:rPr>
          <w:rFonts w:eastAsia="Times New Roman"/>
          <w:sz w:val="20"/>
          <w:szCs w:val="20"/>
        </w:rPr>
      </w:pPr>
      <w:r>
        <w:rPr>
          <w:rFonts w:eastAsia="Times New Roman"/>
          <w:sz w:val="20"/>
          <w:szCs w:val="20"/>
        </w:rPr>
        <w:t>●</w:t>
      </w:r>
      <w:r>
        <w:rPr>
          <w:rFonts w:eastAsia="Times New Roman"/>
          <w:sz w:val="20"/>
          <w:szCs w:val="20"/>
        </w:rPr>
        <w:t>limitations or warnings contained in the Product’s FDA-approved labeling, including potential limitations or warnings for such products that</w:t>
      </w:r>
      <w:r>
        <w:rPr>
          <w:rFonts w:eastAsia="Times New Roman"/>
          <w:sz w:val="20"/>
          <w:szCs w:val="20"/>
        </w:rPr>
        <w:t xml:space="preserve"> may be more restrictive than other competitive products;</w:t>
      </w:r>
    </w:p>
    <w:p w:rsidR="00000000" w:rsidRDefault="00FF2C06">
      <w:pPr>
        <w:ind w:left="547" w:hanging="360"/>
        <w:divId w:val="445584381"/>
        <w:rPr>
          <w:rFonts w:eastAsia="Times New Roman"/>
          <w:sz w:val="20"/>
          <w:szCs w:val="20"/>
        </w:rPr>
      </w:pPr>
      <w:r>
        <w:rPr>
          <w:rFonts w:eastAsia="Times New Roman"/>
          <w:sz w:val="20"/>
          <w:szCs w:val="20"/>
        </w:rPr>
        <w:t>●</w:t>
      </w:r>
      <w:r>
        <w:rPr>
          <w:rFonts w:eastAsia="Times New Roman"/>
          <w:sz w:val="20"/>
          <w:szCs w:val="20"/>
        </w:rPr>
        <w:t>changes in the standard of care for the targeted indications for such product candidates;</w:t>
      </w:r>
    </w:p>
    <w:p w:rsidR="00000000" w:rsidRDefault="00FF2C06">
      <w:pPr>
        <w:ind w:left="547" w:hanging="360"/>
        <w:divId w:val="1902247937"/>
        <w:rPr>
          <w:rFonts w:eastAsia="Times New Roman"/>
          <w:sz w:val="20"/>
          <w:szCs w:val="20"/>
        </w:rPr>
      </w:pPr>
      <w:r>
        <w:rPr>
          <w:rFonts w:eastAsia="Times New Roman"/>
          <w:sz w:val="20"/>
          <w:szCs w:val="20"/>
        </w:rPr>
        <w:t>●</w:t>
      </w:r>
      <w:r>
        <w:rPr>
          <w:rFonts w:eastAsia="Times New Roman"/>
          <w:sz w:val="20"/>
          <w:szCs w:val="20"/>
        </w:rPr>
        <w:t>the relative difficulty of administration of such product candidates;</w:t>
      </w:r>
    </w:p>
    <w:p w:rsidR="00000000" w:rsidRDefault="00FF2C06">
      <w:pPr>
        <w:ind w:left="547" w:hanging="360"/>
        <w:divId w:val="528497621"/>
        <w:rPr>
          <w:rFonts w:eastAsia="Times New Roman"/>
          <w:sz w:val="20"/>
          <w:szCs w:val="20"/>
        </w:rPr>
      </w:pPr>
      <w:r>
        <w:rPr>
          <w:rFonts w:eastAsia="Times New Roman"/>
          <w:sz w:val="20"/>
          <w:szCs w:val="20"/>
        </w:rPr>
        <w:t>●</w:t>
      </w:r>
      <w:r>
        <w:rPr>
          <w:rFonts w:eastAsia="Times New Roman"/>
          <w:sz w:val="20"/>
          <w:szCs w:val="20"/>
        </w:rPr>
        <w:t>cost of treatment versus economic a</w:t>
      </w:r>
      <w:r>
        <w:rPr>
          <w:rFonts w:eastAsia="Times New Roman"/>
          <w:sz w:val="20"/>
          <w:szCs w:val="20"/>
        </w:rPr>
        <w:t>nd clinical benefit in relation to alternative treatments or therapies;</w:t>
      </w:r>
    </w:p>
    <w:p w:rsidR="00000000" w:rsidRDefault="00FF2C06">
      <w:pPr>
        <w:ind w:left="547" w:hanging="360"/>
        <w:divId w:val="2019650244"/>
        <w:rPr>
          <w:rFonts w:eastAsia="Times New Roman"/>
          <w:sz w:val="20"/>
          <w:szCs w:val="20"/>
        </w:rPr>
      </w:pPr>
      <w:r>
        <w:rPr>
          <w:rFonts w:eastAsia="Times New Roman"/>
          <w:sz w:val="20"/>
          <w:szCs w:val="20"/>
        </w:rPr>
        <w:t>●</w:t>
      </w:r>
      <w:r>
        <w:rPr>
          <w:rFonts w:eastAsia="Times New Roman"/>
          <w:sz w:val="20"/>
          <w:szCs w:val="20"/>
        </w:rPr>
        <w:t>the availability of adequate coverage or reimbursement by third parties, such as insurance companies and other healthcare payors, and by government healthcare programs, including Medi</w:t>
      </w:r>
      <w:r>
        <w:rPr>
          <w:rFonts w:eastAsia="Times New Roman"/>
          <w:sz w:val="20"/>
          <w:szCs w:val="20"/>
        </w:rPr>
        <w:t>care and Medicaid;</w:t>
      </w:r>
    </w:p>
    <w:p w:rsidR="00000000" w:rsidRDefault="00FF2C06">
      <w:pPr>
        <w:ind w:left="547" w:hanging="360"/>
        <w:divId w:val="352459587"/>
        <w:rPr>
          <w:rFonts w:eastAsia="Times New Roman"/>
          <w:sz w:val="20"/>
          <w:szCs w:val="20"/>
        </w:rPr>
      </w:pPr>
      <w:r>
        <w:rPr>
          <w:rFonts w:eastAsia="Times New Roman"/>
          <w:sz w:val="20"/>
          <w:szCs w:val="20"/>
        </w:rPr>
        <w:t>●</w:t>
      </w:r>
      <w:r>
        <w:rPr>
          <w:rFonts w:eastAsia="Times New Roman"/>
          <w:sz w:val="20"/>
          <w:szCs w:val="20"/>
        </w:rPr>
        <w:t>the extent and strength of our marketing and distribution of such product candidates;</w:t>
      </w:r>
    </w:p>
    <w:p w:rsidR="00000000" w:rsidRDefault="00FF2C06">
      <w:pPr>
        <w:ind w:left="547" w:hanging="360"/>
        <w:divId w:val="2048677549"/>
        <w:rPr>
          <w:rFonts w:eastAsia="Times New Roman"/>
          <w:sz w:val="20"/>
          <w:szCs w:val="20"/>
        </w:rPr>
      </w:pPr>
      <w:r>
        <w:rPr>
          <w:rFonts w:eastAsia="Times New Roman"/>
          <w:sz w:val="20"/>
          <w:szCs w:val="20"/>
        </w:rPr>
        <w:t>●</w:t>
      </w:r>
      <w:r>
        <w:rPr>
          <w:rFonts w:eastAsia="Times New Roman"/>
          <w:sz w:val="20"/>
          <w:szCs w:val="20"/>
        </w:rPr>
        <w:t>the safety, efficacy, and other potential advantages over, and availability of, alternative treatments already used or that may later be approved for</w:t>
      </w:r>
      <w:r>
        <w:rPr>
          <w:rFonts w:eastAsia="Times New Roman"/>
          <w:sz w:val="20"/>
          <w:szCs w:val="20"/>
        </w:rPr>
        <w:t xml:space="preserve"> any of our intended indications;</w:t>
      </w:r>
    </w:p>
    <w:p w:rsidR="00000000" w:rsidRDefault="00FF2C06">
      <w:pPr>
        <w:ind w:left="547" w:hanging="360"/>
        <w:divId w:val="1420980439"/>
        <w:rPr>
          <w:rFonts w:eastAsia="Times New Roman"/>
          <w:sz w:val="20"/>
          <w:szCs w:val="20"/>
        </w:rPr>
      </w:pPr>
      <w:r>
        <w:rPr>
          <w:rFonts w:eastAsia="Times New Roman"/>
          <w:sz w:val="20"/>
          <w:szCs w:val="20"/>
        </w:rPr>
        <w:t>●</w:t>
      </w:r>
      <w:r>
        <w:rPr>
          <w:rFonts w:eastAsia="Times New Roman"/>
          <w:sz w:val="20"/>
          <w:szCs w:val="20"/>
        </w:rPr>
        <w:t>distribution and use restrictions imposed by the FDA with respect to such product candidates or to which we agree as part of a mandatory risk evaluation and mitigation strategy or voluntary risk management plan;</w:t>
      </w:r>
    </w:p>
    <w:p w:rsidR="00000000" w:rsidRDefault="00FF2C06">
      <w:pPr>
        <w:ind w:left="547" w:hanging="360"/>
        <w:divId w:val="453408942"/>
        <w:rPr>
          <w:rFonts w:eastAsia="Times New Roman"/>
          <w:sz w:val="20"/>
          <w:szCs w:val="20"/>
        </w:rPr>
      </w:pPr>
      <w:r>
        <w:rPr>
          <w:rFonts w:eastAsia="Times New Roman"/>
          <w:sz w:val="20"/>
          <w:szCs w:val="20"/>
        </w:rPr>
        <w:t>●</w:t>
      </w:r>
      <w:r>
        <w:rPr>
          <w:rFonts w:eastAsia="Times New Roman"/>
          <w:sz w:val="20"/>
          <w:szCs w:val="20"/>
        </w:rPr>
        <w:t>the timi</w:t>
      </w:r>
      <w:r>
        <w:rPr>
          <w:rFonts w:eastAsia="Times New Roman"/>
          <w:sz w:val="20"/>
          <w:szCs w:val="20"/>
        </w:rPr>
        <w:t>ng of market introduction of such product candidates, as well as competitive products;</w:t>
      </w:r>
    </w:p>
    <w:p w:rsidR="00000000" w:rsidRDefault="00FF2C06">
      <w:pPr>
        <w:ind w:left="547" w:hanging="360"/>
        <w:divId w:val="1476024418"/>
        <w:rPr>
          <w:rFonts w:eastAsia="Times New Roman"/>
          <w:sz w:val="20"/>
          <w:szCs w:val="20"/>
        </w:rPr>
      </w:pPr>
      <w:r>
        <w:rPr>
          <w:rFonts w:eastAsia="Times New Roman"/>
          <w:sz w:val="20"/>
          <w:szCs w:val="20"/>
        </w:rPr>
        <w:t>●</w:t>
      </w:r>
      <w:r>
        <w:rPr>
          <w:rFonts w:eastAsia="Times New Roman"/>
          <w:sz w:val="20"/>
          <w:szCs w:val="20"/>
        </w:rPr>
        <w:t>our ability to offer such product candidates for sale at competitive prices;</w:t>
      </w:r>
    </w:p>
    <w:p w:rsidR="00000000" w:rsidRDefault="00FF2C06">
      <w:pPr>
        <w:ind w:left="547" w:hanging="360"/>
        <w:divId w:val="1048728426"/>
        <w:rPr>
          <w:rFonts w:eastAsia="Times New Roman"/>
          <w:sz w:val="20"/>
          <w:szCs w:val="20"/>
        </w:rPr>
      </w:pPr>
      <w:r>
        <w:rPr>
          <w:rFonts w:eastAsia="Times New Roman"/>
          <w:sz w:val="20"/>
          <w:szCs w:val="20"/>
        </w:rPr>
        <w:t>●</w:t>
      </w:r>
      <w:r>
        <w:rPr>
          <w:rFonts w:eastAsia="Times New Roman"/>
          <w:sz w:val="20"/>
          <w:szCs w:val="20"/>
        </w:rPr>
        <w:t>the willingness of the target patient population to try new therapies and of physicians to prescribe these therapies;</w:t>
      </w:r>
    </w:p>
    <w:p w:rsidR="00000000" w:rsidRDefault="00FF2C06">
      <w:pPr>
        <w:ind w:left="547" w:hanging="360"/>
        <w:divId w:val="959721091"/>
        <w:rPr>
          <w:rFonts w:eastAsia="Times New Roman"/>
          <w:sz w:val="20"/>
          <w:szCs w:val="20"/>
        </w:rPr>
      </w:pPr>
      <w:r>
        <w:rPr>
          <w:rFonts w:eastAsia="Times New Roman"/>
          <w:sz w:val="20"/>
          <w:szCs w:val="20"/>
        </w:rPr>
        <w:t>●</w:t>
      </w:r>
      <w:r>
        <w:rPr>
          <w:rFonts w:eastAsia="Times New Roman"/>
          <w:sz w:val="20"/>
          <w:szCs w:val="20"/>
        </w:rPr>
        <w:t>the extent and strength of our third-party manufacturer and supplier support;</w:t>
      </w:r>
    </w:p>
    <w:p w:rsidR="00000000" w:rsidRDefault="00FF2C06">
      <w:pPr>
        <w:ind w:left="547" w:hanging="360"/>
        <w:divId w:val="1744520209"/>
        <w:rPr>
          <w:rFonts w:eastAsia="Times New Roman"/>
          <w:sz w:val="20"/>
          <w:szCs w:val="20"/>
        </w:rPr>
      </w:pPr>
      <w:r>
        <w:rPr>
          <w:rFonts w:eastAsia="Times New Roman"/>
          <w:sz w:val="20"/>
          <w:szCs w:val="20"/>
        </w:rPr>
        <w:t>●</w:t>
      </w:r>
      <w:r>
        <w:rPr>
          <w:rFonts w:eastAsia="Times New Roman"/>
          <w:sz w:val="20"/>
          <w:szCs w:val="20"/>
        </w:rPr>
        <w:t>the approval of other new products for the same indication</w:t>
      </w:r>
      <w:r>
        <w:rPr>
          <w:rFonts w:eastAsia="Times New Roman"/>
          <w:sz w:val="20"/>
          <w:szCs w:val="20"/>
        </w:rPr>
        <w:t>s;</w:t>
      </w:r>
    </w:p>
    <w:p w:rsidR="00000000" w:rsidRDefault="00FF2C06">
      <w:pPr>
        <w:ind w:left="547" w:hanging="360"/>
        <w:divId w:val="1531724333"/>
        <w:rPr>
          <w:rFonts w:eastAsia="Times New Roman"/>
          <w:sz w:val="20"/>
          <w:szCs w:val="20"/>
        </w:rPr>
      </w:pPr>
      <w:r>
        <w:rPr>
          <w:rFonts w:eastAsia="Times New Roman"/>
          <w:sz w:val="20"/>
          <w:szCs w:val="20"/>
        </w:rPr>
        <w:t>●</w:t>
      </w:r>
      <w:r>
        <w:rPr>
          <w:rFonts w:eastAsia="Times New Roman"/>
          <w:sz w:val="20"/>
          <w:szCs w:val="20"/>
        </w:rPr>
        <w:t>adverse publicity about the product or favorable publicity about competitive products; and</w:t>
      </w:r>
    </w:p>
    <w:p w:rsidR="00000000" w:rsidRDefault="00FF2C06">
      <w:pPr>
        <w:ind w:left="547" w:hanging="360"/>
        <w:divId w:val="1114246764"/>
        <w:rPr>
          <w:rFonts w:eastAsia="Times New Roman"/>
          <w:sz w:val="20"/>
          <w:szCs w:val="20"/>
        </w:rPr>
      </w:pPr>
      <w:r>
        <w:rPr>
          <w:rFonts w:eastAsia="Times New Roman"/>
          <w:sz w:val="20"/>
          <w:szCs w:val="20"/>
        </w:rPr>
        <w:t>●</w:t>
      </w:r>
      <w:r>
        <w:rPr>
          <w:rFonts w:eastAsia="Times New Roman"/>
          <w:sz w:val="20"/>
          <w:szCs w:val="20"/>
        </w:rPr>
        <w:t>potential product liability claims.</w:t>
      </w:r>
    </w:p>
    <w:p w:rsidR="00000000" w:rsidRDefault="00FF2C06">
      <w:pPr>
        <w:pStyle w:val="a3"/>
        <w:spacing w:before="0" w:beforeAutospacing="0" w:after="200" w:afterAutospacing="0"/>
        <w:ind w:firstLine="540"/>
        <w:divId w:val="1188637417"/>
        <w:rPr>
          <w:sz w:val="20"/>
          <w:szCs w:val="20"/>
        </w:rPr>
      </w:pPr>
      <w:r>
        <w:rPr>
          <w:sz w:val="20"/>
          <w:szCs w:val="20"/>
        </w:rPr>
        <w:t>Our efforts to educate the medical community and third-party payors on the benefits of our product candidates may require si</w:t>
      </w:r>
      <w:r>
        <w:rPr>
          <w:sz w:val="20"/>
          <w:szCs w:val="20"/>
        </w:rPr>
        <w:t>gnificant resources and may never be successful. Even if the medical community accepts that our product candidates are safe and effective for their approved indications, physicians and patients may not immediately be receptive to such product candidates an</w:t>
      </w:r>
      <w:r>
        <w:rPr>
          <w:sz w:val="20"/>
          <w:szCs w:val="20"/>
        </w:rPr>
        <w:t>d may be slow to adopt them as an accepted treatment of the approved indications. If our current or future product candidates are approved but do not achieve an adequate level of acceptance among physicians, patients, and third-party payors, we may not gen</w:t>
      </w:r>
      <w:r>
        <w:rPr>
          <w:sz w:val="20"/>
          <w:szCs w:val="20"/>
        </w:rPr>
        <w:t>erate meaningful revenues from our product candidates, and we may not become profitable.</w:t>
      </w:r>
    </w:p>
    <w:p w:rsidR="00000000" w:rsidRDefault="00FF2C06">
      <w:pPr>
        <w:pStyle w:val="a3"/>
        <w:spacing w:before="0" w:beforeAutospacing="0" w:after="200" w:afterAutospacing="0"/>
        <w:ind w:firstLine="540"/>
        <w:divId w:val="1188637417"/>
        <w:rPr>
          <w:sz w:val="20"/>
          <w:szCs w:val="20"/>
        </w:rPr>
      </w:pPr>
      <w:r>
        <w:rPr>
          <w:b/>
          <w:bCs/>
          <w:i/>
          <w:iCs/>
          <w:sz w:val="20"/>
          <w:szCs w:val="20"/>
        </w:rPr>
        <w:t>Our product candidates may face competition sooner than anticipated.</w:t>
      </w:r>
    </w:p>
    <w:p w:rsidR="00000000" w:rsidRDefault="00FF2C06">
      <w:pPr>
        <w:pStyle w:val="a3"/>
        <w:spacing w:before="0" w:beforeAutospacing="0" w:after="200" w:afterAutospacing="0"/>
        <w:ind w:firstLine="540"/>
        <w:divId w:val="1188637417"/>
        <w:rPr>
          <w:sz w:val="20"/>
          <w:szCs w:val="20"/>
        </w:rPr>
      </w:pPr>
      <w:r>
        <w:rPr>
          <w:sz w:val="20"/>
          <w:szCs w:val="20"/>
        </w:rPr>
        <w:t xml:space="preserve">The enactment of the Biologics Price Competition and Innovation Act of 2009, or BPCIA, created an </w:t>
      </w:r>
      <w:r>
        <w:rPr>
          <w:sz w:val="20"/>
          <w:szCs w:val="20"/>
        </w:rPr>
        <w:t>abbreviated pathway for the approval of biosimilar and interchangeable biological products. The abbreviated regulatory pathway establishes legal authority for the FDA to review and approve biosimilar biologics, including the possible designation of a biosi</w:t>
      </w:r>
      <w:r>
        <w:rPr>
          <w:sz w:val="20"/>
          <w:szCs w:val="20"/>
        </w:rPr>
        <w:t>milar as “interchangeable” based on its similarity to an existing brand product. Under the BPCIA, the FDA cannot make an approval of an application for a biosimilar product effective until 12 years after the original branded product was approved under a BL</w:t>
      </w:r>
      <w:r>
        <w:rPr>
          <w:sz w:val="20"/>
          <w:szCs w:val="20"/>
        </w:rPr>
        <w:t>A. Certain changes, however, and supplements to an approved BLA, and subsequent applications filed by the same sponsor, manufacturer, licensor, predecessor in interest, or other related entity do not qualify for the 12-year exclusivity period.</w:t>
      </w:r>
    </w:p>
    <w:p w:rsidR="00000000" w:rsidRDefault="00FF2C06">
      <w:pPr>
        <w:pStyle w:val="a3"/>
        <w:spacing w:before="0" w:beforeAutospacing="0" w:after="200" w:afterAutospacing="0"/>
        <w:ind w:firstLine="540"/>
        <w:divId w:val="1188637417"/>
        <w:rPr>
          <w:sz w:val="20"/>
          <w:szCs w:val="20"/>
        </w:rPr>
      </w:pPr>
      <w:r>
        <w:rPr>
          <w:sz w:val="20"/>
          <w:szCs w:val="20"/>
        </w:rPr>
        <w:t xml:space="preserve">Our product </w:t>
      </w:r>
      <w:r>
        <w:rPr>
          <w:sz w:val="20"/>
          <w:szCs w:val="20"/>
        </w:rPr>
        <w:t>candidates may qualify for the BPCIA’s 12-year period of exclusivity. However, there is a risk that the FDA will not consider our product candidates to be reference products for competing products, potentially creating the opportunity for biosimilar compet</w:t>
      </w:r>
      <w:r>
        <w:rPr>
          <w:sz w:val="20"/>
          <w:szCs w:val="20"/>
        </w:rPr>
        <w:t>ition sooner than anticipated. Additionally, this period of regulatory exclusivity does not block companies pursuing regulatory approval via their own traditional BLA, rather than via the abbreviated pathway. Changes may also be made to this exclusivity pe</w:t>
      </w:r>
      <w:r>
        <w:rPr>
          <w:sz w:val="20"/>
          <w:szCs w:val="20"/>
        </w:rPr>
        <w:t>riod as a result of future legislation as there has been ongoing efforts to reduce the period of exclusivity. Even if we receive a period of BPCIA exclusivity for our first licensed product, if subsequent products do not include a modification to the struc</w:t>
      </w:r>
      <w:r>
        <w:rPr>
          <w:sz w:val="20"/>
          <w:szCs w:val="20"/>
        </w:rPr>
        <w:t xml:space="preserve">ture of the product that impacts safety, purity, or potency, we may not receive additional periods of exclusivity for those products. Moreover, the extent to which a biosimilar, once approved, will be substituted for any one of our reference products in a </w:t>
      </w:r>
      <w:r>
        <w:rPr>
          <w:sz w:val="20"/>
          <w:szCs w:val="20"/>
        </w:rPr>
        <w:t>way that is similar to traditional generic substitution for non-biological products is not yet clear, and will depend on a number of marketplace and regulatory factors that are still developing. Medicare Part B encourages use of biosimilars by paying the p</w:t>
      </w:r>
      <w:r>
        <w:rPr>
          <w:sz w:val="20"/>
          <w:szCs w:val="20"/>
        </w:rPr>
        <w:t>rovider the same percentage of the reference product, average sale price, or ASP as a mark-up, regardless of which product is reimbursed. It is also possible that payors will give reimbursement preference to biosimilars even over reference biologics absent</w:t>
      </w:r>
      <w:r>
        <w:rPr>
          <w:sz w:val="20"/>
          <w:szCs w:val="20"/>
        </w:rPr>
        <w:t xml:space="preserve"> a determination of interchangeability.</w:t>
      </w:r>
    </w:p>
    <w:p w:rsidR="00000000" w:rsidRDefault="00FF2C06">
      <w:pPr>
        <w:pStyle w:val="a3"/>
        <w:spacing w:before="480" w:beforeAutospacing="0" w:after="0" w:afterAutospacing="0"/>
        <w:jc w:val="center"/>
        <w:divId w:val="1114905776"/>
        <w:rPr>
          <w:sz w:val="20"/>
          <w:szCs w:val="20"/>
        </w:rPr>
      </w:pPr>
      <w:r>
        <w:rPr>
          <w:sz w:val="20"/>
          <w:szCs w:val="20"/>
        </w:rPr>
        <w:t>60</w:t>
      </w:r>
    </w:p>
    <w:p w:rsidR="00000000" w:rsidRDefault="00FF2C06">
      <w:pPr>
        <w:pStyle w:val="a3"/>
        <w:spacing w:before="0" w:beforeAutospacing="0" w:after="600" w:afterAutospacing="0"/>
        <w:divId w:val="71589289"/>
        <w:rPr>
          <w:sz w:val="20"/>
          <w:szCs w:val="20"/>
        </w:rPr>
      </w:pPr>
      <w:hyperlink w:anchor="TOC" w:history="1">
        <w:r>
          <w:rPr>
            <w:rStyle w:val="a4"/>
            <w:sz w:val="20"/>
            <w:szCs w:val="20"/>
          </w:rPr>
          <w:t>Table of Contents</w:t>
        </w:r>
      </w:hyperlink>
    </w:p>
    <w:p w:rsidR="00000000" w:rsidRDefault="00FF2C06">
      <w:pPr>
        <w:pStyle w:val="a3"/>
        <w:spacing w:before="0" w:beforeAutospacing="0" w:after="200" w:afterAutospacing="0"/>
        <w:ind w:firstLine="540"/>
        <w:divId w:val="1107697254"/>
        <w:rPr>
          <w:sz w:val="20"/>
          <w:szCs w:val="20"/>
        </w:rPr>
      </w:pPr>
      <w:r>
        <w:rPr>
          <w:b/>
          <w:bCs/>
          <w:i/>
          <w:iCs/>
          <w:sz w:val="20"/>
          <w:szCs w:val="20"/>
        </w:rPr>
        <w:t>We will need to obtain FDA approval of any proposed branded product names, and any failure or delay associated with such approval may adversely affect our business.</w:t>
      </w:r>
    </w:p>
    <w:p w:rsidR="00000000" w:rsidRDefault="00FF2C06">
      <w:pPr>
        <w:pStyle w:val="a3"/>
        <w:spacing w:before="0" w:beforeAutospacing="0" w:after="200" w:afterAutospacing="0"/>
        <w:ind w:firstLine="540"/>
        <w:divId w:val="1107697254"/>
        <w:rPr>
          <w:sz w:val="20"/>
          <w:szCs w:val="20"/>
        </w:rPr>
      </w:pPr>
      <w:r>
        <w:rPr>
          <w:sz w:val="20"/>
          <w:szCs w:val="20"/>
        </w:rPr>
        <w:t xml:space="preserve">Any </w:t>
      </w:r>
      <w:r>
        <w:rPr>
          <w:sz w:val="20"/>
          <w:szCs w:val="20"/>
        </w:rPr>
        <w:t>name we intend to use for our product candidates will require approval from the FDA regardless of whether we have secured a formal trademark registration from the U.S. Patent and Trademark Office, or USPTO. The FDA typically conducts a review of proposed p</w:t>
      </w:r>
      <w:r>
        <w:rPr>
          <w:sz w:val="20"/>
          <w:szCs w:val="20"/>
        </w:rPr>
        <w:t>roduct names, including an evaluation of the potential for confusion with other product names. The FDA may also object to a product name if it believes the name inappropriately implies medical claims or contributes to an overstatement of efficacy. If the F</w:t>
      </w:r>
      <w:r>
        <w:rPr>
          <w:sz w:val="20"/>
          <w:szCs w:val="20"/>
        </w:rPr>
        <w:t>DA objects to any of our proposed product names, we may be required to adopt alternative names for our product candidates. If we adopt alternative names, we would lose the benefit of any existing trademark applications for such product candidate and may be</w:t>
      </w:r>
      <w:r>
        <w:rPr>
          <w:sz w:val="20"/>
          <w:szCs w:val="20"/>
        </w:rPr>
        <w:t xml:space="preserve"> required to expend significant additional resources in an effort to identify a suitable product name that would qualify under applicable trademark laws, not infringe the existing rights of third parties, and be acceptable to the FDA. We may be unable to b</w:t>
      </w:r>
      <w:r>
        <w:rPr>
          <w:sz w:val="20"/>
          <w:szCs w:val="20"/>
        </w:rPr>
        <w:t>uild a successful brand identity for a new trademark in a timely manner or at all, which would limit our ability to commercialize our product candidates.</w:t>
      </w:r>
    </w:p>
    <w:p w:rsidR="00000000" w:rsidRDefault="00FF2C06">
      <w:pPr>
        <w:pStyle w:val="a3"/>
        <w:spacing w:before="0" w:beforeAutospacing="0" w:after="200" w:afterAutospacing="0"/>
        <w:ind w:firstLine="540"/>
        <w:divId w:val="1107697254"/>
        <w:rPr>
          <w:sz w:val="20"/>
          <w:szCs w:val="20"/>
        </w:rPr>
      </w:pPr>
      <w:r>
        <w:rPr>
          <w:b/>
          <w:bCs/>
          <w:i/>
          <w:iCs/>
          <w:sz w:val="20"/>
          <w:szCs w:val="20"/>
        </w:rPr>
        <w:t>Our internal computer systems, or those used by our contract research organizations or other contracto</w:t>
      </w:r>
      <w:r>
        <w:rPr>
          <w:b/>
          <w:bCs/>
          <w:i/>
          <w:iCs/>
          <w:sz w:val="20"/>
          <w:szCs w:val="20"/>
        </w:rPr>
        <w:t>rs or consultants, may fail or suffer security breaches.</w:t>
      </w:r>
    </w:p>
    <w:p w:rsidR="00000000" w:rsidRDefault="00FF2C06">
      <w:pPr>
        <w:pStyle w:val="a3"/>
        <w:spacing w:before="0" w:beforeAutospacing="0" w:after="200" w:afterAutospacing="0"/>
        <w:ind w:firstLine="540"/>
        <w:divId w:val="1107697254"/>
        <w:rPr>
          <w:sz w:val="20"/>
          <w:szCs w:val="20"/>
        </w:rPr>
      </w:pPr>
      <w:r>
        <w:rPr>
          <w:sz w:val="20"/>
          <w:szCs w:val="20"/>
        </w:rPr>
        <w:t>Despite the implementation of security measures, our internal computer systems and those of our contract research organizations and other contractors and consultants are vulnerable to damage from com</w:t>
      </w:r>
      <w:r>
        <w:rPr>
          <w:sz w:val="20"/>
          <w:szCs w:val="20"/>
        </w:rPr>
        <w:t>puter viruses, unauthorized and authorized access, natural disasters, terrorism, war and telecommunication and electrical failures. If such an event was to occur and cause interruptions in our operations, it could result in a disruption of our drug develop</w:t>
      </w:r>
      <w:r>
        <w:rPr>
          <w:sz w:val="20"/>
          <w:szCs w:val="20"/>
        </w:rPr>
        <w:t>ment programs. For example, the loss of clinical trial data from completed or ongoing clinical trials for a product candidate could result in delays in our regulatory approval efforts and significantly increase our costs to recover or reproduce the data. T</w:t>
      </w:r>
      <w:r>
        <w:rPr>
          <w:sz w:val="20"/>
          <w:szCs w:val="20"/>
        </w:rPr>
        <w:t>o the extent that any disruption or security breach were to result in a loss of or damage to our data or applications, or inappropriate disclosure of confidential or proprietary information, we could incur liability and the further development of any produ</w:t>
      </w:r>
      <w:r>
        <w:rPr>
          <w:sz w:val="20"/>
          <w:szCs w:val="20"/>
        </w:rPr>
        <w:t>ct candidates could be delayed.</w:t>
      </w:r>
    </w:p>
    <w:p w:rsidR="00000000" w:rsidRDefault="00FF2C06">
      <w:pPr>
        <w:pStyle w:val="a3"/>
        <w:spacing w:before="0" w:beforeAutospacing="0" w:after="200" w:afterAutospacing="0"/>
        <w:ind w:firstLine="540"/>
        <w:jc w:val="both"/>
        <w:divId w:val="1107697254"/>
        <w:rPr>
          <w:sz w:val="20"/>
          <w:szCs w:val="20"/>
        </w:rPr>
      </w:pPr>
      <w:r>
        <w:rPr>
          <w:b/>
          <w:bCs/>
          <w:i/>
          <w:iCs/>
          <w:sz w:val="20"/>
          <w:szCs w:val="20"/>
        </w:rPr>
        <w:t>We are dependent on information technology, systems, infrastructure and data.</w:t>
      </w:r>
    </w:p>
    <w:p w:rsidR="00000000" w:rsidRDefault="00FF2C06">
      <w:pPr>
        <w:pStyle w:val="a3"/>
        <w:spacing w:before="0" w:beforeAutospacing="0" w:after="200" w:afterAutospacing="0"/>
        <w:ind w:firstLine="540"/>
        <w:divId w:val="1107697254"/>
        <w:rPr>
          <w:sz w:val="20"/>
          <w:szCs w:val="20"/>
        </w:rPr>
      </w:pPr>
      <w:r>
        <w:rPr>
          <w:sz w:val="20"/>
          <w:szCs w:val="20"/>
        </w:rPr>
        <w:t>We are dependent upon information technology systems, infrastructure and data. The multitude and complexity of our computer systems make them inhe</w:t>
      </w:r>
      <w:r>
        <w:rPr>
          <w:sz w:val="20"/>
          <w:szCs w:val="20"/>
        </w:rPr>
        <w:t xml:space="preserve">rently vulnerable to service interruption or destruction, malicious intrusion and random attack. Likewise, data privacy or security breaches by third parties, employees, contractors or others may pose a risk that sensitive data, including our intellectual </w:t>
      </w:r>
      <w:r>
        <w:rPr>
          <w:sz w:val="20"/>
          <w:szCs w:val="20"/>
        </w:rPr>
        <w:t>property, trade secrets or personal information of our employees, patients, or other business partners may be exposed to unauthorized persons or to the public. Cyberattacks are increasing in their frequency, sophistication and intensity. Cyberattacks could</w:t>
      </w:r>
      <w:r>
        <w:rPr>
          <w:sz w:val="20"/>
          <w:szCs w:val="20"/>
        </w:rPr>
        <w:t xml:space="preserve"> include the deployment of harmful malware, denial-of-service, social engineering and other means to affect service reliability and threaten data confidentiality, integrity and availability. Our business and technology partners face similar risks and any s</w:t>
      </w:r>
      <w:r>
        <w:rPr>
          <w:sz w:val="20"/>
          <w:szCs w:val="20"/>
        </w:rPr>
        <w:t>ecurity breach of their systems could adversely affect our security posture. While we have invested, and continue to invest, in the protection of our data and information technology infrastructure, there can be no assurance that our efforts, or the efforts</w:t>
      </w:r>
      <w:r>
        <w:rPr>
          <w:sz w:val="20"/>
          <w:szCs w:val="20"/>
        </w:rPr>
        <w:t xml:space="preserve"> of our partners and vendors, will prevent service interruptions, or identify breaches in our systems, that could adversely affect our business and operations and/or result in the loss of critical or sensitive information, which could result in financial, </w:t>
      </w:r>
      <w:r>
        <w:rPr>
          <w:sz w:val="20"/>
          <w:szCs w:val="20"/>
        </w:rPr>
        <w:t>legal, business or reputational harm to us. In addition, our liability insurance may not be sufficient in type or amount to cover us against claims related to security breaches, cyberattacks and other related breaches.</w:t>
      </w:r>
    </w:p>
    <w:p w:rsidR="00000000" w:rsidRDefault="00FF2C06">
      <w:pPr>
        <w:pStyle w:val="a3"/>
        <w:spacing w:before="0" w:beforeAutospacing="0" w:after="200" w:afterAutospacing="0"/>
        <w:ind w:firstLine="547"/>
        <w:divId w:val="1107697254"/>
        <w:rPr>
          <w:sz w:val="20"/>
          <w:szCs w:val="20"/>
        </w:rPr>
      </w:pPr>
      <w:r>
        <w:rPr>
          <w:b/>
          <w:bCs/>
          <w:i/>
          <w:iCs/>
          <w:sz w:val="20"/>
          <w:szCs w:val="20"/>
        </w:rPr>
        <w:t>Our business could be adversely affec</w:t>
      </w:r>
      <w:r>
        <w:rPr>
          <w:b/>
          <w:bCs/>
          <w:i/>
          <w:iCs/>
          <w:sz w:val="20"/>
          <w:szCs w:val="20"/>
        </w:rPr>
        <w:t>ted by the effects of health epidemics, including the recent spread of the disease caused by the novel coronavirus, SARS-CoV-2 (the "COVID-19 Pandemic"), in regions where we or third parties on which we rely have significant manufacturing facilities, conce</w:t>
      </w:r>
      <w:r>
        <w:rPr>
          <w:b/>
          <w:bCs/>
          <w:i/>
          <w:iCs/>
          <w:sz w:val="20"/>
          <w:szCs w:val="20"/>
        </w:rPr>
        <w:t>ntrations of clinical trial sites or other business operations. The COVID-19 Pandemic could materially affect our operations, including at our headquarters in San Carlos and at our manufacturing facility in Philadelphia, which are currently subject to stat</w:t>
      </w:r>
      <w:r>
        <w:rPr>
          <w:b/>
          <w:bCs/>
          <w:i/>
          <w:iCs/>
          <w:sz w:val="20"/>
          <w:szCs w:val="20"/>
        </w:rPr>
        <w:t>e executive orders and shelter-in-place orders, and at our clinical trial sites, as well as the business or operations of our other manufacturers, CROs or other third parties with whom we conduct business.*</w:t>
      </w:r>
    </w:p>
    <w:p w:rsidR="00000000" w:rsidRDefault="00FF2C06">
      <w:pPr>
        <w:pStyle w:val="a3"/>
        <w:spacing w:before="0" w:beforeAutospacing="0" w:after="0" w:afterAutospacing="0"/>
        <w:ind w:firstLine="547"/>
        <w:divId w:val="1107697254"/>
        <w:rPr>
          <w:sz w:val="20"/>
          <w:szCs w:val="20"/>
        </w:rPr>
      </w:pPr>
      <w:r>
        <w:rPr>
          <w:sz w:val="20"/>
          <w:szCs w:val="20"/>
        </w:rPr>
        <w:t>Our business could be adversely affected by healt</w:t>
      </w:r>
      <w:r>
        <w:rPr>
          <w:sz w:val="20"/>
          <w:szCs w:val="20"/>
        </w:rPr>
        <w:t>h epidemics in regions where we have offices, manufacturing facilities, concentrations of clinical trial sites or other business operations, and could cause significant disruption in the operations of clinical trial sites, third party manufacturers and CRO</w:t>
      </w:r>
      <w:r>
        <w:rPr>
          <w:sz w:val="20"/>
          <w:szCs w:val="20"/>
        </w:rPr>
        <w:t>s upon whom we rely. For example, starting in December 2019, the COVID-19 Pandemic has spread to multiple countries, including the United States and several European countries. Our headquarters is located in the San Francisco Bay Area. The President of the</w:t>
      </w:r>
      <w:r>
        <w:rPr>
          <w:sz w:val="20"/>
          <w:szCs w:val="20"/>
        </w:rPr>
        <w:t xml:space="preserve"> United States declared the COVID-19 Pandemic a national emergency. Similarly, the State of California declared a state of emergency related to the spread of the COVID-19 Pandemic. In March 2020, the health officers of six San Francisco Bay Area counties, </w:t>
      </w:r>
      <w:r>
        <w:rPr>
          <w:sz w:val="20"/>
          <w:szCs w:val="20"/>
        </w:rPr>
        <w:t>including San Mateo County where our headquarters in San Carlos are located, issued shelter-in-place orders. The shelter-in-place orders took effect on March 17, 2020 and will continue through the end of May 2020,</w:t>
      </w:r>
      <w:r>
        <w:rPr>
          <w:sz w:val="20"/>
          <w:szCs w:val="20"/>
        </w:rPr>
        <w:t xml:space="preserve"> </w:t>
      </w:r>
    </w:p>
    <w:p w:rsidR="00000000" w:rsidRDefault="00FF2C06">
      <w:pPr>
        <w:pStyle w:val="a3"/>
        <w:spacing w:before="480" w:beforeAutospacing="0" w:after="0" w:afterAutospacing="0"/>
        <w:jc w:val="center"/>
        <w:divId w:val="1024670759"/>
        <w:rPr>
          <w:sz w:val="20"/>
          <w:szCs w:val="20"/>
        </w:rPr>
      </w:pPr>
      <w:r>
        <w:rPr>
          <w:sz w:val="20"/>
          <w:szCs w:val="20"/>
        </w:rPr>
        <w:t>61</w:t>
      </w:r>
    </w:p>
    <w:p w:rsidR="00000000" w:rsidRDefault="00FF2C06">
      <w:pPr>
        <w:pStyle w:val="a3"/>
        <w:spacing w:before="0" w:beforeAutospacing="0" w:after="600" w:afterAutospacing="0"/>
        <w:divId w:val="357901"/>
        <w:rPr>
          <w:sz w:val="20"/>
          <w:szCs w:val="20"/>
        </w:rPr>
      </w:pPr>
      <w:hyperlink w:anchor="TOC" w:history="1">
        <w:r>
          <w:rPr>
            <w:rStyle w:val="a4"/>
            <w:sz w:val="20"/>
            <w:szCs w:val="20"/>
          </w:rPr>
          <w:t>Table of Contents</w:t>
        </w:r>
      </w:hyperlink>
    </w:p>
    <w:p w:rsidR="00000000" w:rsidRDefault="00FF2C06">
      <w:pPr>
        <w:pStyle w:val="a3"/>
        <w:spacing w:before="0" w:beforeAutospacing="0" w:after="200" w:afterAutospacing="0"/>
        <w:divId w:val="224418160"/>
        <w:rPr>
          <w:sz w:val="20"/>
          <w:szCs w:val="20"/>
        </w:rPr>
      </w:pPr>
      <w:r>
        <w:rPr>
          <w:sz w:val="20"/>
          <w:szCs w:val="20"/>
        </w:rPr>
        <w:t>unless further extended. In addition, on March 19, 2020, the Governor of California and the State Public Health Officer and Director of the California Department of Public Health ordered all individuals living in</w:t>
      </w:r>
      <w:r>
        <w:rPr>
          <w:sz w:val="20"/>
          <w:szCs w:val="20"/>
        </w:rPr>
        <w:t xml:space="preserve"> the State of California to stay at their place of residence for an indefinite period of time (subject to certain exceptions to facilitate authorized necessary activities) to mitigate the impact of the COVID-19 pandemic. Similar executive orders have been </w:t>
      </w:r>
      <w:r>
        <w:rPr>
          <w:sz w:val="20"/>
          <w:szCs w:val="20"/>
        </w:rPr>
        <w:t>issued by state and local governments in Pennsylvania, Florida, and elsewhere, and states of emergency have been declared at the state and local level in most jurisdictions throughout the United States.</w:t>
      </w:r>
      <w:r>
        <w:rPr>
          <w:sz w:val="20"/>
          <w:szCs w:val="20"/>
        </w:rPr>
        <w:t xml:space="preserve"> </w:t>
      </w:r>
    </w:p>
    <w:p w:rsidR="00000000" w:rsidRDefault="00FF2C06">
      <w:pPr>
        <w:pStyle w:val="a3"/>
        <w:spacing w:before="0" w:beforeAutospacing="0" w:after="200" w:afterAutospacing="0"/>
        <w:ind w:firstLine="547"/>
        <w:divId w:val="224418160"/>
        <w:rPr>
          <w:sz w:val="20"/>
          <w:szCs w:val="20"/>
        </w:rPr>
      </w:pPr>
      <w:r>
        <w:rPr>
          <w:sz w:val="20"/>
          <w:szCs w:val="20"/>
        </w:rPr>
        <w:t>Quarantines, shelter-in-place and similar government</w:t>
      </w:r>
      <w:r>
        <w:rPr>
          <w:sz w:val="20"/>
          <w:szCs w:val="20"/>
        </w:rPr>
        <w:t xml:space="preserve"> orders, or the perception that such orders, shutdowns or other restrictions on the conduct of business operations could occur, related to the COVID-19 Pandemic or other infectious diseases could impact personnel at third-party manufacturing facilities in </w:t>
      </w:r>
      <w:r>
        <w:rPr>
          <w:sz w:val="20"/>
          <w:szCs w:val="20"/>
        </w:rPr>
        <w:t>the United States and other countries, or the availability or cost of materials, which would disrupt our supply chain. In addition, our clinical trials may be affected by the COVID-19 Pandemic. Clinical site initiation, patient enrollment and patient monit</w:t>
      </w:r>
      <w:r>
        <w:rPr>
          <w:sz w:val="20"/>
          <w:szCs w:val="20"/>
        </w:rPr>
        <w:t>oring may be delayed due to prioritization of hospital resources toward the COVID-19 Pandemic. Some sites may no longer be available to see patients for clinical trials. Some patients may not be able to comply with clinical trial protocols if quarantines i</w:t>
      </w:r>
      <w:r>
        <w:rPr>
          <w:sz w:val="20"/>
          <w:szCs w:val="20"/>
        </w:rPr>
        <w:t>mpede patient movement or interrupt healthcare services. Patients may also miss follow-up visits after receiving our therapies during our clinical trials, which may or may not be rectified by future patient visits and which may result in the exclusion of d</w:t>
      </w:r>
      <w:r>
        <w:rPr>
          <w:sz w:val="20"/>
          <w:szCs w:val="20"/>
        </w:rPr>
        <w:t xml:space="preserve">ata from such patients from the clinical trial data. Similarly, our ability to recruit and retain patients and principal investigators and site staff who, as healthcare providers, may have heightened exposure to the virus that causes the COVID-19 Pandemic </w:t>
      </w:r>
      <w:r>
        <w:rPr>
          <w:sz w:val="20"/>
          <w:szCs w:val="20"/>
        </w:rPr>
        <w:t>and adversely impact our clinical trial operations</w:t>
      </w:r>
      <w:r>
        <w:rPr>
          <w:sz w:val="20"/>
          <w:szCs w:val="20"/>
        </w:rPr>
        <w:t>.</w:t>
      </w:r>
    </w:p>
    <w:p w:rsidR="00000000" w:rsidRDefault="00FF2C06">
      <w:pPr>
        <w:pStyle w:val="a3"/>
        <w:spacing w:before="0" w:beforeAutospacing="0" w:after="200" w:afterAutospacing="0"/>
        <w:ind w:firstLine="547"/>
        <w:divId w:val="224418160"/>
        <w:rPr>
          <w:sz w:val="20"/>
          <w:szCs w:val="20"/>
        </w:rPr>
      </w:pPr>
      <w:r>
        <w:rPr>
          <w:sz w:val="20"/>
          <w:szCs w:val="20"/>
        </w:rPr>
        <w:t>We continue to monitor the impact, if any, of the COVID-19 Pandemic on our current and future operations, including our regulatory filing timelines and strategy as well as our preparation for commercial l</w:t>
      </w:r>
      <w:r>
        <w:rPr>
          <w:sz w:val="20"/>
          <w:szCs w:val="20"/>
        </w:rPr>
        <w:t>aunch. Should the COVID-19 Pandemic continue for an extended period of time and travel, face to face interactions, and resources are not allowed or are severely limited, either by us or our contractors, including our CMOs, our regulatory strategy, BLA fili</w:t>
      </w:r>
      <w:r>
        <w:rPr>
          <w:sz w:val="20"/>
          <w:szCs w:val="20"/>
        </w:rPr>
        <w:t>ng timelines, or commercial launch preparations may be negatively impacted. The COVID-19 Pandemic may also impact the FDA and their ability to timely review our regulatory filings</w:t>
      </w:r>
      <w:r>
        <w:rPr>
          <w:sz w:val="20"/>
          <w:szCs w:val="20"/>
        </w:rPr>
        <w:t>.</w:t>
      </w:r>
    </w:p>
    <w:p w:rsidR="00000000" w:rsidRDefault="00FF2C06">
      <w:pPr>
        <w:pStyle w:val="a3"/>
        <w:spacing w:before="0" w:beforeAutospacing="0" w:after="200" w:afterAutospacing="0"/>
        <w:ind w:firstLine="547"/>
        <w:divId w:val="224418160"/>
        <w:rPr>
          <w:sz w:val="20"/>
          <w:szCs w:val="20"/>
        </w:rPr>
      </w:pPr>
      <w:r>
        <w:rPr>
          <w:b/>
          <w:bCs/>
          <w:i/>
          <w:iCs/>
          <w:sz w:val="20"/>
          <w:szCs w:val="20"/>
        </w:rPr>
        <w:t>Our failure to comply with international data protection laws and regulatio</w:t>
      </w:r>
      <w:r>
        <w:rPr>
          <w:b/>
          <w:bCs/>
          <w:i/>
          <w:iCs/>
          <w:sz w:val="20"/>
          <w:szCs w:val="20"/>
        </w:rPr>
        <w:t>ns could lead to government enforcement actions and significant penalties against us, and adversely impact our operating results.</w:t>
      </w:r>
    </w:p>
    <w:p w:rsidR="00000000" w:rsidRDefault="00FF2C06">
      <w:pPr>
        <w:pStyle w:val="a3"/>
        <w:spacing w:before="0" w:beforeAutospacing="0" w:after="200" w:afterAutospacing="0"/>
        <w:ind w:firstLine="547"/>
        <w:divId w:val="224418160"/>
        <w:rPr>
          <w:sz w:val="20"/>
          <w:szCs w:val="20"/>
        </w:rPr>
      </w:pPr>
      <w:r>
        <w:rPr>
          <w:sz w:val="20"/>
          <w:szCs w:val="20"/>
        </w:rPr>
        <w:t>European Union, or EU, member states and other foreign jurisdictions, including Switzerland, have adopted data protection laws</w:t>
      </w:r>
      <w:r>
        <w:rPr>
          <w:sz w:val="20"/>
          <w:szCs w:val="20"/>
        </w:rPr>
        <w:t xml:space="preserve"> and regulations which impose significant compliance obligations on us. Moreover, the collection and use of personal health data in the EU, which was formerly governed by the provisions of the EU Data Protection Directive, was replaced with the EU General </w:t>
      </w:r>
      <w:r>
        <w:rPr>
          <w:sz w:val="20"/>
          <w:szCs w:val="20"/>
        </w:rPr>
        <w:t>Data Protection Regulation, or the GDPR, in May 2018. The GDPR, which is wide-ranging in scope, imposes several requirements relating to the consent of the individuals to whom the personal data relates, the information provided to the individuals, the secu</w:t>
      </w:r>
      <w:r>
        <w:rPr>
          <w:sz w:val="20"/>
          <w:szCs w:val="20"/>
        </w:rPr>
        <w:t>rity and confidentiality of the personal data, data breach notification and the use of third-party processors in connection with the processing of personal data. The GDPR also imposes strict rules on the transfer of personal data out of the EU to the U.S.,</w:t>
      </w:r>
      <w:r>
        <w:rPr>
          <w:sz w:val="20"/>
          <w:szCs w:val="20"/>
        </w:rPr>
        <w:t xml:space="preserve"> provides an enforcement authority and imposes large penalties for noncompliance, including the potential for fines of up to €20 million or 4% of the annual global revenues of the noncompliant company, whichever is greater. The GDPR requirements apply not </w:t>
      </w:r>
      <w:r>
        <w:rPr>
          <w:sz w:val="20"/>
          <w:szCs w:val="20"/>
        </w:rPr>
        <w:t>only to third-party transactions, but also to transfers of information between us and our subsidiaries, including employee information. The recent implementation of the GDPR has increased our responsibility and liability in relation to personal data that w</w:t>
      </w:r>
      <w:r>
        <w:rPr>
          <w:sz w:val="20"/>
          <w:szCs w:val="20"/>
        </w:rPr>
        <w:t>e process, including in clinical trials, and we may in the future be required to put in place additional mechanisms to ensure compliance with the GDPR, which could divert management’s attention and increase our cost of doing business. In addition, new regu</w:t>
      </w:r>
      <w:r>
        <w:rPr>
          <w:sz w:val="20"/>
          <w:szCs w:val="20"/>
        </w:rPr>
        <w:t>lation or legislative actions regarding data privacy and security (together with applicable industry standards) may increase our costs of doing business. In this regard, we expect that there will continue to be new proposed laws, regulations and industry s</w:t>
      </w:r>
      <w:r>
        <w:rPr>
          <w:sz w:val="20"/>
          <w:szCs w:val="20"/>
        </w:rPr>
        <w:t>tandards relating to privacy and data protection in the United States, the EU and other jurisdictions, and we cannot determine the impact such future laws, regulations and standards may have on our business.</w:t>
      </w:r>
    </w:p>
    <w:p w:rsidR="00000000" w:rsidRDefault="00FF2C06">
      <w:pPr>
        <w:pStyle w:val="a3"/>
        <w:spacing w:before="0" w:beforeAutospacing="0" w:after="200" w:afterAutospacing="0"/>
        <w:ind w:firstLine="547"/>
        <w:jc w:val="both"/>
        <w:divId w:val="224418160"/>
        <w:rPr>
          <w:sz w:val="20"/>
          <w:szCs w:val="20"/>
        </w:rPr>
      </w:pPr>
      <w:r>
        <w:rPr>
          <w:b/>
          <w:bCs/>
          <w:i/>
          <w:iCs/>
          <w:sz w:val="20"/>
          <w:szCs w:val="20"/>
        </w:rPr>
        <w:t>Our failure to comply with state and/or national</w:t>
      </w:r>
      <w:r>
        <w:rPr>
          <w:b/>
          <w:bCs/>
          <w:i/>
          <w:iCs/>
          <w:sz w:val="20"/>
          <w:szCs w:val="20"/>
        </w:rPr>
        <w:t xml:space="preserve"> data protection laws and regulations could lead to government enforcement actions and significant penalties against us, and adversely impact our operating results.</w:t>
      </w:r>
    </w:p>
    <w:p w:rsidR="00000000" w:rsidRDefault="00FF2C06">
      <w:pPr>
        <w:pStyle w:val="a3"/>
        <w:spacing w:before="0" w:beforeAutospacing="0" w:after="0" w:afterAutospacing="0"/>
        <w:ind w:firstLine="547"/>
        <w:divId w:val="224418160"/>
        <w:rPr>
          <w:sz w:val="20"/>
          <w:szCs w:val="20"/>
        </w:rPr>
      </w:pPr>
      <w:r>
        <w:rPr>
          <w:sz w:val="20"/>
          <w:szCs w:val="20"/>
        </w:rPr>
        <w:t>There are numerous other laws and legislative and regulatory initiatives at the federal and</w:t>
      </w:r>
      <w:r>
        <w:rPr>
          <w:sz w:val="20"/>
          <w:szCs w:val="20"/>
        </w:rPr>
        <w:t xml:space="preserve"> state levels addressing privacy and security concerns, and some state privacy laws apply more broadly than the Health Insurance Portability and Accountability Act, or HIPAA, and associated regulations. For example, California recently enacted legislation </w:t>
      </w:r>
      <w:r>
        <w:rPr>
          <w:sz w:val="20"/>
          <w:szCs w:val="20"/>
        </w:rPr>
        <w:t>- the California Consumer Privacy Act, or CCPA - which went into effect January 1, 2020. The CCPA, among other things, creates new data privacy obligations for covered companies and provides new privacy rights to California residents, including the right t</w:t>
      </w:r>
      <w:r>
        <w:rPr>
          <w:sz w:val="20"/>
          <w:szCs w:val="20"/>
        </w:rPr>
        <w:t>o opt out of certain disclosures of their information. The CCPA also creates a private right of action with statutory damages for certain data breaches, thereby potentially increasing risks associated with a data breach. The California Attorney General wil</w:t>
      </w:r>
      <w:r>
        <w:rPr>
          <w:sz w:val="20"/>
          <w:szCs w:val="20"/>
        </w:rPr>
        <w:t xml:space="preserve">l issue final regulations. Although the law includes limited exceptions, including for certain information collected as part of clinical trials as specified in the law, it may regulate or impact </w:t>
      </w:r>
    </w:p>
    <w:p w:rsidR="00000000" w:rsidRDefault="00FF2C06">
      <w:pPr>
        <w:pStyle w:val="a3"/>
        <w:spacing w:before="480" w:beforeAutospacing="0" w:after="0" w:afterAutospacing="0"/>
        <w:jc w:val="center"/>
        <w:divId w:val="776825574"/>
        <w:rPr>
          <w:sz w:val="20"/>
          <w:szCs w:val="20"/>
        </w:rPr>
      </w:pPr>
      <w:r>
        <w:rPr>
          <w:sz w:val="20"/>
          <w:szCs w:val="20"/>
        </w:rPr>
        <w:t>62</w:t>
      </w:r>
    </w:p>
    <w:p w:rsidR="00000000" w:rsidRDefault="00FF2C06">
      <w:pPr>
        <w:pStyle w:val="a3"/>
        <w:spacing w:before="0" w:beforeAutospacing="0" w:after="600" w:afterAutospacing="0"/>
        <w:divId w:val="1129936207"/>
        <w:rPr>
          <w:sz w:val="20"/>
          <w:szCs w:val="20"/>
        </w:rPr>
      </w:pPr>
      <w:hyperlink w:anchor="TOC" w:history="1">
        <w:r>
          <w:rPr>
            <w:rStyle w:val="a4"/>
            <w:sz w:val="20"/>
            <w:szCs w:val="20"/>
          </w:rPr>
          <w:t>Table of Contents</w:t>
        </w:r>
      </w:hyperlink>
    </w:p>
    <w:p w:rsidR="00000000" w:rsidRDefault="00FF2C06">
      <w:pPr>
        <w:pStyle w:val="a3"/>
        <w:spacing w:before="0" w:beforeAutospacing="0" w:after="200" w:afterAutospacing="0"/>
        <w:divId w:val="240335212"/>
        <w:rPr>
          <w:sz w:val="20"/>
          <w:szCs w:val="20"/>
        </w:rPr>
      </w:pPr>
      <w:r>
        <w:rPr>
          <w:sz w:val="20"/>
          <w:szCs w:val="20"/>
        </w:rPr>
        <w:t>our processin</w:t>
      </w:r>
      <w:r>
        <w:rPr>
          <w:sz w:val="20"/>
          <w:szCs w:val="20"/>
        </w:rPr>
        <w:t>g of personal information depending on the context. It remains unclear what language the final Attorney General regulations will contain, or how the statute and regulations will be interpreted.</w:t>
      </w:r>
    </w:p>
    <w:p w:rsidR="00000000" w:rsidRDefault="00FF2C06">
      <w:pPr>
        <w:pStyle w:val="a3"/>
        <w:spacing w:before="0" w:beforeAutospacing="0" w:after="200" w:afterAutospacing="0"/>
        <w:ind w:firstLine="547"/>
        <w:divId w:val="240335212"/>
        <w:rPr>
          <w:sz w:val="20"/>
          <w:szCs w:val="20"/>
        </w:rPr>
      </w:pPr>
      <w:r>
        <w:rPr>
          <w:b/>
          <w:bCs/>
          <w:i/>
          <w:iCs/>
          <w:sz w:val="20"/>
          <w:szCs w:val="20"/>
        </w:rPr>
        <w:t>We will need to grow the size and capabilities of our organiza</w:t>
      </w:r>
      <w:r>
        <w:rPr>
          <w:b/>
          <w:bCs/>
          <w:i/>
          <w:iCs/>
          <w:sz w:val="20"/>
          <w:szCs w:val="20"/>
        </w:rPr>
        <w:t>tion, and we may experience difficulties in managing this growth.</w:t>
      </w:r>
    </w:p>
    <w:p w:rsidR="00000000" w:rsidRDefault="00FF2C06">
      <w:pPr>
        <w:pStyle w:val="a3"/>
        <w:spacing w:before="0" w:beforeAutospacing="0" w:after="200" w:afterAutospacing="0"/>
        <w:ind w:firstLine="547"/>
        <w:divId w:val="240335212"/>
        <w:rPr>
          <w:sz w:val="20"/>
          <w:szCs w:val="20"/>
        </w:rPr>
      </w:pPr>
      <w:r>
        <w:rPr>
          <w:sz w:val="20"/>
          <w:szCs w:val="20"/>
        </w:rPr>
        <w:t>Our operations are dependent upon the services of our executives and our employees who are engaged in research and development. The loss of the services of our executive officers or senior r</w:t>
      </w:r>
      <w:r>
        <w:rPr>
          <w:sz w:val="20"/>
          <w:szCs w:val="20"/>
        </w:rPr>
        <w:t>esearch personnel could delay our product development programs and our research and development efforts. In order to develop our business in accordance with our business plan, we will have to hire additional qualified personnel, including in the areas of r</w:t>
      </w:r>
      <w:r>
        <w:rPr>
          <w:sz w:val="20"/>
          <w:szCs w:val="20"/>
        </w:rPr>
        <w:t>esearch, manufacturing, clinical trials management, regulatory affairs, and sales and marketing. We are continuing our efforts to recruit and hire the necessary employees to support our planned operations in the near term. However, competition for qualifie</w:t>
      </w:r>
      <w:r>
        <w:rPr>
          <w:sz w:val="20"/>
          <w:szCs w:val="20"/>
        </w:rPr>
        <w:t>d employees among companies in the biotechnology and biopharmaceutical industry is intense, and no assurance can be given that we will be able attract, hire, retain and motivate the highly skilled employees that we need. Future growth will impose significa</w:t>
      </w:r>
      <w:r>
        <w:rPr>
          <w:sz w:val="20"/>
          <w:szCs w:val="20"/>
        </w:rPr>
        <w:t>nt added responsibilities on members of management, including:</w:t>
      </w:r>
    </w:p>
    <w:p w:rsidR="00000000" w:rsidRDefault="00FF2C06">
      <w:pPr>
        <w:ind w:left="547" w:hanging="360"/>
        <w:divId w:val="2053994049"/>
        <w:rPr>
          <w:rFonts w:eastAsia="Times New Roman"/>
          <w:sz w:val="20"/>
          <w:szCs w:val="20"/>
        </w:rPr>
      </w:pPr>
      <w:r>
        <w:rPr>
          <w:rFonts w:eastAsia="Times New Roman"/>
          <w:sz w:val="20"/>
          <w:szCs w:val="20"/>
        </w:rPr>
        <w:t>●</w:t>
      </w:r>
      <w:r>
        <w:rPr>
          <w:rFonts w:eastAsia="Times New Roman"/>
          <w:sz w:val="20"/>
          <w:szCs w:val="20"/>
        </w:rPr>
        <w:t>identifying, recruiting, integrating, maintaining, and motivating additional employees;</w:t>
      </w:r>
    </w:p>
    <w:p w:rsidR="00000000" w:rsidRDefault="00FF2C06">
      <w:pPr>
        <w:ind w:left="547" w:hanging="360"/>
        <w:divId w:val="971981099"/>
        <w:rPr>
          <w:rFonts w:eastAsia="Times New Roman"/>
          <w:sz w:val="20"/>
          <w:szCs w:val="20"/>
        </w:rPr>
      </w:pPr>
      <w:r>
        <w:rPr>
          <w:rFonts w:eastAsia="Times New Roman"/>
          <w:sz w:val="20"/>
          <w:szCs w:val="20"/>
        </w:rPr>
        <w:t>●</w:t>
      </w:r>
      <w:r>
        <w:rPr>
          <w:rFonts w:eastAsia="Times New Roman"/>
          <w:sz w:val="20"/>
          <w:szCs w:val="20"/>
        </w:rPr>
        <w:t>managing our internal development efforts effectively, including the clinical and FDA review process for our product candidates, while complying with our contractual obligations to contractors and other third parties; and</w:t>
      </w:r>
    </w:p>
    <w:p w:rsidR="00000000" w:rsidRDefault="00FF2C06">
      <w:pPr>
        <w:ind w:left="547" w:hanging="360"/>
        <w:divId w:val="1022249182"/>
        <w:rPr>
          <w:rFonts w:eastAsia="Times New Roman"/>
          <w:sz w:val="20"/>
          <w:szCs w:val="20"/>
        </w:rPr>
      </w:pPr>
      <w:r>
        <w:rPr>
          <w:rFonts w:eastAsia="Times New Roman"/>
          <w:sz w:val="20"/>
          <w:szCs w:val="20"/>
        </w:rPr>
        <w:t>●</w:t>
      </w:r>
      <w:r>
        <w:rPr>
          <w:rFonts w:eastAsia="Times New Roman"/>
          <w:sz w:val="20"/>
          <w:szCs w:val="20"/>
        </w:rPr>
        <w:t>improving our operational, financ</w:t>
      </w:r>
      <w:r>
        <w:rPr>
          <w:rFonts w:eastAsia="Times New Roman"/>
          <w:sz w:val="20"/>
          <w:szCs w:val="20"/>
        </w:rPr>
        <w:t>ial and management controls, reporting systems, and procedures.</w:t>
      </w:r>
    </w:p>
    <w:p w:rsidR="00000000" w:rsidRDefault="00FF2C06">
      <w:pPr>
        <w:pStyle w:val="a3"/>
        <w:spacing w:before="0" w:beforeAutospacing="0" w:after="200" w:afterAutospacing="0"/>
        <w:ind w:firstLine="547"/>
        <w:divId w:val="240335212"/>
        <w:rPr>
          <w:sz w:val="20"/>
          <w:szCs w:val="20"/>
        </w:rPr>
      </w:pPr>
      <w:r>
        <w:rPr>
          <w:sz w:val="20"/>
          <w:szCs w:val="20"/>
        </w:rPr>
        <w:t>Our future financial performance and our ability to commercialize our product candidates will depend, in part, on our ability to effectively manage any future growth, and our management may al</w:t>
      </w:r>
      <w:r>
        <w:rPr>
          <w:sz w:val="20"/>
          <w:szCs w:val="20"/>
        </w:rPr>
        <w:t>so have to divert a disproportionate amount of its attention away from day-to-day activities in order to devote a substantial amount of time to managing these growth activities.</w:t>
      </w:r>
    </w:p>
    <w:p w:rsidR="00000000" w:rsidRDefault="00FF2C06">
      <w:pPr>
        <w:pStyle w:val="a3"/>
        <w:spacing w:before="0" w:beforeAutospacing="0" w:after="200" w:afterAutospacing="0"/>
        <w:ind w:firstLine="547"/>
        <w:divId w:val="240335212"/>
        <w:rPr>
          <w:sz w:val="20"/>
          <w:szCs w:val="20"/>
        </w:rPr>
      </w:pPr>
      <w:r>
        <w:rPr>
          <w:sz w:val="20"/>
          <w:szCs w:val="20"/>
        </w:rPr>
        <w:t>We currently rely, and for the foreseeable future will continue to rely, in su</w:t>
      </w:r>
      <w:r>
        <w:rPr>
          <w:sz w:val="20"/>
          <w:szCs w:val="20"/>
        </w:rPr>
        <w:t>bstantial part on certain independent organizations, advisors and consultants to provide certain services. There can be no assurance that the services of these independent organizations, advisors and consultants will continue to be available to us on a tim</w:t>
      </w:r>
      <w:r>
        <w:rPr>
          <w:sz w:val="20"/>
          <w:szCs w:val="20"/>
        </w:rPr>
        <w:t>ely basis when needed, or that we can find qualified replacements. In addition, if we are unable to effectively manage our outsourced activities or if the quality, compliance or accuracy of the services provided by consultants is compromised for any reason</w:t>
      </w:r>
      <w:r>
        <w:rPr>
          <w:sz w:val="20"/>
          <w:szCs w:val="20"/>
        </w:rPr>
        <w:t>, our clinical trials may be extended, delayed, or terminated, and we may not be able to obtain regulatory approval of our product candidates or otherwise advance our business. There can be no assurance that we will be able to manage our existing consultan</w:t>
      </w:r>
      <w:r>
        <w:rPr>
          <w:sz w:val="20"/>
          <w:szCs w:val="20"/>
        </w:rPr>
        <w:t>ts or find other competent outside contractors and consultants on economically reasonable terms, if at all.</w:t>
      </w:r>
    </w:p>
    <w:p w:rsidR="00000000" w:rsidRDefault="00FF2C06">
      <w:pPr>
        <w:pStyle w:val="a3"/>
        <w:spacing w:before="0" w:beforeAutospacing="0" w:after="200" w:afterAutospacing="0"/>
        <w:ind w:firstLine="547"/>
        <w:divId w:val="240335212"/>
        <w:rPr>
          <w:sz w:val="20"/>
          <w:szCs w:val="20"/>
        </w:rPr>
      </w:pPr>
      <w:r>
        <w:rPr>
          <w:sz w:val="20"/>
          <w:szCs w:val="20"/>
        </w:rPr>
        <w:t>If we are not able to effectively expand our organization by hiring new employees and expanding our groups of consultants and contractors, we may no</w:t>
      </w:r>
      <w:r>
        <w:rPr>
          <w:sz w:val="20"/>
          <w:szCs w:val="20"/>
        </w:rPr>
        <w:t>t be able to successfully implement the tasks necessary to further develop and commercialize our product candidates and, accordingly, may not achieve our research, development, and commercialization goals on a timely basis, or at all.</w:t>
      </w:r>
    </w:p>
    <w:p w:rsidR="00000000" w:rsidRDefault="00FF2C06">
      <w:pPr>
        <w:pStyle w:val="a3"/>
        <w:spacing w:before="0" w:beforeAutospacing="0" w:after="200" w:afterAutospacing="0"/>
        <w:ind w:firstLine="547"/>
        <w:divId w:val="240335212"/>
        <w:rPr>
          <w:sz w:val="20"/>
          <w:szCs w:val="20"/>
        </w:rPr>
      </w:pPr>
      <w:r>
        <w:rPr>
          <w:b/>
          <w:bCs/>
          <w:i/>
          <w:iCs/>
          <w:sz w:val="20"/>
          <w:szCs w:val="20"/>
        </w:rPr>
        <w:t>If we engage in futur</w:t>
      </w:r>
      <w:r>
        <w:rPr>
          <w:b/>
          <w:bCs/>
          <w:i/>
          <w:iCs/>
          <w:sz w:val="20"/>
          <w:szCs w:val="20"/>
        </w:rPr>
        <w:t>e acquisitions or strategic partnerships, this may increase our capital requirements, dilute our stockholders, cause us to incur debt or assume contingent liabilities, and subject us to other risks.</w:t>
      </w:r>
    </w:p>
    <w:p w:rsidR="00000000" w:rsidRDefault="00FF2C06">
      <w:pPr>
        <w:pStyle w:val="a3"/>
        <w:spacing w:before="0" w:beforeAutospacing="0" w:after="200" w:afterAutospacing="0"/>
        <w:ind w:firstLine="547"/>
        <w:divId w:val="240335212"/>
        <w:rPr>
          <w:sz w:val="20"/>
          <w:szCs w:val="20"/>
        </w:rPr>
      </w:pPr>
      <w:r>
        <w:rPr>
          <w:sz w:val="20"/>
          <w:szCs w:val="20"/>
        </w:rPr>
        <w:t>We may evaluate various acquisitions and strategic partnerships, including licensing or acquiring complementary products, intellectual property rights, technologies, or businesses. Any potential acquisition or strategic partnership may entail numerous risk</w:t>
      </w:r>
      <w:r>
        <w:rPr>
          <w:sz w:val="20"/>
          <w:szCs w:val="20"/>
        </w:rPr>
        <w:t>s, including:</w:t>
      </w:r>
    </w:p>
    <w:p w:rsidR="00000000" w:rsidRDefault="00FF2C06">
      <w:pPr>
        <w:ind w:left="547" w:hanging="360"/>
        <w:divId w:val="187376571"/>
        <w:rPr>
          <w:rFonts w:eastAsia="Times New Roman"/>
          <w:sz w:val="20"/>
          <w:szCs w:val="20"/>
        </w:rPr>
      </w:pPr>
      <w:r>
        <w:rPr>
          <w:rFonts w:eastAsia="Times New Roman"/>
          <w:sz w:val="20"/>
          <w:szCs w:val="20"/>
        </w:rPr>
        <w:t>●</w:t>
      </w:r>
      <w:r>
        <w:rPr>
          <w:rFonts w:eastAsia="Times New Roman"/>
          <w:sz w:val="20"/>
          <w:szCs w:val="20"/>
        </w:rPr>
        <w:t>increased operating expenses and cash requirements;</w:t>
      </w:r>
    </w:p>
    <w:p w:rsidR="00000000" w:rsidRDefault="00FF2C06">
      <w:pPr>
        <w:ind w:left="547" w:hanging="360"/>
        <w:divId w:val="1296981705"/>
        <w:rPr>
          <w:rFonts w:eastAsia="Times New Roman"/>
          <w:sz w:val="20"/>
          <w:szCs w:val="20"/>
        </w:rPr>
      </w:pPr>
      <w:r>
        <w:rPr>
          <w:rFonts w:eastAsia="Times New Roman"/>
          <w:sz w:val="20"/>
          <w:szCs w:val="20"/>
        </w:rPr>
        <w:t>●</w:t>
      </w:r>
      <w:r>
        <w:rPr>
          <w:rFonts w:eastAsia="Times New Roman"/>
          <w:sz w:val="20"/>
          <w:szCs w:val="20"/>
        </w:rPr>
        <w:t>the assumption of additional indebtedness or contingent liabilities;</w:t>
      </w:r>
    </w:p>
    <w:p w:rsidR="00000000" w:rsidRDefault="00FF2C06">
      <w:pPr>
        <w:ind w:left="547" w:hanging="360"/>
        <w:divId w:val="1561134506"/>
        <w:rPr>
          <w:rFonts w:eastAsia="Times New Roman"/>
          <w:sz w:val="20"/>
          <w:szCs w:val="20"/>
        </w:rPr>
      </w:pPr>
      <w:r>
        <w:rPr>
          <w:rFonts w:eastAsia="Times New Roman"/>
          <w:sz w:val="20"/>
          <w:szCs w:val="20"/>
        </w:rPr>
        <w:t>●</w:t>
      </w:r>
      <w:r>
        <w:rPr>
          <w:rFonts w:eastAsia="Times New Roman"/>
          <w:sz w:val="20"/>
          <w:szCs w:val="20"/>
        </w:rPr>
        <w:t>the issuance of our equity securities;</w:t>
      </w:r>
    </w:p>
    <w:p w:rsidR="00000000" w:rsidRDefault="00FF2C06">
      <w:pPr>
        <w:ind w:left="547" w:hanging="360"/>
        <w:divId w:val="1111241741"/>
        <w:rPr>
          <w:rFonts w:eastAsia="Times New Roman"/>
          <w:sz w:val="20"/>
          <w:szCs w:val="20"/>
        </w:rPr>
      </w:pPr>
      <w:r>
        <w:rPr>
          <w:rFonts w:eastAsia="Times New Roman"/>
          <w:sz w:val="20"/>
          <w:szCs w:val="20"/>
        </w:rPr>
        <w:t>●</w:t>
      </w:r>
      <w:r>
        <w:rPr>
          <w:rFonts w:eastAsia="Times New Roman"/>
          <w:sz w:val="20"/>
          <w:szCs w:val="20"/>
        </w:rPr>
        <w:t xml:space="preserve">assimilation of operations, intellectual property and products of an acquired </w:t>
      </w:r>
      <w:r>
        <w:rPr>
          <w:rFonts w:eastAsia="Times New Roman"/>
          <w:sz w:val="20"/>
          <w:szCs w:val="20"/>
        </w:rPr>
        <w:t>company or product, including difficulties associated with integrating new personnel;</w:t>
      </w:r>
    </w:p>
    <w:p w:rsidR="00000000" w:rsidRDefault="00FF2C06">
      <w:pPr>
        <w:ind w:left="547" w:hanging="360"/>
        <w:divId w:val="1833714179"/>
        <w:rPr>
          <w:rFonts w:eastAsia="Times New Roman"/>
          <w:sz w:val="20"/>
          <w:szCs w:val="20"/>
        </w:rPr>
      </w:pPr>
      <w:r>
        <w:rPr>
          <w:rFonts w:eastAsia="Times New Roman"/>
          <w:sz w:val="20"/>
          <w:szCs w:val="20"/>
        </w:rPr>
        <w:t>●</w:t>
      </w:r>
      <w:r>
        <w:rPr>
          <w:rFonts w:eastAsia="Times New Roman"/>
          <w:sz w:val="20"/>
          <w:szCs w:val="20"/>
        </w:rPr>
        <w:t>the diversion of our management’s attention from our existing product programs and initiatives in pursuing such a strategic merger or acquisition;</w:t>
      </w:r>
    </w:p>
    <w:p w:rsidR="00000000" w:rsidRDefault="00FF2C06">
      <w:pPr>
        <w:ind w:left="547" w:hanging="360"/>
        <w:divId w:val="2009282924"/>
        <w:rPr>
          <w:rFonts w:eastAsia="Times New Roman"/>
          <w:sz w:val="20"/>
          <w:szCs w:val="20"/>
        </w:rPr>
      </w:pPr>
      <w:r>
        <w:rPr>
          <w:rFonts w:eastAsia="Times New Roman"/>
          <w:sz w:val="20"/>
          <w:szCs w:val="20"/>
        </w:rPr>
        <w:t>●</w:t>
      </w:r>
      <w:r>
        <w:rPr>
          <w:rFonts w:eastAsia="Times New Roman"/>
          <w:sz w:val="20"/>
          <w:szCs w:val="20"/>
        </w:rPr>
        <w:t>retention of key empl</w:t>
      </w:r>
      <w:r>
        <w:rPr>
          <w:rFonts w:eastAsia="Times New Roman"/>
          <w:sz w:val="20"/>
          <w:szCs w:val="20"/>
        </w:rPr>
        <w:t>oyees, the loss of key personnel, and uncertainties in our ability to maintain key business relationships;</w:t>
      </w:r>
    </w:p>
    <w:p w:rsidR="00000000" w:rsidRDefault="00FF2C06">
      <w:pPr>
        <w:ind w:left="547" w:hanging="360"/>
        <w:divId w:val="179588348"/>
        <w:rPr>
          <w:rFonts w:eastAsia="Times New Roman"/>
          <w:sz w:val="20"/>
          <w:szCs w:val="20"/>
        </w:rPr>
      </w:pPr>
      <w:r>
        <w:rPr>
          <w:rFonts w:eastAsia="Times New Roman"/>
          <w:sz w:val="20"/>
          <w:szCs w:val="20"/>
        </w:rPr>
        <w:t>●</w:t>
      </w:r>
      <w:r>
        <w:rPr>
          <w:rFonts w:eastAsia="Times New Roman"/>
          <w:sz w:val="20"/>
          <w:szCs w:val="20"/>
        </w:rPr>
        <w:t xml:space="preserve">risks and uncertainties associated with the other party to such a transaction, including the prospects of that party and their existing products or </w:t>
      </w:r>
      <w:r>
        <w:rPr>
          <w:rFonts w:eastAsia="Times New Roman"/>
          <w:sz w:val="20"/>
          <w:szCs w:val="20"/>
        </w:rPr>
        <w:t>product candidates and regulatory approvals; and</w:t>
      </w:r>
    </w:p>
    <w:p w:rsidR="00000000" w:rsidRDefault="00FF2C06">
      <w:pPr>
        <w:pStyle w:val="a3"/>
        <w:spacing w:before="480" w:beforeAutospacing="0" w:after="0" w:afterAutospacing="0"/>
        <w:jc w:val="center"/>
        <w:divId w:val="2133403866"/>
        <w:rPr>
          <w:sz w:val="20"/>
          <w:szCs w:val="20"/>
        </w:rPr>
      </w:pPr>
      <w:r>
        <w:rPr>
          <w:sz w:val="20"/>
          <w:szCs w:val="20"/>
        </w:rPr>
        <w:t>63</w:t>
      </w:r>
    </w:p>
    <w:p w:rsidR="00000000" w:rsidRDefault="00FF2C06">
      <w:pPr>
        <w:pStyle w:val="a3"/>
        <w:spacing w:before="0" w:beforeAutospacing="0" w:after="600" w:afterAutospacing="0"/>
        <w:divId w:val="565652141"/>
        <w:rPr>
          <w:sz w:val="20"/>
          <w:szCs w:val="20"/>
        </w:rPr>
      </w:pPr>
      <w:hyperlink w:anchor="TOC" w:history="1">
        <w:r>
          <w:rPr>
            <w:rStyle w:val="a4"/>
            <w:sz w:val="20"/>
            <w:szCs w:val="20"/>
          </w:rPr>
          <w:t>Table of Contents</w:t>
        </w:r>
      </w:hyperlink>
    </w:p>
    <w:p w:rsidR="00000000" w:rsidRDefault="00FF2C06">
      <w:pPr>
        <w:ind w:left="547" w:hanging="360"/>
        <w:divId w:val="818035518"/>
        <w:rPr>
          <w:rFonts w:eastAsia="Times New Roman"/>
          <w:sz w:val="20"/>
          <w:szCs w:val="20"/>
        </w:rPr>
      </w:pPr>
      <w:r>
        <w:rPr>
          <w:rFonts w:eastAsia="Times New Roman"/>
          <w:sz w:val="20"/>
          <w:szCs w:val="20"/>
        </w:rPr>
        <w:t>●</w:t>
      </w:r>
      <w:r>
        <w:rPr>
          <w:rFonts w:eastAsia="Times New Roman"/>
          <w:sz w:val="20"/>
          <w:szCs w:val="20"/>
        </w:rPr>
        <w:t>our inability to generate revenue from acquired technology and/or products sufficient to meet our objectives in undertaking the acquisition or even to offset t</w:t>
      </w:r>
      <w:r>
        <w:rPr>
          <w:rFonts w:eastAsia="Times New Roman"/>
          <w:sz w:val="20"/>
          <w:szCs w:val="20"/>
        </w:rPr>
        <w:t>he associated acquisition and maintenance costs.</w:t>
      </w:r>
    </w:p>
    <w:p w:rsidR="00000000" w:rsidRDefault="00FF2C06">
      <w:pPr>
        <w:pStyle w:val="a3"/>
        <w:spacing w:before="0" w:beforeAutospacing="0" w:after="200" w:afterAutospacing="0"/>
        <w:ind w:firstLine="540"/>
        <w:divId w:val="1600218334"/>
        <w:rPr>
          <w:sz w:val="20"/>
          <w:szCs w:val="20"/>
        </w:rPr>
      </w:pPr>
      <w:r>
        <w:rPr>
          <w:sz w:val="20"/>
          <w:szCs w:val="20"/>
        </w:rPr>
        <w:t xml:space="preserve">Depending on the size and nature of future strategic acquisitions, we may acquire assets or businesses that require us to raise additional capital or to operate or manage businesses in which we have limited </w:t>
      </w:r>
      <w:r>
        <w:rPr>
          <w:sz w:val="20"/>
          <w:szCs w:val="20"/>
        </w:rPr>
        <w:t>experience. Making larger acquisitions that require us to raise additional capital to fund the acquisition will expose us to the risks associated with capital raising activities. Acquiring and thereafter operating larger new businesses will also increase o</w:t>
      </w:r>
      <w:r>
        <w:rPr>
          <w:sz w:val="20"/>
          <w:szCs w:val="20"/>
        </w:rPr>
        <w:t>ur management, operating and reporting costs and burdens. In addition, if we undertake acquisitions, we may issue dilutive securities, assume or incur debt obligations, incur large one-time expenses and acquire intangible assets that could result in signif</w:t>
      </w:r>
      <w:r>
        <w:rPr>
          <w:sz w:val="20"/>
          <w:szCs w:val="20"/>
        </w:rPr>
        <w:t>icant future amortization expense. Moreover, we may not be able to locate suitable acquisition opportunities and this inability could impair our ability to grow or obtain access to technology or products that may be important to the development of our busi</w:t>
      </w:r>
      <w:r>
        <w:rPr>
          <w:sz w:val="20"/>
          <w:szCs w:val="20"/>
        </w:rPr>
        <w:t>ness.</w:t>
      </w:r>
    </w:p>
    <w:p w:rsidR="00000000" w:rsidRDefault="00FF2C06">
      <w:pPr>
        <w:pStyle w:val="a3"/>
        <w:spacing w:before="0" w:beforeAutospacing="0" w:after="200" w:afterAutospacing="0"/>
        <w:ind w:firstLine="540"/>
        <w:divId w:val="1600218334"/>
        <w:rPr>
          <w:sz w:val="20"/>
          <w:szCs w:val="20"/>
        </w:rPr>
      </w:pPr>
      <w:r>
        <w:rPr>
          <w:b/>
          <w:bCs/>
          <w:i/>
          <w:iCs/>
          <w:sz w:val="20"/>
          <w:szCs w:val="20"/>
        </w:rPr>
        <w:t>We may rely on third parties to perform many essential services for any products that we commercialize, including services related to distribution, government price reporting, customer service, accounts receivable management, cash collection, and adv</w:t>
      </w:r>
      <w:r>
        <w:rPr>
          <w:b/>
          <w:bCs/>
          <w:i/>
          <w:iCs/>
          <w:sz w:val="20"/>
          <w:szCs w:val="20"/>
        </w:rPr>
        <w:t>erse event reporting. If these third parties fail to perform as expected or to comply with legal and regulatory requirements, our ability to commercialize our current or future product candidates will be significantly impacted and we may be subject to regu</w:t>
      </w:r>
      <w:r>
        <w:rPr>
          <w:b/>
          <w:bCs/>
          <w:i/>
          <w:iCs/>
          <w:sz w:val="20"/>
          <w:szCs w:val="20"/>
        </w:rPr>
        <w:t>latory sanctions.</w:t>
      </w:r>
    </w:p>
    <w:p w:rsidR="00000000" w:rsidRDefault="00FF2C06">
      <w:pPr>
        <w:pStyle w:val="a3"/>
        <w:spacing w:before="0" w:beforeAutospacing="0" w:after="200" w:afterAutospacing="0"/>
        <w:ind w:firstLine="540"/>
        <w:divId w:val="1600218334"/>
        <w:rPr>
          <w:sz w:val="20"/>
          <w:szCs w:val="20"/>
        </w:rPr>
      </w:pPr>
      <w:r>
        <w:rPr>
          <w:sz w:val="20"/>
          <w:szCs w:val="20"/>
        </w:rPr>
        <w:t>We may retain third-party service providers to perform a variety of functions related to the sale and distribution of our current or future product candidates, key aspects of which will be out of our direct control. These service provider</w:t>
      </w:r>
      <w:r>
        <w:rPr>
          <w:sz w:val="20"/>
          <w:szCs w:val="20"/>
        </w:rPr>
        <w:t>s may provide key services related to distribution, customer service, accounts receivable management, and cash collection. If we retain a service provider, we would substantially rely on it as well as other third-party providers that perform services for u</w:t>
      </w:r>
      <w:r>
        <w:rPr>
          <w:sz w:val="20"/>
          <w:szCs w:val="20"/>
        </w:rPr>
        <w:t>s, including entrusting our inventories of products to their care and handling. If these third-party service providers fail to comply with applicable laws and regulations, fail to meet expected deadlines, or otherwise do not carry out their contractual dut</w:t>
      </w:r>
      <w:r>
        <w:rPr>
          <w:sz w:val="20"/>
          <w:szCs w:val="20"/>
        </w:rPr>
        <w:t>ies to us, or encounter physical or natural damage at their facilities, our ability to deliver product to meet commercial demand would be significantly impaired and we may be subject to regulatory enforcement action.</w:t>
      </w:r>
    </w:p>
    <w:p w:rsidR="00000000" w:rsidRDefault="00FF2C06">
      <w:pPr>
        <w:pStyle w:val="a3"/>
        <w:spacing w:before="0" w:beforeAutospacing="0" w:after="200" w:afterAutospacing="0"/>
        <w:ind w:firstLine="540"/>
        <w:divId w:val="1600218334"/>
        <w:rPr>
          <w:sz w:val="20"/>
          <w:szCs w:val="20"/>
        </w:rPr>
      </w:pPr>
      <w:r>
        <w:rPr>
          <w:sz w:val="20"/>
          <w:szCs w:val="20"/>
        </w:rPr>
        <w:t>In addition, we may engage third partie</w:t>
      </w:r>
      <w:r>
        <w:rPr>
          <w:sz w:val="20"/>
          <w:szCs w:val="20"/>
        </w:rPr>
        <w:t>s to perform various other services for us relating to adverse event reporting, safety database management, fulfillment of requests for medical information regarding our product candidates and related services. If the quality or accuracy of the data mainta</w:t>
      </w:r>
      <w:r>
        <w:rPr>
          <w:sz w:val="20"/>
          <w:szCs w:val="20"/>
        </w:rPr>
        <w:t>ined by these service providers is insufficient, or these third parties otherwise fail to comply with regulatory requirements related to adverse event reporting, we could be subject to regulatory sanctions.</w:t>
      </w:r>
    </w:p>
    <w:p w:rsidR="00000000" w:rsidRDefault="00FF2C06">
      <w:pPr>
        <w:pStyle w:val="a3"/>
        <w:spacing w:before="0" w:beforeAutospacing="0" w:after="200" w:afterAutospacing="0"/>
        <w:ind w:firstLine="540"/>
        <w:divId w:val="1600218334"/>
        <w:rPr>
          <w:sz w:val="20"/>
          <w:szCs w:val="20"/>
        </w:rPr>
      </w:pPr>
      <w:r>
        <w:rPr>
          <w:sz w:val="20"/>
          <w:szCs w:val="20"/>
        </w:rPr>
        <w:t xml:space="preserve">Additionally, we may contract with a third-party </w:t>
      </w:r>
      <w:r>
        <w:rPr>
          <w:sz w:val="20"/>
          <w:szCs w:val="20"/>
        </w:rPr>
        <w:t>to calculate and report pricing information mandated by various government programs. If a third party fails to timely report or adjust prices as required or errs in calculating government pricing information from transactional data in our financial records</w:t>
      </w:r>
      <w:r>
        <w:rPr>
          <w:sz w:val="20"/>
          <w:szCs w:val="20"/>
        </w:rPr>
        <w:t>, it could impact our discount and rebate liability, and potentially subject us to regulatory sanctions or False Claims Act lawsuits.</w:t>
      </w:r>
    </w:p>
    <w:p w:rsidR="00000000" w:rsidRDefault="00FF2C06">
      <w:pPr>
        <w:pStyle w:val="a3"/>
        <w:spacing w:before="0" w:beforeAutospacing="0" w:after="200" w:afterAutospacing="0"/>
        <w:ind w:firstLine="540"/>
        <w:jc w:val="both"/>
        <w:divId w:val="1600218334"/>
        <w:rPr>
          <w:sz w:val="20"/>
          <w:szCs w:val="20"/>
        </w:rPr>
      </w:pPr>
      <w:r>
        <w:rPr>
          <w:b/>
          <w:bCs/>
          <w:i/>
          <w:iCs/>
          <w:sz w:val="20"/>
          <w:szCs w:val="20"/>
        </w:rPr>
        <w:t>The SEC has issued an administrative order against us that may make it more difficult for us to raise capital in the futur</w:t>
      </w:r>
      <w:r>
        <w:rPr>
          <w:b/>
          <w:bCs/>
          <w:i/>
          <w:iCs/>
          <w:sz w:val="20"/>
          <w:szCs w:val="20"/>
        </w:rPr>
        <w:t>e.</w:t>
      </w:r>
    </w:p>
    <w:p w:rsidR="00000000" w:rsidRDefault="00FF2C06">
      <w:pPr>
        <w:pStyle w:val="a3"/>
        <w:spacing w:before="0" w:beforeAutospacing="0" w:after="200" w:afterAutospacing="0"/>
        <w:ind w:firstLine="540"/>
        <w:divId w:val="1600218334"/>
        <w:rPr>
          <w:sz w:val="20"/>
          <w:szCs w:val="20"/>
        </w:rPr>
      </w:pPr>
      <w:r>
        <w:rPr>
          <w:sz w:val="20"/>
          <w:szCs w:val="20"/>
        </w:rPr>
        <w:t>On April 10, 2017, the SEC issued an administrative order that requires us to cease and desist from committing or causing any violations and any future violations of Sections 5(b), 17(a), and 17(b) of the Securities Act of 1933, as amended, or the Secur</w:t>
      </w:r>
      <w:r>
        <w:rPr>
          <w:sz w:val="20"/>
          <w:szCs w:val="20"/>
        </w:rPr>
        <w:t xml:space="preserve">ities Act, and of Section 10(b) of the Securities Exchange Act of 1934 and Rule 10b-5 thereunder. The order was entered into as part of our settlement with the SEC in the investigation titled </w:t>
      </w:r>
      <w:r>
        <w:rPr>
          <w:i/>
          <w:iCs/>
          <w:sz w:val="20"/>
          <w:szCs w:val="20"/>
        </w:rPr>
        <w:t>In the Matter of Certain Stock Promotions</w:t>
      </w:r>
      <w:r>
        <w:rPr>
          <w:sz w:val="20"/>
          <w:szCs w:val="20"/>
        </w:rPr>
        <w:t>. The SEC’s investigati</w:t>
      </w:r>
      <w:r>
        <w:rPr>
          <w:sz w:val="20"/>
          <w:szCs w:val="20"/>
        </w:rPr>
        <w:t>on, in part, involved the conduct of our former Chief Executive Officer and director, Manish Singh, during the period between September 2013 and April 2014, and the failure by authors of certain articles about our company to disclose that they were compens</w:t>
      </w:r>
      <w:r>
        <w:rPr>
          <w:sz w:val="20"/>
          <w:szCs w:val="20"/>
        </w:rPr>
        <w:t>ated by one of our former investor relations firms. The foregoing order may negatively impact our reputation with current and future investors, will disqualify us from effecting private placement transactions in reliance upon any of the exemptions from Sec</w:t>
      </w:r>
      <w:r>
        <w:rPr>
          <w:sz w:val="20"/>
          <w:szCs w:val="20"/>
        </w:rPr>
        <w:t>urities Act registration afforded by Regulation D, and will limit our ability to make certain communications in future public offerings. As a result, the SEC's order may it more difficult for us to raise capital in future private and public offerings. We c</w:t>
      </w:r>
      <w:r>
        <w:rPr>
          <w:sz w:val="20"/>
          <w:szCs w:val="20"/>
        </w:rPr>
        <w:t>urrently anticipate that we may have to raise additional capital in the future to fund our future research, development and commercialization efforts. Some of the limitations placed on us as a result of the SEC administrative order relating to ineligibilit</w:t>
      </w:r>
      <w:r>
        <w:rPr>
          <w:sz w:val="20"/>
          <w:szCs w:val="20"/>
        </w:rPr>
        <w:t>y for statutory safe harbors, including under the Private Securities Litigation Reform Act, and limitations on our communications and status as an ineligible issuer under Rule 405 of the Securities Act, have ended as of April 2020.</w:t>
      </w:r>
    </w:p>
    <w:p w:rsidR="00000000" w:rsidRDefault="00FF2C06">
      <w:pPr>
        <w:pStyle w:val="a3"/>
        <w:spacing w:before="480" w:beforeAutospacing="0" w:after="0" w:afterAutospacing="0"/>
        <w:jc w:val="center"/>
        <w:divId w:val="860511251"/>
        <w:rPr>
          <w:sz w:val="20"/>
          <w:szCs w:val="20"/>
        </w:rPr>
      </w:pPr>
      <w:r>
        <w:rPr>
          <w:sz w:val="20"/>
          <w:szCs w:val="20"/>
        </w:rPr>
        <w:t>64</w:t>
      </w:r>
    </w:p>
    <w:p w:rsidR="00000000" w:rsidRDefault="00FF2C06">
      <w:pPr>
        <w:pStyle w:val="a3"/>
        <w:spacing w:before="0" w:beforeAutospacing="0" w:after="600" w:afterAutospacing="0"/>
        <w:divId w:val="1449467844"/>
        <w:rPr>
          <w:sz w:val="20"/>
          <w:szCs w:val="20"/>
        </w:rPr>
      </w:pPr>
      <w:hyperlink w:anchor="TOC" w:history="1">
        <w:r>
          <w:rPr>
            <w:rStyle w:val="a4"/>
            <w:sz w:val="20"/>
            <w:szCs w:val="20"/>
          </w:rPr>
          <w:t>Table of Contents</w:t>
        </w:r>
      </w:hyperlink>
    </w:p>
    <w:p w:rsidR="00000000" w:rsidRDefault="00FF2C06">
      <w:pPr>
        <w:pStyle w:val="a3"/>
        <w:spacing w:before="0" w:beforeAutospacing="0" w:after="200" w:afterAutospacing="0"/>
        <w:ind w:firstLine="540"/>
        <w:jc w:val="both"/>
        <w:divId w:val="978146171"/>
        <w:rPr>
          <w:sz w:val="20"/>
          <w:szCs w:val="20"/>
        </w:rPr>
      </w:pPr>
      <w:r>
        <w:rPr>
          <w:b/>
          <w:bCs/>
          <w:i/>
          <w:iCs/>
          <w:sz w:val="20"/>
          <w:szCs w:val="20"/>
        </w:rPr>
        <w:t>We are, and in the future may be, subject to Federal or state securities or related legal actions that could adversely affect our results of operations and our business.*</w:t>
      </w:r>
    </w:p>
    <w:p w:rsidR="00000000" w:rsidRDefault="00FF2C06">
      <w:pPr>
        <w:pStyle w:val="a3"/>
        <w:spacing w:before="0" w:beforeAutospacing="0" w:after="200" w:afterAutospacing="0"/>
        <w:ind w:firstLine="540"/>
        <w:divId w:val="978146171"/>
        <w:rPr>
          <w:sz w:val="20"/>
          <w:szCs w:val="20"/>
        </w:rPr>
      </w:pPr>
      <w:r>
        <w:rPr>
          <w:sz w:val="20"/>
          <w:szCs w:val="20"/>
        </w:rPr>
        <w:t xml:space="preserve">Shortly after the SEC announced settlements with us, with other public companies, and with unrelated parties in the </w:t>
      </w:r>
      <w:r>
        <w:rPr>
          <w:i/>
          <w:iCs/>
          <w:sz w:val="20"/>
          <w:szCs w:val="20"/>
        </w:rPr>
        <w:t>In the Matter of Certain Stock Promotions</w:t>
      </w:r>
      <w:r>
        <w:rPr>
          <w:sz w:val="20"/>
          <w:szCs w:val="20"/>
        </w:rPr>
        <w:t xml:space="preserve"> investigation, two securities class action complaints were filed in the U.S. District Court for th</w:t>
      </w:r>
      <w:r>
        <w:rPr>
          <w:sz w:val="20"/>
          <w:szCs w:val="20"/>
        </w:rPr>
        <w:t>e Northern District of California against our company, Manish Singh, and two of our other former officers. On July 20, 2017, the plaintiff in one of the cases filed a notice to voluntarily dismiss that case, and the court entered an order dismissing the co</w:t>
      </w:r>
      <w:r>
        <w:rPr>
          <w:sz w:val="20"/>
          <w:szCs w:val="20"/>
        </w:rPr>
        <w:t>mplaint on July 21, 2017. On July 26, 2017, the court appointed a movant as lead plaintiff. On September 8, 2017, the lead plaintiff, individually and on behalf of all others similarly situated, filed an amended complaint seeking class action status in the</w:t>
      </w:r>
      <w:r>
        <w:rPr>
          <w:sz w:val="20"/>
          <w:szCs w:val="20"/>
        </w:rPr>
        <w:t xml:space="preserve"> United States District Court for the Northern District of California (</w:t>
      </w:r>
      <w:r>
        <w:rPr>
          <w:i/>
          <w:iCs/>
          <w:sz w:val="20"/>
          <w:szCs w:val="20"/>
        </w:rPr>
        <w:t xml:space="preserve">Jay Rabkin v. Lion Biotechnologies, Inc., et al., </w:t>
      </w:r>
      <w:r>
        <w:rPr>
          <w:sz w:val="20"/>
          <w:szCs w:val="20"/>
        </w:rPr>
        <w:t>case no. 3:17-cv-0286) against us, two of our former officers, and the managing member of our former investor relations firm. The amend</w:t>
      </w:r>
      <w:r>
        <w:rPr>
          <w:sz w:val="20"/>
          <w:szCs w:val="20"/>
        </w:rPr>
        <w:t>ed complaint alleges, among other things, that the defendants violated various provisions of the Securities Exchange Act of 1934 by making materially false and misleading statements, or by failing to make certain disclosures, regarding the actions taken by</w:t>
      </w:r>
      <w:r>
        <w:rPr>
          <w:sz w:val="20"/>
          <w:szCs w:val="20"/>
        </w:rPr>
        <w:t xml:space="preserve"> Manish Singh, our former Chief Executive Officer and a former director, and our former investor relations firm that were the subject of the </w:t>
      </w:r>
      <w:r>
        <w:rPr>
          <w:i/>
          <w:iCs/>
          <w:sz w:val="20"/>
          <w:szCs w:val="20"/>
        </w:rPr>
        <w:t>In the Matter of Certain Stock Promotions</w:t>
      </w:r>
      <w:r>
        <w:rPr>
          <w:sz w:val="20"/>
          <w:szCs w:val="20"/>
        </w:rPr>
        <w:t xml:space="preserve"> SEC investigation. On February 5, 2018, the court entered an order dismis</w:t>
      </w:r>
      <w:r>
        <w:rPr>
          <w:sz w:val="20"/>
          <w:szCs w:val="20"/>
        </w:rPr>
        <w:t>sing two of plaintiff’s six claims. As the result of mediation, on September 28, 2018, lead plaintiff filed an unopposed motion for settlement, the cost of which, was expected to be borne by our insurance carrier and would result in no loss to us. The cour</w:t>
      </w:r>
      <w:r>
        <w:rPr>
          <w:sz w:val="20"/>
          <w:szCs w:val="20"/>
        </w:rPr>
        <w:t>t gave preliminary approval to the proposed settlement on November 30, 2018. A hearing was held on April 12, 2019 to determine whether the proposed settlement was fair, reasonable, and adequate, and whether the claims should be dismissed. On April 17, 2019</w:t>
      </w:r>
      <w:r>
        <w:rPr>
          <w:sz w:val="20"/>
          <w:szCs w:val="20"/>
        </w:rPr>
        <w:t>, the court approved the final settlement, involving a payment of $3,250,000 by our insurance carrier to a settlement fund, awarded attorney’s fees and costs to be paid to plaintiff’s counsel from the settlement fund, approved the plan of allocation for se</w:t>
      </w:r>
      <w:r>
        <w:rPr>
          <w:sz w:val="20"/>
          <w:szCs w:val="20"/>
        </w:rPr>
        <w:t>ttlement class members, and ordered that the claims against us should be dismissed with prejudice. The court retains jurisdiction over the parties and class members in the case for the purposes of administration, interpretation, implementation, and enforce</w:t>
      </w:r>
      <w:r>
        <w:rPr>
          <w:sz w:val="20"/>
          <w:szCs w:val="20"/>
        </w:rPr>
        <w:t>ment of the settlement, and related matters.</w:t>
      </w:r>
    </w:p>
    <w:p w:rsidR="00000000" w:rsidRDefault="00FF2C06">
      <w:pPr>
        <w:pStyle w:val="a3"/>
        <w:spacing w:before="0" w:beforeAutospacing="0" w:after="200" w:afterAutospacing="0"/>
        <w:ind w:firstLine="540"/>
        <w:divId w:val="978146171"/>
        <w:rPr>
          <w:sz w:val="20"/>
          <w:szCs w:val="20"/>
        </w:rPr>
      </w:pPr>
      <w:r>
        <w:rPr>
          <w:sz w:val="20"/>
          <w:szCs w:val="20"/>
        </w:rPr>
        <w:t>On December 15, 2017, a purported stockholder derivative complaint was filed by plaintiff Kevin Fong against us, as nominal defendant, and certain of our current and former officers and directors, and others, as</w:t>
      </w:r>
      <w:r>
        <w:rPr>
          <w:sz w:val="20"/>
          <w:szCs w:val="20"/>
        </w:rPr>
        <w:t xml:space="preserve"> defendants, in the U.S. District Court for the District of Delaware (case no. 1:17-cv-1806). The complaint alleges breaches of fiduciary duties, unjust enrichment, and violations of Section 14(a) of the Securities Exchange Act of 1934 and Rule 14a-9 promu</w:t>
      </w:r>
      <w:r>
        <w:rPr>
          <w:sz w:val="20"/>
          <w:szCs w:val="20"/>
        </w:rPr>
        <w:t xml:space="preserve">lgated thereunder arising from the SEC’s investigation in the </w:t>
      </w:r>
      <w:r>
        <w:rPr>
          <w:i/>
          <w:iCs/>
          <w:sz w:val="20"/>
          <w:szCs w:val="20"/>
        </w:rPr>
        <w:t>In the Matter of Certain Stock Promotions</w:t>
      </w:r>
      <w:r>
        <w:rPr>
          <w:sz w:val="20"/>
          <w:szCs w:val="20"/>
        </w:rPr>
        <w:t xml:space="preserve"> matter and our April 10, 2017 settlement thereof, and seeks unspecified damages on behalf of our company and injunctive relief. On March 28, 2018, a pur</w:t>
      </w:r>
      <w:r>
        <w:rPr>
          <w:sz w:val="20"/>
          <w:szCs w:val="20"/>
        </w:rPr>
        <w:t>ported stockholder derivative complaint was filed by plaintiff Nazeer Khaleeluddin on behalf of our company, against us, as nominal defendant, and certain of our current and former officers and directors, and others, as defendants, in the U.S. District Cou</w:t>
      </w:r>
      <w:r>
        <w:rPr>
          <w:sz w:val="20"/>
          <w:szCs w:val="20"/>
        </w:rPr>
        <w:t>rt for the District of Delaware (case no. 1:18-cv-00469). The complaint alleges, among other things, violations of securities law, breach of fiduciary duty, aiding and abetting, waste of corporate assets, and unjust enrichment. The complaint is based on cl</w:t>
      </w:r>
      <w:r>
        <w:rPr>
          <w:sz w:val="20"/>
          <w:szCs w:val="20"/>
        </w:rPr>
        <w:t xml:space="preserve">aims arising from the SEC’s investigation in the </w:t>
      </w:r>
      <w:r>
        <w:rPr>
          <w:i/>
          <w:iCs/>
          <w:sz w:val="20"/>
          <w:szCs w:val="20"/>
        </w:rPr>
        <w:t>In the Matter of Certain Stock Promotions</w:t>
      </w:r>
      <w:r>
        <w:rPr>
          <w:sz w:val="20"/>
          <w:szCs w:val="20"/>
        </w:rPr>
        <w:t xml:space="preserve"> investigation and our April 10, 2017 settlement thereof, and seeks unspecified damages on behalf of our company and injunctive relief. On May 1, 2018, the court cons</w:t>
      </w:r>
      <w:r>
        <w:rPr>
          <w:sz w:val="20"/>
          <w:szCs w:val="20"/>
        </w:rPr>
        <w:t xml:space="preserve">olidated this case with the aforementioned purported stockholder derivative case filed by plaintiff Kevin Fong. The consolidated cases are titled </w:t>
      </w:r>
      <w:r>
        <w:rPr>
          <w:i/>
          <w:iCs/>
          <w:sz w:val="20"/>
          <w:szCs w:val="20"/>
        </w:rPr>
        <w:t>In re Iovance Biotherapeutics, Inc. Stockholder Derivative Litigation</w:t>
      </w:r>
      <w:r>
        <w:rPr>
          <w:sz w:val="20"/>
          <w:szCs w:val="20"/>
        </w:rPr>
        <w:t xml:space="preserve"> (lead case no. 17-cv-1806). We agreed to</w:t>
      </w:r>
      <w:r>
        <w:rPr>
          <w:sz w:val="20"/>
          <w:szCs w:val="20"/>
        </w:rPr>
        <w:t xml:space="preserve"> a proposed settlement in this matter on January 28, 2020, which was given preliminary approval by the court on April 24, 2020 and final approval by the court on July 2, 2020. We do not expect to incur any significant costs or expenses in connection with t</w:t>
      </w:r>
      <w:r>
        <w:rPr>
          <w:sz w:val="20"/>
          <w:szCs w:val="20"/>
        </w:rPr>
        <w:t>his settlement. The court retains jurisdiction over the parties in the case for the purposes of administration, interpretation, implementation, and enforcement of the settlement, and related matters.</w:t>
      </w:r>
    </w:p>
    <w:p w:rsidR="00000000" w:rsidRDefault="00FF2C06">
      <w:pPr>
        <w:pStyle w:val="a3"/>
        <w:spacing w:before="0" w:beforeAutospacing="0" w:after="200" w:afterAutospacing="0"/>
        <w:jc w:val="both"/>
        <w:divId w:val="978146171"/>
        <w:rPr>
          <w:sz w:val="20"/>
          <w:szCs w:val="20"/>
        </w:rPr>
      </w:pPr>
      <w:r>
        <w:rPr>
          <w:b/>
          <w:bCs/>
          <w:sz w:val="20"/>
          <w:szCs w:val="20"/>
        </w:rPr>
        <w:t>Risks Related to Government Regulation</w:t>
      </w:r>
    </w:p>
    <w:p w:rsidR="00000000" w:rsidRDefault="00FF2C06">
      <w:pPr>
        <w:pStyle w:val="a3"/>
        <w:spacing w:before="0" w:beforeAutospacing="0" w:after="200" w:afterAutospacing="0"/>
        <w:ind w:firstLine="540"/>
        <w:divId w:val="978146171"/>
        <w:rPr>
          <w:sz w:val="20"/>
          <w:szCs w:val="20"/>
        </w:rPr>
      </w:pPr>
      <w:r>
        <w:rPr>
          <w:b/>
          <w:bCs/>
          <w:i/>
          <w:iCs/>
          <w:sz w:val="20"/>
          <w:szCs w:val="20"/>
        </w:rPr>
        <w:t>The FDA regulator</w:t>
      </w:r>
      <w:r>
        <w:rPr>
          <w:b/>
          <w:bCs/>
          <w:i/>
          <w:iCs/>
          <w:sz w:val="20"/>
          <w:szCs w:val="20"/>
        </w:rPr>
        <w:t>y approval process is lengthy and time-consuming, and we may experience significant delays in the clinical development and regulatory approval of our product candidates.</w:t>
      </w:r>
    </w:p>
    <w:p w:rsidR="00000000" w:rsidRDefault="00FF2C06">
      <w:pPr>
        <w:pStyle w:val="a3"/>
        <w:spacing w:before="0" w:beforeAutospacing="0" w:after="0" w:afterAutospacing="0"/>
        <w:ind w:firstLine="540"/>
        <w:divId w:val="978146171"/>
        <w:rPr>
          <w:sz w:val="20"/>
          <w:szCs w:val="20"/>
        </w:rPr>
      </w:pPr>
      <w:r>
        <w:rPr>
          <w:sz w:val="20"/>
          <w:szCs w:val="20"/>
        </w:rPr>
        <w:t>We have not previously submitted a BLA to the FDA, or similar approval filings to comp</w:t>
      </w:r>
      <w:r>
        <w:rPr>
          <w:sz w:val="20"/>
          <w:szCs w:val="20"/>
        </w:rPr>
        <w:t>arable foreign authorities. A BLA must include extensive preclinical and clinical data and supporting information to establish the product candidate’s safety and effectiveness for each desired indication. For example, following our End of Phase 2 meeting w</w:t>
      </w:r>
      <w:r>
        <w:rPr>
          <w:sz w:val="20"/>
          <w:szCs w:val="20"/>
        </w:rPr>
        <w:t>ith the FDA, we increased enrollment in Cohort 1 of our ongoing C-145-04 clinical trial of TIL therapy lifileucel to at least 75 patients of the appropriate population to address the expected sample size in anticipation of a BLA submission in late 2020. Ad</w:t>
      </w:r>
      <w:r>
        <w:rPr>
          <w:sz w:val="20"/>
          <w:szCs w:val="20"/>
        </w:rPr>
        <w:t xml:space="preserve">ditionally, the patient population is defined per the discussion with FDA as patients who have progressed following initial systemic therapy for recurrent or metastatic disease which include many of the more advanced patients enrolled to date. Our current </w:t>
      </w:r>
      <w:r>
        <w:rPr>
          <w:sz w:val="20"/>
          <w:szCs w:val="20"/>
        </w:rPr>
        <w:t>beliefs regarding the registration pathway for the lifileucel product candidate in metastatic cervical cancer are based on our interpretation of communications with the FDA to date and our efforts to address such communications, which may be incorrect. Our</w:t>
      </w:r>
      <w:r>
        <w:rPr>
          <w:sz w:val="20"/>
          <w:szCs w:val="20"/>
        </w:rPr>
        <w:t xml:space="preserve"> statements that the study may support a BLA submission also assume </w:t>
      </w:r>
    </w:p>
    <w:p w:rsidR="00000000" w:rsidRDefault="00FF2C06">
      <w:pPr>
        <w:pStyle w:val="a3"/>
        <w:spacing w:before="480" w:beforeAutospacing="0" w:after="0" w:afterAutospacing="0"/>
        <w:jc w:val="center"/>
        <w:divId w:val="1097556470"/>
        <w:rPr>
          <w:sz w:val="20"/>
          <w:szCs w:val="20"/>
        </w:rPr>
      </w:pPr>
      <w:r>
        <w:rPr>
          <w:sz w:val="20"/>
          <w:szCs w:val="20"/>
        </w:rPr>
        <w:t>65</w:t>
      </w:r>
    </w:p>
    <w:p w:rsidR="00000000" w:rsidRDefault="00FF2C06">
      <w:pPr>
        <w:pStyle w:val="a3"/>
        <w:spacing w:before="0" w:beforeAutospacing="0" w:after="600" w:afterAutospacing="0"/>
        <w:divId w:val="1129009736"/>
        <w:rPr>
          <w:sz w:val="20"/>
          <w:szCs w:val="20"/>
        </w:rPr>
      </w:pPr>
      <w:hyperlink w:anchor="TOC" w:history="1">
        <w:r>
          <w:rPr>
            <w:rStyle w:val="a4"/>
            <w:sz w:val="20"/>
            <w:szCs w:val="20"/>
          </w:rPr>
          <w:t>Table of Contents</w:t>
        </w:r>
      </w:hyperlink>
    </w:p>
    <w:p w:rsidR="00000000" w:rsidRDefault="00FF2C06">
      <w:pPr>
        <w:pStyle w:val="a3"/>
        <w:spacing w:before="0" w:beforeAutospacing="0" w:after="200" w:afterAutospacing="0"/>
        <w:divId w:val="1414740120"/>
        <w:rPr>
          <w:sz w:val="20"/>
          <w:szCs w:val="20"/>
        </w:rPr>
      </w:pPr>
      <w:r>
        <w:rPr>
          <w:sz w:val="20"/>
          <w:szCs w:val="20"/>
        </w:rPr>
        <w:t>that our as-adjusted study has addressed the additional requests by the FDA that were raised at our End of Phase 2 meeting. Further, enrollm</w:t>
      </w:r>
      <w:r>
        <w:rPr>
          <w:sz w:val="20"/>
          <w:szCs w:val="20"/>
        </w:rPr>
        <w:t xml:space="preserve">ent in this study may need to be further adjusted based on future feedback from the FDA or other regulatory agency input. The revised protocol which further defines the patient population to include more advanced patients in the study, may have an adverse </w:t>
      </w:r>
      <w:r>
        <w:rPr>
          <w:sz w:val="20"/>
          <w:szCs w:val="20"/>
        </w:rPr>
        <w:t>effect on the results reported to date, changes to implement an independent review committee and assay validation and implementation, and the data within this study may not ultimately be supportive of product approval, all of which could result in signific</w:t>
      </w:r>
      <w:r>
        <w:rPr>
          <w:sz w:val="20"/>
          <w:szCs w:val="20"/>
        </w:rPr>
        <w:t>ant delays to our currently anticipated timeline for development and approval of our product candidate or prevent its approval entirely. Similarly, our current beliefs for our lifileucel product candidate for the treatment of melanoma are based on our inte</w:t>
      </w:r>
      <w:r>
        <w:rPr>
          <w:sz w:val="20"/>
          <w:szCs w:val="20"/>
        </w:rPr>
        <w:t>rpretation of communications received from the FDA to date regarding this product candidate and our ongoing C-144-01 clinical trial, and may also be incorrect.</w:t>
      </w:r>
    </w:p>
    <w:p w:rsidR="00000000" w:rsidRDefault="00FF2C06">
      <w:pPr>
        <w:pStyle w:val="a3"/>
        <w:spacing w:before="0" w:beforeAutospacing="0" w:after="200" w:afterAutospacing="0"/>
        <w:ind w:firstLine="540"/>
        <w:divId w:val="1414740120"/>
        <w:rPr>
          <w:sz w:val="20"/>
          <w:szCs w:val="20"/>
        </w:rPr>
      </w:pPr>
      <w:r>
        <w:rPr>
          <w:sz w:val="20"/>
          <w:szCs w:val="20"/>
        </w:rPr>
        <w:t>A BLA must also include significant information regarding the chemistry, manufacturing and contr</w:t>
      </w:r>
      <w:r>
        <w:rPr>
          <w:sz w:val="20"/>
          <w:szCs w:val="20"/>
        </w:rPr>
        <w:t xml:space="preserve">ols for the product. Additionally, we expect the novel nature of our product candidates to create further challenges in obtaining regulatory approval. For example, the FDA has limited experience with commercial development of cell therapies for cancer. We </w:t>
      </w:r>
      <w:r>
        <w:rPr>
          <w:sz w:val="20"/>
          <w:szCs w:val="20"/>
        </w:rPr>
        <w:t xml:space="preserve">may also not be able to successfully utilize the BTD or RMAT designations we have received for metastatic cervical cancer and advanced melanoma, respectively, to successfully complete the development and commercialization of lifileucel. We may not be able </w:t>
      </w:r>
      <w:r>
        <w:rPr>
          <w:sz w:val="20"/>
          <w:szCs w:val="20"/>
        </w:rPr>
        <w:t>to reach agreement with FDA on an interpretation of outcomes from our meetings, including meetings we have held with FDA in relation to our C-145-04 and C-144-01 clinical trials and future meetings. For example, on October 5, 2020, we announced that we and</w:t>
      </w:r>
      <w:r>
        <w:rPr>
          <w:sz w:val="20"/>
          <w:szCs w:val="20"/>
        </w:rPr>
        <w:t xml:space="preserve"> the FDA have not been able to agree on the required potency assays to fully define our TIL therapy, which is required as part of a BLA submission, and that as a result of these developments, our BLA submission is not expected by the end of 2020 and is ant</w:t>
      </w:r>
      <w:r>
        <w:rPr>
          <w:sz w:val="20"/>
          <w:szCs w:val="20"/>
        </w:rPr>
        <w:t>icipated to occur in 2021. Accordingly, the regulatory approval pathway for our product candidates may be uncertain, complex, expensive and lengthy, and approval may not be obtained</w:t>
      </w:r>
      <w:r>
        <w:rPr>
          <w:sz w:val="20"/>
          <w:szCs w:val="20"/>
        </w:rPr>
        <w:t>.</w:t>
      </w:r>
    </w:p>
    <w:p w:rsidR="00000000" w:rsidRDefault="00FF2C06">
      <w:pPr>
        <w:pStyle w:val="a3"/>
        <w:spacing w:before="0" w:beforeAutospacing="0" w:after="200" w:afterAutospacing="0"/>
        <w:ind w:firstLine="540"/>
        <w:divId w:val="1414740120"/>
        <w:rPr>
          <w:sz w:val="20"/>
          <w:szCs w:val="20"/>
        </w:rPr>
      </w:pPr>
      <w:r>
        <w:rPr>
          <w:sz w:val="20"/>
          <w:szCs w:val="20"/>
        </w:rPr>
        <w:t xml:space="preserve">We may also experience delays, including delays arising from the need to </w:t>
      </w:r>
      <w:r>
        <w:rPr>
          <w:sz w:val="20"/>
          <w:szCs w:val="20"/>
        </w:rPr>
        <w:t>increase enrollment, in completing planned clinical trials for a variety of reasons, including delays related to:</w:t>
      </w:r>
    </w:p>
    <w:p w:rsidR="00000000" w:rsidRDefault="00FF2C06">
      <w:pPr>
        <w:ind w:left="547" w:hanging="360"/>
        <w:divId w:val="945817658"/>
        <w:rPr>
          <w:rFonts w:eastAsia="Times New Roman"/>
          <w:sz w:val="20"/>
          <w:szCs w:val="20"/>
        </w:rPr>
      </w:pPr>
      <w:r>
        <w:rPr>
          <w:rFonts w:eastAsia="Times New Roman"/>
          <w:sz w:val="20"/>
          <w:szCs w:val="20"/>
        </w:rPr>
        <w:t>●</w:t>
      </w:r>
      <w:r>
        <w:rPr>
          <w:rFonts w:eastAsia="Times New Roman"/>
          <w:sz w:val="20"/>
          <w:szCs w:val="20"/>
        </w:rPr>
        <w:t>the availability of financial resources to commence and complete the planned trials;</w:t>
      </w:r>
    </w:p>
    <w:p w:rsidR="00000000" w:rsidRDefault="00FF2C06">
      <w:pPr>
        <w:ind w:left="547" w:hanging="360"/>
        <w:divId w:val="674184404"/>
        <w:rPr>
          <w:rFonts w:eastAsia="Times New Roman"/>
          <w:sz w:val="20"/>
          <w:szCs w:val="20"/>
        </w:rPr>
      </w:pPr>
      <w:r>
        <w:rPr>
          <w:rFonts w:eastAsia="Times New Roman"/>
          <w:sz w:val="20"/>
          <w:szCs w:val="20"/>
        </w:rPr>
        <w:t>●</w:t>
      </w:r>
      <w:r>
        <w:rPr>
          <w:rFonts w:eastAsia="Times New Roman"/>
          <w:sz w:val="20"/>
          <w:szCs w:val="20"/>
        </w:rPr>
        <w:t>reaching agreement on acceptable contract terms with pr</w:t>
      </w:r>
      <w:r>
        <w:rPr>
          <w:rFonts w:eastAsia="Times New Roman"/>
          <w:sz w:val="20"/>
          <w:szCs w:val="20"/>
        </w:rPr>
        <w:t>ospective CROs and clinical trial sites, the terms of which can be subject to extensive negotiation and may vary significantly among different CROs and trial sites;</w:t>
      </w:r>
    </w:p>
    <w:p w:rsidR="00000000" w:rsidRDefault="00FF2C06">
      <w:pPr>
        <w:ind w:left="547" w:hanging="360"/>
        <w:divId w:val="477453011"/>
        <w:rPr>
          <w:rFonts w:eastAsia="Times New Roman"/>
          <w:sz w:val="20"/>
          <w:szCs w:val="20"/>
        </w:rPr>
      </w:pPr>
      <w:r>
        <w:rPr>
          <w:rFonts w:eastAsia="Times New Roman"/>
          <w:sz w:val="20"/>
          <w:szCs w:val="20"/>
        </w:rPr>
        <w:t>●</w:t>
      </w:r>
      <w:r>
        <w:rPr>
          <w:rFonts w:eastAsia="Times New Roman"/>
          <w:sz w:val="20"/>
          <w:szCs w:val="20"/>
        </w:rPr>
        <w:t>obtaining approval at each clinical trial site by an independent IRB, or central IRB;</w:t>
      </w:r>
    </w:p>
    <w:p w:rsidR="00000000" w:rsidRDefault="00FF2C06">
      <w:pPr>
        <w:ind w:left="547" w:hanging="360"/>
        <w:divId w:val="1763841547"/>
        <w:rPr>
          <w:rFonts w:eastAsia="Times New Roman"/>
          <w:sz w:val="20"/>
          <w:szCs w:val="20"/>
        </w:rPr>
      </w:pPr>
      <w:r>
        <w:rPr>
          <w:rFonts w:eastAsia="Times New Roman"/>
          <w:sz w:val="20"/>
          <w:szCs w:val="20"/>
        </w:rPr>
        <w:t>●</w:t>
      </w:r>
      <w:r>
        <w:rPr>
          <w:rFonts w:eastAsia="Times New Roman"/>
          <w:sz w:val="20"/>
          <w:szCs w:val="20"/>
        </w:rPr>
        <w:t>rec</w:t>
      </w:r>
      <w:r>
        <w:rPr>
          <w:rFonts w:eastAsia="Times New Roman"/>
          <w:sz w:val="20"/>
          <w:szCs w:val="20"/>
        </w:rPr>
        <w:t>ruiting suitable patients to participate in a trial;</w:t>
      </w:r>
    </w:p>
    <w:p w:rsidR="00000000" w:rsidRDefault="00FF2C06">
      <w:pPr>
        <w:ind w:left="547" w:hanging="360"/>
        <w:divId w:val="1086347422"/>
        <w:rPr>
          <w:rFonts w:eastAsia="Times New Roman"/>
          <w:sz w:val="20"/>
          <w:szCs w:val="20"/>
        </w:rPr>
      </w:pPr>
      <w:r>
        <w:rPr>
          <w:rFonts w:eastAsia="Times New Roman"/>
          <w:sz w:val="20"/>
          <w:szCs w:val="20"/>
        </w:rPr>
        <w:t>●</w:t>
      </w:r>
      <w:r>
        <w:rPr>
          <w:rFonts w:eastAsia="Times New Roman"/>
          <w:sz w:val="20"/>
          <w:szCs w:val="20"/>
        </w:rPr>
        <w:t>having patients complete a trial or return for post-treatment follow-up;</w:t>
      </w:r>
    </w:p>
    <w:p w:rsidR="00000000" w:rsidRDefault="00FF2C06">
      <w:pPr>
        <w:ind w:left="547" w:hanging="360"/>
        <w:divId w:val="963926702"/>
        <w:rPr>
          <w:rFonts w:eastAsia="Times New Roman"/>
          <w:sz w:val="20"/>
          <w:szCs w:val="20"/>
        </w:rPr>
      </w:pPr>
      <w:r>
        <w:rPr>
          <w:rFonts w:eastAsia="Times New Roman"/>
          <w:sz w:val="20"/>
          <w:szCs w:val="20"/>
        </w:rPr>
        <w:t>●</w:t>
      </w:r>
      <w:r>
        <w:rPr>
          <w:rFonts w:eastAsia="Times New Roman"/>
          <w:sz w:val="20"/>
          <w:szCs w:val="20"/>
        </w:rPr>
        <w:t>clinical trial sites deviating from trial protocol or dropping out of a trial;</w:t>
      </w:r>
    </w:p>
    <w:p w:rsidR="00000000" w:rsidRDefault="00FF2C06">
      <w:pPr>
        <w:ind w:left="547" w:hanging="360"/>
        <w:divId w:val="1646427110"/>
        <w:rPr>
          <w:rFonts w:eastAsia="Times New Roman"/>
          <w:sz w:val="20"/>
          <w:szCs w:val="20"/>
        </w:rPr>
      </w:pPr>
      <w:r>
        <w:rPr>
          <w:rFonts w:eastAsia="Times New Roman"/>
          <w:sz w:val="20"/>
          <w:szCs w:val="20"/>
        </w:rPr>
        <w:t>●</w:t>
      </w:r>
      <w:r>
        <w:rPr>
          <w:rFonts w:eastAsia="Times New Roman"/>
          <w:sz w:val="20"/>
          <w:szCs w:val="20"/>
        </w:rPr>
        <w:t>adding new clinical trial sites;</w:t>
      </w:r>
    </w:p>
    <w:p w:rsidR="00000000" w:rsidRDefault="00FF2C06">
      <w:pPr>
        <w:ind w:left="547" w:hanging="360"/>
        <w:divId w:val="1434714169"/>
        <w:rPr>
          <w:rFonts w:eastAsia="Times New Roman"/>
          <w:sz w:val="20"/>
          <w:szCs w:val="20"/>
        </w:rPr>
      </w:pPr>
      <w:r>
        <w:rPr>
          <w:rFonts w:eastAsia="Times New Roman"/>
          <w:sz w:val="20"/>
          <w:szCs w:val="20"/>
        </w:rPr>
        <w:t>●</w:t>
      </w:r>
      <w:r>
        <w:rPr>
          <w:rFonts w:eastAsia="Times New Roman"/>
          <w:sz w:val="20"/>
          <w:szCs w:val="20"/>
        </w:rPr>
        <w:t xml:space="preserve">manufacturing </w:t>
      </w:r>
      <w:r>
        <w:rPr>
          <w:rFonts w:eastAsia="Times New Roman"/>
          <w:sz w:val="20"/>
          <w:szCs w:val="20"/>
        </w:rPr>
        <w:t>sufficient quantities of qualified materials under cGMPs and applying them on a subject by subject basis for use in clinical trials; or</w:t>
      </w:r>
    </w:p>
    <w:p w:rsidR="00000000" w:rsidRDefault="00FF2C06">
      <w:pPr>
        <w:ind w:left="547" w:hanging="360"/>
        <w:divId w:val="2141069460"/>
        <w:rPr>
          <w:rFonts w:eastAsia="Times New Roman"/>
          <w:sz w:val="20"/>
          <w:szCs w:val="20"/>
        </w:rPr>
      </w:pPr>
      <w:r>
        <w:rPr>
          <w:rFonts w:eastAsia="Times New Roman"/>
          <w:sz w:val="20"/>
          <w:szCs w:val="20"/>
        </w:rPr>
        <w:t>●</w:t>
      </w:r>
      <w:r>
        <w:rPr>
          <w:rFonts w:eastAsia="Times New Roman"/>
          <w:sz w:val="20"/>
          <w:szCs w:val="20"/>
        </w:rPr>
        <w:t>timely implementing or validating changes to our manufacturing or quality control processes and methods needed to addre</w:t>
      </w:r>
      <w:r>
        <w:rPr>
          <w:rFonts w:eastAsia="Times New Roman"/>
          <w:sz w:val="20"/>
          <w:szCs w:val="20"/>
        </w:rPr>
        <w:t>ss FDA feedback.</w:t>
      </w:r>
    </w:p>
    <w:p w:rsidR="00000000" w:rsidRDefault="00FF2C06">
      <w:pPr>
        <w:pStyle w:val="a3"/>
        <w:spacing w:before="0" w:beforeAutospacing="0" w:after="200" w:afterAutospacing="0"/>
        <w:ind w:firstLine="547"/>
        <w:divId w:val="1414740120"/>
        <w:rPr>
          <w:sz w:val="20"/>
          <w:szCs w:val="20"/>
        </w:rPr>
      </w:pPr>
      <w:r>
        <w:rPr>
          <w:sz w:val="20"/>
          <w:szCs w:val="20"/>
        </w:rPr>
        <w:t xml:space="preserve">We could also encounter delays if physicians encounter unresolved ethical issues associated with enrolling patients in clinical trials of our product candidates in lieu of prescribing existing treatments that have established safety and efficacy profiles. </w:t>
      </w:r>
      <w:r>
        <w:rPr>
          <w:sz w:val="20"/>
          <w:szCs w:val="20"/>
        </w:rPr>
        <w:t>Further, a clinical trial may be suspended or terminated by us, the IRBs for the institutions in which such trials are being conducted by the FDA or other regulatory authorities, or recommended for suspension or termination by DSMBs due to a number of fact</w:t>
      </w:r>
      <w:r>
        <w:rPr>
          <w:sz w:val="20"/>
          <w:szCs w:val="20"/>
        </w:rPr>
        <w:t>ors, including failure to conduct the clinical trial in accordance with regulatory requirements or our clinical protocols, inspection of the clinical trial operations or trial site by the FDA or other regulatory authorities resulting in the imposition of a</w:t>
      </w:r>
      <w:r>
        <w:rPr>
          <w:sz w:val="20"/>
          <w:szCs w:val="20"/>
        </w:rPr>
        <w:t xml:space="preserve"> clinical hold, unforeseen safety issues or adverse side effects, failure to demonstrate a benefit from using a product candidate, changes in governmental regulations or administrative actions or lack of adequate funding to continue the clinical trial. If </w:t>
      </w:r>
      <w:r>
        <w:rPr>
          <w:sz w:val="20"/>
          <w:szCs w:val="20"/>
        </w:rPr>
        <w:t>we experience termination of, or delays in the completion of, any clinical trial of our product candidates, the commercial prospects for our product candidates will be harmed, and our ability to generate product revenue will be delayed. In addition, any de</w:t>
      </w:r>
      <w:r>
        <w:rPr>
          <w:sz w:val="20"/>
          <w:szCs w:val="20"/>
        </w:rPr>
        <w:t>lays in completing our clinical trials will increase our costs, slow down our product development and approval process and jeopardize our ability to commence product sales and generate revenue.</w:t>
      </w:r>
    </w:p>
    <w:p w:rsidR="00000000" w:rsidRDefault="00FF2C06">
      <w:pPr>
        <w:pStyle w:val="a3"/>
        <w:spacing w:before="0" w:beforeAutospacing="0" w:after="200" w:afterAutospacing="0"/>
        <w:ind w:firstLine="547"/>
        <w:divId w:val="1414740120"/>
        <w:rPr>
          <w:sz w:val="20"/>
          <w:szCs w:val="20"/>
        </w:rPr>
      </w:pPr>
      <w:r>
        <w:rPr>
          <w:b/>
          <w:bCs/>
          <w:i/>
          <w:iCs/>
          <w:sz w:val="20"/>
          <w:szCs w:val="20"/>
        </w:rPr>
        <w:t>Obtaining and maintaining regulatory approval of our product c</w:t>
      </w:r>
      <w:r>
        <w:rPr>
          <w:b/>
          <w:bCs/>
          <w:i/>
          <w:iCs/>
          <w:sz w:val="20"/>
          <w:szCs w:val="20"/>
        </w:rPr>
        <w:t>andidates in one jurisdiction does not mean that we will be successful in obtaining regulatory approval of our product candidates in other jurisdictions.</w:t>
      </w:r>
    </w:p>
    <w:p w:rsidR="00000000" w:rsidRDefault="00FF2C06">
      <w:pPr>
        <w:pStyle w:val="a3"/>
        <w:spacing w:before="0" w:beforeAutospacing="0" w:after="0" w:afterAutospacing="0"/>
        <w:ind w:firstLine="547"/>
        <w:divId w:val="1414740120"/>
        <w:rPr>
          <w:sz w:val="20"/>
          <w:szCs w:val="20"/>
        </w:rPr>
      </w:pPr>
      <w:r>
        <w:rPr>
          <w:sz w:val="20"/>
          <w:szCs w:val="20"/>
        </w:rPr>
        <w:t>In order to market and sell our products outside the United States, we or our third-party collaborator</w:t>
      </w:r>
      <w:r>
        <w:rPr>
          <w:sz w:val="20"/>
          <w:szCs w:val="20"/>
        </w:rPr>
        <w:t>s may be required to obtain separate marketing approvals and comply with numerous and varying regulatory requirements. Obtaining and maintaining regulatory approval of our product candidates in one jurisdiction does not guarantee that we will be able to ob</w:t>
      </w:r>
      <w:r>
        <w:rPr>
          <w:sz w:val="20"/>
          <w:szCs w:val="20"/>
        </w:rPr>
        <w:t xml:space="preserve">tain or maintain regulatory </w:t>
      </w:r>
    </w:p>
    <w:p w:rsidR="00000000" w:rsidRDefault="00FF2C06">
      <w:pPr>
        <w:pStyle w:val="a3"/>
        <w:spacing w:before="480" w:beforeAutospacing="0" w:after="0" w:afterAutospacing="0"/>
        <w:jc w:val="center"/>
        <w:divId w:val="702244827"/>
        <w:rPr>
          <w:sz w:val="20"/>
          <w:szCs w:val="20"/>
        </w:rPr>
      </w:pPr>
      <w:r>
        <w:rPr>
          <w:sz w:val="20"/>
          <w:szCs w:val="20"/>
        </w:rPr>
        <w:t>66</w:t>
      </w:r>
    </w:p>
    <w:p w:rsidR="00000000" w:rsidRDefault="00FF2C06">
      <w:pPr>
        <w:pStyle w:val="a3"/>
        <w:spacing w:before="0" w:beforeAutospacing="0" w:after="600" w:afterAutospacing="0"/>
        <w:divId w:val="2000235164"/>
        <w:rPr>
          <w:sz w:val="20"/>
          <w:szCs w:val="20"/>
        </w:rPr>
      </w:pPr>
      <w:hyperlink w:anchor="TOC" w:history="1">
        <w:r>
          <w:rPr>
            <w:rStyle w:val="a4"/>
            <w:sz w:val="20"/>
            <w:szCs w:val="20"/>
          </w:rPr>
          <w:t>Table of Contents</w:t>
        </w:r>
      </w:hyperlink>
    </w:p>
    <w:p w:rsidR="00000000" w:rsidRDefault="00FF2C06">
      <w:pPr>
        <w:pStyle w:val="a3"/>
        <w:spacing w:before="0" w:beforeAutospacing="0" w:after="200" w:afterAutospacing="0"/>
        <w:divId w:val="1763455324"/>
        <w:rPr>
          <w:sz w:val="20"/>
          <w:szCs w:val="20"/>
        </w:rPr>
      </w:pPr>
      <w:r>
        <w:rPr>
          <w:sz w:val="20"/>
          <w:szCs w:val="20"/>
        </w:rPr>
        <w:t>approval in any other jurisdiction, while a failure or delay in obtaining regulatory approval in one jurisdiction may have a negative effect on the regulatory approval process in o</w:t>
      </w:r>
      <w:r>
        <w:rPr>
          <w:sz w:val="20"/>
          <w:szCs w:val="20"/>
        </w:rPr>
        <w:t>thers. Approval policies and requirements may vary among jurisdictions. For example, even if the FDA grants marketing approval of a product candidate, comparable regulatory authorities in foreign jurisdictions must also approve the manufacturing, marketing</w:t>
      </w:r>
      <w:r>
        <w:rPr>
          <w:sz w:val="20"/>
          <w:szCs w:val="20"/>
        </w:rPr>
        <w:t xml:space="preserve"> and promotion of the product candidate in those countries. Approval procedures vary among jurisdictions and can involve requirements and administrative review periods different from, and greater than, those in the United States, including additional precl</w:t>
      </w:r>
      <w:r>
        <w:rPr>
          <w:sz w:val="20"/>
          <w:szCs w:val="20"/>
        </w:rPr>
        <w:t>inical studies or clinical trials as clinical studies conducted in one jurisdiction may not be accepted by regulatory authorities in other jurisdictions. In many jurisdictions outside the United States, a product candidate must be approved for reimbursemen</w:t>
      </w:r>
      <w:r>
        <w:rPr>
          <w:sz w:val="20"/>
          <w:szCs w:val="20"/>
        </w:rPr>
        <w:t xml:space="preserve">t before it can be approved for sale in that jurisdiction. In some cases, the price that we intend to charge for our products is also subject to approval. We or our collaborators may not be able to file for regulatory approval of our product candidates in </w:t>
      </w:r>
      <w:r>
        <w:rPr>
          <w:sz w:val="20"/>
          <w:szCs w:val="20"/>
        </w:rPr>
        <w:t>international jurisdictions or obtain approvals from regulatory authorities outside the United States on a timely basis, if at all.</w:t>
      </w:r>
    </w:p>
    <w:p w:rsidR="00000000" w:rsidRDefault="00FF2C06">
      <w:pPr>
        <w:pStyle w:val="a3"/>
        <w:spacing w:before="0" w:beforeAutospacing="0" w:after="200" w:afterAutospacing="0"/>
        <w:ind w:firstLine="547"/>
        <w:divId w:val="1763455324"/>
        <w:rPr>
          <w:sz w:val="20"/>
          <w:szCs w:val="20"/>
        </w:rPr>
      </w:pPr>
      <w:r>
        <w:rPr>
          <w:sz w:val="20"/>
          <w:szCs w:val="20"/>
        </w:rPr>
        <w:t xml:space="preserve">We may also submit marketing applications in other countries. Regulatory authorities in jurisdictions outside of the United </w:t>
      </w:r>
      <w:r>
        <w:rPr>
          <w:sz w:val="20"/>
          <w:szCs w:val="20"/>
        </w:rPr>
        <w:t xml:space="preserve">States have requirements for approval of product candidates with which we must comply prior to marketing in those jurisdictions. Obtaining foreign regulatory approvals and compliance with foreign regulatory requirements could result in significant delays, </w:t>
      </w:r>
      <w:r>
        <w:rPr>
          <w:sz w:val="20"/>
          <w:szCs w:val="20"/>
        </w:rPr>
        <w:t xml:space="preserve">difficulties and costs for us and could delay or prevent the introduction of our products in certain countries. If we fail to comply with the regulatory requirements in international markets and/or receive applicable marketing approvals, our target market </w:t>
      </w:r>
      <w:r>
        <w:rPr>
          <w:sz w:val="20"/>
          <w:szCs w:val="20"/>
        </w:rPr>
        <w:t>will be reduced and our ability to realize the full market potential of our product candidates will be harmed.</w:t>
      </w:r>
    </w:p>
    <w:p w:rsidR="00000000" w:rsidRDefault="00FF2C06">
      <w:pPr>
        <w:pStyle w:val="a3"/>
        <w:spacing w:before="0" w:beforeAutospacing="0" w:after="200" w:afterAutospacing="0"/>
        <w:ind w:firstLine="547"/>
        <w:divId w:val="1763455324"/>
        <w:rPr>
          <w:sz w:val="20"/>
          <w:szCs w:val="20"/>
        </w:rPr>
      </w:pPr>
      <w:r>
        <w:rPr>
          <w:b/>
          <w:bCs/>
          <w:i/>
          <w:iCs/>
          <w:sz w:val="20"/>
          <w:szCs w:val="20"/>
        </w:rPr>
        <w:t>We are, and if we receive regulatory approval of our product candidates, will continue to be subject to ongoing regulatory obligations and contin</w:t>
      </w:r>
      <w:r>
        <w:rPr>
          <w:b/>
          <w:bCs/>
          <w:i/>
          <w:iCs/>
          <w:sz w:val="20"/>
          <w:szCs w:val="20"/>
        </w:rPr>
        <w:t>ued regulatory review, which may result in significant additional expense and we may be subject to penalties if we fail to comply with regulatory requirements or experience unanticipated problems with our product candidates.</w:t>
      </w:r>
    </w:p>
    <w:p w:rsidR="00000000" w:rsidRDefault="00FF2C06">
      <w:pPr>
        <w:pStyle w:val="a3"/>
        <w:spacing w:before="0" w:beforeAutospacing="0" w:after="200" w:afterAutospacing="0"/>
        <w:ind w:firstLine="547"/>
        <w:divId w:val="1763455324"/>
        <w:rPr>
          <w:sz w:val="20"/>
          <w:szCs w:val="20"/>
        </w:rPr>
      </w:pPr>
      <w:r>
        <w:rPr>
          <w:sz w:val="20"/>
          <w:szCs w:val="20"/>
        </w:rPr>
        <w:t>Any regulatory approvals that w</w:t>
      </w:r>
      <w:r>
        <w:rPr>
          <w:sz w:val="20"/>
          <w:szCs w:val="20"/>
        </w:rPr>
        <w:t>e receive for our product candidates will require surveillance to monitor the safety and efficacy of the product candidate. The FDA may also require a REMS to approve our product candidates, which could entail requirements for a medication guide, physician</w:t>
      </w:r>
      <w:r>
        <w:rPr>
          <w:sz w:val="20"/>
          <w:szCs w:val="20"/>
        </w:rPr>
        <w:t xml:space="preserve"> communication plans or additional elements to ensure safe use, such as restricted distribution methods, patient registries and other risk minimization tools. The FDA may also require post-approval Phase 4 studies. Moreover, the FDA and comparable foreign </w:t>
      </w:r>
      <w:r>
        <w:rPr>
          <w:sz w:val="20"/>
          <w:szCs w:val="20"/>
        </w:rPr>
        <w:t>regulatory authorities will continue to closely monitor the safety profile of any product even after approval. If the FDA or comparable foreign regulatory authorities become aware of new safety information after approval of any of our product candidates, t</w:t>
      </w:r>
      <w:r>
        <w:rPr>
          <w:sz w:val="20"/>
          <w:szCs w:val="20"/>
        </w:rPr>
        <w:t>hey may withdraw approval, require labeling changes or establishment of a REMS or similar strategy, impose significant restrictions on a product’s indicated uses or marketing, or impose ongoing requirements for potentially costly post-approval studies or p</w:t>
      </w:r>
      <w:r>
        <w:rPr>
          <w:sz w:val="20"/>
          <w:szCs w:val="20"/>
        </w:rPr>
        <w:t>ost-market surveillance. Any such restrictions could limit sales of the product.</w:t>
      </w:r>
    </w:p>
    <w:p w:rsidR="00000000" w:rsidRDefault="00FF2C06">
      <w:pPr>
        <w:pStyle w:val="a3"/>
        <w:spacing w:before="0" w:beforeAutospacing="0" w:after="200" w:afterAutospacing="0"/>
        <w:ind w:firstLine="547"/>
        <w:divId w:val="1763455324"/>
        <w:rPr>
          <w:sz w:val="20"/>
          <w:szCs w:val="20"/>
        </w:rPr>
      </w:pPr>
      <w:r>
        <w:rPr>
          <w:sz w:val="20"/>
          <w:szCs w:val="20"/>
        </w:rPr>
        <w:t>In addition, we, our contractors, and our collaborators are and will remain responsible for FDA compliance, including requirements related to product design, testing, clinical</w:t>
      </w:r>
      <w:r>
        <w:rPr>
          <w:sz w:val="20"/>
          <w:szCs w:val="20"/>
        </w:rPr>
        <w:t xml:space="preserve"> and pre-clinical trials approval, manufacturing processes and quality, labeling, packaging, distribution, adverse event and deviation reporting, storage, advertising, marketing, promotion, sale, import, export, submissions of safety and other post-marketi</w:t>
      </w:r>
      <w:r>
        <w:rPr>
          <w:sz w:val="20"/>
          <w:szCs w:val="20"/>
        </w:rPr>
        <w:t>ng information and reports such as deviation reports, registration, product listing, annual user fees, and recordkeeping for our product candidates. We and any of our collaborators, including our contract manufacturers, could be subject to periodic unannou</w:t>
      </w:r>
      <w:r>
        <w:rPr>
          <w:sz w:val="20"/>
          <w:szCs w:val="20"/>
        </w:rPr>
        <w:t>nced inspections by the FDA to monitor and ensure compliance with regulatory requirements. Application holders must further notify the FDA, and depending on the nature of the change, obtain FDA pre-approval for product and manufacturing changes. The cost o</w:t>
      </w:r>
      <w:r>
        <w:rPr>
          <w:sz w:val="20"/>
          <w:szCs w:val="20"/>
        </w:rPr>
        <w:t>f compliance with post-approval regulations may have a negative effect on our operating results and financial condition.</w:t>
      </w:r>
    </w:p>
    <w:p w:rsidR="00000000" w:rsidRDefault="00FF2C06">
      <w:pPr>
        <w:pStyle w:val="a3"/>
        <w:spacing w:before="0" w:beforeAutospacing="0" w:after="200" w:afterAutospacing="0"/>
        <w:ind w:firstLine="547"/>
        <w:divId w:val="1763455324"/>
        <w:rPr>
          <w:sz w:val="20"/>
          <w:szCs w:val="20"/>
        </w:rPr>
      </w:pPr>
      <w:r>
        <w:rPr>
          <w:sz w:val="20"/>
          <w:szCs w:val="20"/>
        </w:rPr>
        <w:t>Later discovery of previously unknown problems with our product candidates, including adverse events of unanticipated severity or frequ</w:t>
      </w:r>
      <w:r>
        <w:rPr>
          <w:sz w:val="20"/>
          <w:szCs w:val="20"/>
        </w:rPr>
        <w:t>ency, that the product is less effective than previously thought, problems with our third-party manufacturers or manufacturing processes, or failure to comply with regulatory requirements, may result in, among other things:</w:t>
      </w:r>
    </w:p>
    <w:p w:rsidR="00000000" w:rsidRDefault="00FF2C06">
      <w:pPr>
        <w:ind w:left="547" w:hanging="360"/>
        <w:divId w:val="876426830"/>
        <w:rPr>
          <w:rFonts w:eastAsia="Times New Roman"/>
          <w:sz w:val="20"/>
          <w:szCs w:val="20"/>
        </w:rPr>
      </w:pPr>
      <w:r>
        <w:rPr>
          <w:rFonts w:eastAsia="Times New Roman"/>
          <w:sz w:val="20"/>
          <w:szCs w:val="20"/>
        </w:rPr>
        <w:t>●</w:t>
      </w:r>
      <w:r>
        <w:rPr>
          <w:rFonts w:eastAsia="Times New Roman"/>
          <w:sz w:val="20"/>
          <w:szCs w:val="20"/>
        </w:rPr>
        <w:t xml:space="preserve">restrictions on the marketing, </w:t>
      </w:r>
      <w:r>
        <w:rPr>
          <w:rFonts w:eastAsia="Times New Roman"/>
          <w:sz w:val="20"/>
          <w:szCs w:val="20"/>
        </w:rPr>
        <w:t>distribution, or manufacturing of our product candidates, withdrawal of the product from the market, or voluntary or mandatory product recalls;</w:t>
      </w:r>
    </w:p>
    <w:p w:rsidR="00000000" w:rsidRDefault="00FF2C06">
      <w:pPr>
        <w:ind w:left="547" w:hanging="360"/>
        <w:divId w:val="1427269534"/>
        <w:rPr>
          <w:rFonts w:eastAsia="Times New Roman"/>
          <w:sz w:val="20"/>
          <w:szCs w:val="20"/>
        </w:rPr>
      </w:pPr>
      <w:r>
        <w:rPr>
          <w:rFonts w:eastAsia="Times New Roman"/>
          <w:sz w:val="20"/>
          <w:szCs w:val="20"/>
        </w:rPr>
        <w:t>●</w:t>
      </w:r>
      <w:r>
        <w:rPr>
          <w:rFonts w:eastAsia="Times New Roman"/>
          <w:sz w:val="20"/>
          <w:szCs w:val="20"/>
        </w:rPr>
        <w:t>restrictions on the labeling of our product candidates, including required additional warnings, such as black b</w:t>
      </w:r>
      <w:r>
        <w:rPr>
          <w:rFonts w:eastAsia="Times New Roman"/>
          <w:sz w:val="20"/>
          <w:szCs w:val="20"/>
        </w:rPr>
        <w:t>ox warnings, contraindications, precautions, and restrictions on the approved indication or use;</w:t>
      </w:r>
    </w:p>
    <w:p w:rsidR="00000000" w:rsidRDefault="00FF2C06">
      <w:pPr>
        <w:ind w:left="547" w:hanging="360"/>
        <w:divId w:val="1312828866"/>
        <w:rPr>
          <w:rFonts w:eastAsia="Times New Roman"/>
          <w:sz w:val="20"/>
          <w:szCs w:val="20"/>
        </w:rPr>
      </w:pPr>
      <w:r>
        <w:rPr>
          <w:rFonts w:eastAsia="Times New Roman"/>
          <w:sz w:val="20"/>
          <w:szCs w:val="20"/>
        </w:rPr>
        <w:t>●</w:t>
      </w:r>
      <w:r>
        <w:rPr>
          <w:rFonts w:eastAsia="Times New Roman"/>
          <w:sz w:val="20"/>
          <w:szCs w:val="20"/>
        </w:rPr>
        <w:t>modifications to promotional pieces;</w:t>
      </w:r>
    </w:p>
    <w:p w:rsidR="00000000" w:rsidRDefault="00FF2C06">
      <w:pPr>
        <w:ind w:left="547" w:hanging="360"/>
        <w:divId w:val="1853953497"/>
        <w:rPr>
          <w:rFonts w:eastAsia="Times New Roman"/>
          <w:sz w:val="20"/>
          <w:szCs w:val="20"/>
        </w:rPr>
      </w:pPr>
      <w:r>
        <w:rPr>
          <w:rFonts w:eastAsia="Times New Roman"/>
          <w:sz w:val="20"/>
          <w:szCs w:val="20"/>
        </w:rPr>
        <w:t>●</w:t>
      </w:r>
      <w:r>
        <w:rPr>
          <w:rFonts w:eastAsia="Times New Roman"/>
          <w:sz w:val="20"/>
          <w:szCs w:val="20"/>
        </w:rPr>
        <w:t>changes to product labeling or the way the product is administered;</w:t>
      </w:r>
    </w:p>
    <w:p w:rsidR="00000000" w:rsidRDefault="00FF2C06">
      <w:pPr>
        <w:ind w:left="547" w:hanging="360"/>
        <w:divId w:val="816647212"/>
        <w:rPr>
          <w:rFonts w:eastAsia="Times New Roman"/>
          <w:sz w:val="20"/>
          <w:szCs w:val="20"/>
        </w:rPr>
      </w:pPr>
      <w:r>
        <w:rPr>
          <w:rFonts w:eastAsia="Times New Roman"/>
          <w:sz w:val="20"/>
          <w:szCs w:val="20"/>
        </w:rPr>
        <w:t>●</w:t>
      </w:r>
      <w:r>
        <w:rPr>
          <w:rFonts w:eastAsia="Times New Roman"/>
          <w:sz w:val="20"/>
          <w:szCs w:val="20"/>
        </w:rPr>
        <w:t>liability for harm caused to patients or subjects;</w:t>
      </w:r>
    </w:p>
    <w:p w:rsidR="00000000" w:rsidRDefault="00FF2C06">
      <w:pPr>
        <w:ind w:left="547" w:hanging="360"/>
        <w:divId w:val="159124233"/>
        <w:rPr>
          <w:rFonts w:eastAsia="Times New Roman"/>
          <w:sz w:val="20"/>
          <w:szCs w:val="20"/>
        </w:rPr>
      </w:pPr>
      <w:r>
        <w:rPr>
          <w:rFonts w:eastAsia="Times New Roman"/>
          <w:sz w:val="20"/>
          <w:szCs w:val="20"/>
        </w:rPr>
        <w:t>●</w:t>
      </w:r>
      <w:r>
        <w:rPr>
          <w:rFonts w:eastAsia="Times New Roman"/>
          <w:sz w:val="20"/>
          <w:szCs w:val="20"/>
        </w:rPr>
        <w:t>fines, restitution, disgorgement, warning letters, untitled letters, or holds on or termination of clinical trials;</w:t>
      </w:r>
    </w:p>
    <w:p w:rsidR="00000000" w:rsidRDefault="00FF2C06">
      <w:pPr>
        <w:ind w:left="547" w:hanging="360"/>
        <w:divId w:val="1944460693"/>
        <w:rPr>
          <w:rFonts w:eastAsia="Times New Roman"/>
          <w:sz w:val="20"/>
          <w:szCs w:val="20"/>
        </w:rPr>
      </w:pPr>
      <w:r>
        <w:rPr>
          <w:rFonts w:eastAsia="Times New Roman"/>
          <w:sz w:val="20"/>
          <w:szCs w:val="20"/>
        </w:rPr>
        <w:t>●</w:t>
      </w:r>
      <w:r>
        <w:rPr>
          <w:rFonts w:eastAsia="Times New Roman"/>
          <w:sz w:val="20"/>
          <w:szCs w:val="20"/>
        </w:rPr>
        <w:t>refusal by the FDA to approve pending applications or supplements to approved applications filed by us or suspension or revocation of lice</w:t>
      </w:r>
      <w:r>
        <w:rPr>
          <w:rFonts w:eastAsia="Times New Roman"/>
          <w:sz w:val="20"/>
          <w:szCs w:val="20"/>
        </w:rPr>
        <w:t>nse approvals;</w:t>
      </w:r>
    </w:p>
    <w:p w:rsidR="00000000" w:rsidRDefault="00FF2C06">
      <w:pPr>
        <w:pStyle w:val="a3"/>
        <w:spacing w:before="480" w:beforeAutospacing="0" w:after="0" w:afterAutospacing="0"/>
        <w:jc w:val="center"/>
        <w:divId w:val="612633710"/>
        <w:rPr>
          <w:sz w:val="20"/>
          <w:szCs w:val="20"/>
        </w:rPr>
      </w:pPr>
      <w:r>
        <w:rPr>
          <w:sz w:val="20"/>
          <w:szCs w:val="20"/>
        </w:rPr>
        <w:t>67</w:t>
      </w:r>
    </w:p>
    <w:p w:rsidR="00000000" w:rsidRDefault="00FF2C06">
      <w:pPr>
        <w:pStyle w:val="a3"/>
        <w:spacing w:before="0" w:beforeAutospacing="0" w:after="600" w:afterAutospacing="0"/>
        <w:divId w:val="1918519140"/>
        <w:rPr>
          <w:sz w:val="20"/>
          <w:szCs w:val="20"/>
        </w:rPr>
      </w:pPr>
      <w:hyperlink w:anchor="TOC" w:history="1">
        <w:r>
          <w:rPr>
            <w:rStyle w:val="a4"/>
            <w:sz w:val="20"/>
            <w:szCs w:val="20"/>
          </w:rPr>
          <w:t>Table of Contents</w:t>
        </w:r>
      </w:hyperlink>
    </w:p>
    <w:p w:rsidR="00000000" w:rsidRDefault="00FF2C06">
      <w:pPr>
        <w:ind w:left="547" w:hanging="360"/>
        <w:divId w:val="1809663247"/>
        <w:rPr>
          <w:rFonts w:eastAsia="Times New Roman"/>
          <w:sz w:val="20"/>
          <w:szCs w:val="20"/>
        </w:rPr>
      </w:pPr>
      <w:r>
        <w:rPr>
          <w:rFonts w:eastAsia="Times New Roman"/>
          <w:sz w:val="20"/>
          <w:szCs w:val="20"/>
        </w:rPr>
        <w:t>●</w:t>
      </w:r>
      <w:r>
        <w:rPr>
          <w:rFonts w:eastAsia="Times New Roman"/>
          <w:sz w:val="20"/>
          <w:szCs w:val="20"/>
        </w:rPr>
        <w:t>product seizure or detention, or refusal to permit the import or export of our product candidates;</w:t>
      </w:r>
    </w:p>
    <w:p w:rsidR="00000000" w:rsidRDefault="00FF2C06">
      <w:pPr>
        <w:ind w:left="547" w:hanging="360"/>
        <w:divId w:val="1889800674"/>
        <w:rPr>
          <w:rFonts w:eastAsia="Times New Roman"/>
          <w:sz w:val="20"/>
          <w:szCs w:val="20"/>
        </w:rPr>
      </w:pPr>
      <w:r>
        <w:rPr>
          <w:rFonts w:eastAsia="Times New Roman"/>
          <w:sz w:val="20"/>
          <w:szCs w:val="20"/>
        </w:rPr>
        <w:t>●</w:t>
      </w:r>
      <w:r>
        <w:rPr>
          <w:rFonts w:eastAsia="Times New Roman"/>
          <w:sz w:val="20"/>
          <w:szCs w:val="20"/>
        </w:rPr>
        <w:t>injunctions or the imposition of civil or criminal penalties, including imprisonment;</w:t>
      </w:r>
    </w:p>
    <w:p w:rsidR="00000000" w:rsidRDefault="00FF2C06">
      <w:pPr>
        <w:ind w:left="547" w:hanging="360"/>
        <w:divId w:val="573855787"/>
        <w:rPr>
          <w:rFonts w:eastAsia="Times New Roman"/>
          <w:sz w:val="20"/>
          <w:szCs w:val="20"/>
        </w:rPr>
      </w:pPr>
      <w:r>
        <w:rPr>
          <w:rFonts w:eastAsia="Times New Roman"/>
          <w:sz w:val="20"/>
          <w:szCs w:val="20"/>
        </w:rPr>
        <w:t>●</w:t>
      </w:r>
      <w:r>
        <w:rPr>
          <w:rFonts w:eastAsia="Times New Roman"/>
          <w:sz w:val="20"/>
          <w:szCs w:val="20"/>
        </w:rPr>
        <w:t>FDA debarment, debarment from government contracts, and refusal of future orders under existing contracts, exclusion from federal healthcare programs, consent decrees, or corporate integrity agreements;</w:t>
      </w:r>
    </w:p>
    <w:p w:rsidR="00000000" w:rsidRDefault="00FF2C06">
      <w:pPr>
        <w:ind w:left="547" w:hanging="360"/>
        <w:divId w:val="81100431"/>
        <w:rPr>
          <w:rFonts w:eastAsia="Times New Roman"/>
          <w:sz w:val="20"/>
          <w:szCs w:val="20"/>
        </w:rPr>
      </w:pPr>
      <w:r>
        <w:rPr>
          <w:rFonts w:eastAsia="Times New Roman"/>
          <w:sz w:val="20"/>
          <w:szCs w:val="20"/>
        </w:rPr>
        <w:t>●</w:t>
      </w:r>
      <w:r>
        <w:rPr>
          <w:rFonts w:eastAsia="Times New Roman"/>
          <w:sz w:val="20"/>
          <w:szCs w:val="20"/>
        </w:rPr>
        <w:t>regulatory authority issuance of safety alerts, Dear</w:t>
      </w:r>
      <w:r>
        <w:rPr>
          <w:rFonts w:eastAsia="Times New Roman"/>
          <w:sz w:val="20"/>
          <w:szCs w:val="20"/>
        </w:rPr>
        <w:t xml:space="preserve"> Healthcare Provider letters, press releases, or other communications containing warnings or other safety information about the biologic;</w:t>
      </w:r>
    </w:p>
    <w:p w:rsidR="00000000" w:rsidRDefault="00FF2C06">
      <w:pPr>
        <w:ind w:left="547" w:hanging="360"/>
        <w:divId w:val="1911770454"/>
        <w:rPr>
          <w:rFonts w:eastAsia="Times New Roman"/>
          <w:sz w:val="20"/>
          <w:szCs w:val="20"/>
        </w:rPr>
      </w:pPr>
      <w:r>
        <w:rPr>
          <w:rFonts w:eastAsia="Times New Roman"/>
          <w:sz w:val="20"/>
          <w:szCs w:val="20"/>
        </w:rPr>
        <w:t>●</w:t>
      </w:r>
      <w:r>
        <w:rPr>
          <w:rFonts w:eastAsia="Times New Roman"/>
          <w:sz w:val="20"/>
          <w:szCs w:val="20"/>
        </w:rPr>
        <w:t>reputational harm; or</w:t>
      </w:r>
    </w:p>
    <w:p w:rsidR="00000000" w:rsidRDefault="00FF2C06">
      <w:pPr>
        <w:ind w:left="547" w:hanging="360"/>
        <w:divId w:val="161701045"/>
        <w:rPr>
          <w:rFonts w:eastAsia="Times New Roman"/>
          <w:sz w:val="20"/>
          <w:szCs w:val="20"/>
        </w:rPr>
      </w:pPr>
      <w:r>
        <w:rPr>
          <w:rFonts w:eastAsia="Times New Roman"/>
          <w:sz w:val="20"/>
          <w:szCs w:val="20"/>
        </w:rPr>
        <w:t>●</w:t>
      </w:r>
      <w:r>
        <w:rPr>
          <w:rFonts w:eastAsia="Times New Roman"/>
          <w:sz w:val="20"/>
          <w:szCs w:val="20"/>
        </w:rPr>
        <w:t>the product becoming less competitive.</w:t>
      </w:r>
    </w:p>
    <w:p w:rsidR="00000000" w:rsidRDefault="00FF2C06">
      <w:pPr>
        <w:pStyle w:val="a3"/>
        <w:spacing w:before="0" w:beforeAutospacing="0" w:after="200" w:afterAutospacing="0"/>
        <w:ind w:firstLine="547"/>
        <w:divId w:val="1065495008"/>
        <w:rPr>
          <w:sz w:val="20"/>
          <w:szCs w:val="20"/>
        </w:rPr>
      </w:pPr>
      <w:r>
        <w:rPr>
          <w:sz w:val="20"/>
          <w:szCs w:val="20"/>
        </w:rPr>
        <w:t>Any of these events could further have other material a</w:t>
      </w:r>
      <w:r>
        <w:rPr>
          <w:sz w:val="20"/>
          <w:szCs w:val="20"/>
        </w:rPr>
        <w:t>nd adverse effects on our operations and business and could adversely impact our stock price and could significantly harm our business, financial condition, results of operations, and prospects.</w:t>
      </w:r>
    </w:p>
    <w:p w:rsidR="00000000" w:rsidRDefault="00FF2C06">
      <w:pPr>
        <w:pStyle w:val="a3"/>
        <w:spacing w:before="0" w:beforeAutospacing="0" w:after="200" w:afterAutospacing="0"/>
        <w:ind w:firstLine="547"/>
        <w:divId w:val="1065495008"/>
        <w:rPr>
          <w:sz w:val="20"/>
          <w:szCs w:val="20"/>
        </w:rPr>
      </w:pPr>
      <w:r>
        <w:rPr>
          <w:sz w:val="20"/>
          <w:szCs w:val="20"/>
        </w:rPr>
        <w:t>The FDA’s and other regulatory authorities’ policies may chan</w:t>
      </w:r>
      <w:r>
        <w:rPr>
          <w:sz w:val="20"/>
          <w:szCs w:val="20"/>
        </w:rPr>
        <w:t>ge, and additional government regulations may be enacted that could prevent, limit or delay regulatory approval of our product candidates. We cannot predict the likelihood, nature or extent of government regulation that may arise from future legislation or</w:t>
      </w:r>
      <w:r>
        <w:rPr>
          <w:sz w:val="20"/>
          <w:szCs w:val="20"/>
        </w:rPr>
        <w:t xml:space="preserve"> administrative action, either in the United States or abroad. If we are slow or unable to adapt to changes in existing requirements or the adoption of new requirements or policies, or if we are not able to maintain regulatory compliance, we may lose any m</w:t>
      </w:r>
      <w:r>
        <w:rPr>
          <w:sz w:val="20"/>
          <w:szCs w:val="20"/>
        </w:rPr>
        <w:t>arketing approval that we may have obtained, be subject to other regulatory enforcement action, and we may not achieve or sustain profitability.</w:t>
      </w:r>
    </w:p>
    <w:p w:rsidR="00000000" w:rsidRDefault="00FF2C06">
      <w:pPr>
        <w:pStyle w:val="a3"/>
        <w:spacing w:before="0" w:beforeAutospacing="0" w:after="200" w:afterAutospacing="0"/>
        <w:ind w:firstLine="547"/>
        <w:divId w:val="1065495008"/>
        <w:rPr>
          <w:sz w:val="20"/>
          <w:szCs w:val="20"/>
        </w:rPr>
      </w:pPr>
      <w:r>
        <w:rPr>
          <w:b/>
          <w:bCs/>
          <w:i/>
          <w:iCs/>
          <w:sz w:val="20"/>
          <w:szCs w:val="20"/>
        </w:rPr>
        <w:t>If we fail to comply with federal and state healthcare and promotional laws, including fraud and abuse and info</w:t>
      </w:r>
      <w:r>
        <w:rPr>
          <w:b/>
          <w:bCs/>
          <w:i/>
          <w:iCs/>
          <w:sz w:val="20"/>
          <w:szCs w:val="20"/>
        </w:rPr>
        <w:t>rmation privacy and security laws, we could face substantial penalties and our business, financial condition, results of operations, and prospects could be adversely affected.</w:t>
      </w:r>
    </w:p>
    <w:p w:rsidR="00000000" w:rsidRDefault="00FF2C06">
      <w:pPr>
        <w:pStyle w:val="a3"/>
        <w:spacing w:before="0" w:beforeAutospacing="0" w:after="200" w:afterAutospacing="0"/>
        <w:ind w:firstLine="547"/>
        <w:divId w:val="1065495008"/>
        <w:rPr>
          <w:sz w:val="20"/>
          <w:szCs w:val="20"/>
        </w:rPr>
      </w:pPr>
      <w:r>
        <w:rPr>
          <w:sz w:val="20"/>
          <w:szCs w:val="20"/>
        </w:rPr>
        <w:t>As a biopharmaceutical company, we are subject to many federal and state healthc</w:t>
      </w:r>
      <w:r>
        <w:rPr>
          <w:sz w:val="20"/>
          <w:szCs w:val="20"/>
        </w:rPr>
        <w:t>are laws, including the federal AKS, the federal civil and criminal FCA, the civil monetary penalties statute, the Medicaid Drug Rebate statute and other price reporting requirements, the Veterans Health Care Act of 1992, the federal Health Insurance Porta</w:t>
      </w:r>
      <w:r>
        <w:rPr>
          <w:sz w:val="20"/>
          <w:szCs w:val="20"/>
        </w:rPr>
        <w:t>bility and Accountability Act of 1996 (as amended by the Health Information Technology for Economics and Clinical Health Act), the Foreign Corrupt Practices Act of 1977, the Patient Protection and Affordable Care Act of 2010, and similar state laws. Even t</w:t>
      </w:r>
      <w:r>
        <w:rPr>
          <w:sz w:val="20"/>
          <w:szCs w:val="20"/>
        </w:rPr>
        <w:t xml:space="preserve">hough we do not and will not control referrals of healthcare services or bill directly to Medicare, Medicaid, or other third-party payors, certain federal and state healthcare laws and regulations pertaining to fraud and abuse and patients’ rights are and </w:t>
      </w:r>
      <w:r>
        <w:rPr>
          <w:sz w:val="20"/>
          <w:szCs w:val="20"/>
        </w:rPr>
        <w:t>will be applicable to our business. If we do not comply with all applicable fraud and abuse laws, we may be subject to healthcare fraud and abuse enforcement by both the federal government and the states in which we conduct our business.</w:t>
      </w:r>
    </w:p>
    <w:p w:rsidR="00000000" w:rsidRDefault="00FF2C06">
      <w:pPr>
        <w:pStyle w:val="a3"/>
        <w:spacing w:before="0" w:beforeAutospacing="0" w:after="200" w:afterAutospacing="0"/>
        <w:ind w:firstLine="547"/>
        <w:divId w:val="1065495008"/>
        <w:rPr>
          <w:sz w:val="20"/>
          <w:szCs w:val="20"/>
        </w:rPr>
      </w:pPr>
      <w:r>
        <w:rPr>
          <w:sz w:val="20"/>
          <w:szCs w:val="20"/>
        </w:rPr>
        <w:t>Laws and regulatio</w:t>
      </w:r>
      <w:r>
        <w:rPr>
          <w:sz w:val="20"/>
          <w:szCs w:val="20"/>
        </w:rPr>
        <w:t>ns require calculation and reporting of complex pricing information for prescription drugs, and compliance will require us to invest in significant resources and develop a price reporting infrastructure, or depend on third parties to compute and report our</w:t>
      </w:r>
      <w:r>
        <w:rPr>
          <w:sz w:val="20"/>
          <w:szCs w:val="20"/>
        </w:rPr>
        <w:t xml:space="preserve"> drug pricing. Pricing reported to CMS must be certified. Non-compliant activities expose us to FCA risk if they result in overcharging agencies, underpaying rebates to agencies, or causing agencies to overpay providers.</w:t>
      </w:r>
    </w:p>
    <w:p w:rsidR="00000000" w:rsidRDefault="00FF2C06">
      <w:pPr>
        <w:pStyle w:val="a3"/>
        <w:spacing w:before="0" w:beforeAutospacing="0" w:after="200" w:afterAutospacing="0"/>
        <w:ind w:firstLine="547"/>
        <w:divId w:val="1065495008"/>
        <w:rPr>
          <w:sz w:val="20"/>
          <w:szCs w:val="20"/>
        </w:rPr>
      </w:pPr>
      <w:r>
        <w:rPr>
          <w:sz w:val="20"/>
          <w:szCs w:val="20"/>
        </w:rPr>
        <w:t>If we or our operations are found t</w:t>
      </w:r>
      <w:r>
        <w:rPr>
          <w:sz w:val="20"/>
          <w:szCs w:val="20"/>
        </w:rPr>
        <w:t>o be in violation of any federal or state healthcare law, or any other governmental regulations that apply to us, we may be subject to penalties, including civil, criminal, and administrative penalties, damages, fines, disgorgement, debarment from governme</w:t>
      </w:r>
      <w:r>
        <w:rPr>
          <w:sz w:val="20"/>
          <w:szCs w:val="20"/>
        </w:rPr>
        <w:t>nt contracts, refusal of orders under existing contracts, exclusion from participation in U.S. federal or state health care programs, corporate integrity agreements, and the curtailment or restructuring of our operations, any of which could materially adve</w:t>
      </w:r>
      <w:r>
        <w:rPr>
          <w:sz w:val="20"/>
          <w:szCs w:val="20"/>
        </w:rPr>
        <w:t>rsely affect our ability to operate our business and our financial results. If any of the physicians or other healthcare providers or entities with whom we expect to do business, including our collaborators, is found not to be in compliance with applicable</w:t>
      </w:r>
      <w:r>
        <w:rPr>
          <w:sz w:val="20"/>
          <w:szCs w:val="20"/>
        </w:rPr>
        <w:t xml:space="preserve"> laws, they may be subject to criminal, civil, or administrative sanctions, including but not limited to, exclusions from participation in government healthcare programs, which could also materially affect our business.</w:t>
      </w:r>
    </w:p>
    <w:p w:rsidR="00000000" w:rsidRDefault="00FF2C06">
      <w:pPr>
        <w:pStyle w:val="a3"/>
        <w:spacing w:before="0" w:beforeAutospacing="0" w:after="0" w:afterAutospacing="0"/>
        <w:ind w:firstLine="547"/>
        <w:divId w:val="1065495008"/>
        <w:rPr>
          <w:sz w:val="20"/>
          <w:szCs w:val="20"/>
        </w:rPr>
      </w:pPr>
      <w:r>
        <w:rPr>
          <w:sz w:val="20"/>
          <w:szCs w:val="20"/>
        </w:rPr>
        <w:t>In particular, if we are found to ha</w:t>
      </w:r>
      <w:r>
        <w:rPr>
          <w:sz w:val="20"/>
          <w:szCs w:val="20"/>
        </w:rPr>
        <w:t>ve impermissibly promoted any of our product candidates, we may become subject to significant liability and government fines. We, and any of our collaborators, must comply with requirements concerning advertising and promotion for any of our product candid</w:t>
      </w:r>
      <w:r>
        <w:rPr>
          <w:sz w:val="20"/>
          <w:szCs w:val="20"/>
        </w:rPr>
        <w:t>ates for which we or they obtain marketing approval. Promotional communications with respect to therapeutics are subject to a variety of legal and regulatory restrictions and continuing review by the FDA, Department of Justice, Department of Health and Hum</w:t>
      </w:r>
      <w:r>
        <w:rPr>
          <w:sz w:val="20"/>
          <w:szCs w:val="20"/>
        </w:rPr>
        <w:t>an Services’ Office of Inspector General, state attorneys general, members of Congress, and the public. When the FDA or comparable foreign regulatory authorities issue regulatory approval for a product candidate, the regulatory approval is limited to those</w:t>
      </w:r>
      <w:r>
        <w:rPr>
          <w:sz w:val="20"/>
          <w:szCs w:val="20"/>
        </w:rPr>
        <w:t xml:space="preserve"> specific uses and indications for which a product is approved. If we are not able to obtain FDA approval for desired uses or indications for our products and product candidates, we may not market or promote our products for those indications and uses, ref</w:t>
      </w:r>
      <w:r>
        <w:rPr>
          <w:sz w:val="20"/>
          <w:szCs w:val="20"/>
        </w:rPr>
        <w:t xml:space="preserve">erred to as off-label uses, and our business may be adversely affected. We further must be able to sufficiently </w:t>
      </w:r>
    </w:p>
    <w:p w:rsidR="00000000" w:rsidRDefault="00FF2C06">
      <w:pPr>
        <w:pStyle w:val="a3"/>
        <w:spacing w:before="480" w:beforeAutospacing="0" w:after="0" w:afterAutospacing="0"/>
        <w:jc w:val="center"/>
        <w:divId w:val="280771149"/>
        <w:rPr>
          <w:sz w:val="20"/>
          <w:szCs w:val="20"/>
        </w:rPr>
      </w:pPr>
      <w:r>
        <w:rPr>
          <w:sz w:val="20"/>
          <w:szCs w:val="20"/>
        </w:rPr>
        <w:t>68</w:t>
      </w:r>
    </w:p>
    <w:p w:rsidR="00000000" w:rsidRDefault="00FF2C06">
      <w:pPr>
        <w:pStyle w:val="a3"/>
        <w:spacing w:before="0" w:beforeAutospacing="0" w:after="600" w:afterAutospacing="0"/>
        <w:divId w:val="55131494"/>
        <w:rPr>
          <w:sz w:val="20"/>
          <w:szCs w:val="20"/>
        </w:rPr>
      </w:pPr>
      <w:hyperlink w:anchor="TOC" w:history="1">
        <w:r>
          <w:rPr>
            <w:rStyle w:val="a4"/>
            <w:sz w:val="20"/>
            <w:szCs w:val="20"/>
          </w:rPr>
          <w:t>Table of Contents</w:t>
        </w:r>
      </w:hyperlink>
    </w:p>
    <w:p w:rsidR="00000000" w:rsidRDefault="00FF2C06">
      <w:pPr>
        <w:pStyle w:val="a3"/>
        <w:spacing w:before="0" w:beforeAutospacing="0" w:after="200" w:afterAutospacing="0"/>
        <w:divId w:val="141966809"/>
        <w:rPr>
          <w:sz w:val="20"/>
          <w:szCs w:val="20"/>
        </w:rPr>
      </w:pPr>
      <w:r>
        <w:rPr>
          <w:sz w:val="20"/>
          <w:szCs w:val="20"/>
        </w:rPr>
        <w:t>substantiate any claims that we make for our products including claims comparing our products to</w:t>
      </w:r>
      <w:r>
        <w:rPr>
          <w:sz w:val="20"/>
          <w:szCs w:val="20"/>
        </w:rPr>
        <w:t xml:space="preserve"> other companies’ products and must abide by the FDA’s strict requirements regarding the content of promotion and advertising.</w:t>
      </w:r>
    </w:p>
    <w:p w:rsidR="00000000" w:rsidRDefault="00FF2C06">
      <w:pPr>
        <w:pStyle w:val="a3"/>
        <w:spacing w:before="0" w:beforeAutospacing="0" w:after="200" w:afterAutospacing="0"/>
        <w:ind w:firstLine="547"/>
        <w:divId w:val="141966809"/>
        <w:rPr>
          <w:sz w:val="20"/>
          <w:szCs w:val="20"/>
        </w:rPr>
      </w:pPr>
      <w:r>
        <w:rPr>
          <w:sz w:val="20"/>
          <w:szCs w:val="20"/>
        </w:rPr>
        <w:t>While physicians may choose to prescribe products for uses that are not described in the product’s labeling and for uses that dif</w:t>
      </w:r>
      <w:r>
        <w:rPr>
          <w:sz w:val="20"/>
          <w:szCs w:val="20"/>
        </w:rPr>
        <w:t>fer from those tested in clinical studies and approved by the regulatory authorities, we are prohibited from marketing and promoting the products for indications and uses that are not specifically approved by the FDA. These off-label uses are common across</w:t>
      </w:r>
      <w:r>
        <w:rPr>
          <w:sz w:val="20"/>
          <w:szCs w:val="20"/>
        </w:rPr>
        <w:t xml:space="preserve"> medical specialties and may constitute an appropriate treatment for some patients in varied circumstances. Regulatory authorities in the United States generally do not restrict or regulate the behavior of physicians in their choice of treatment within the</w:t>
      </w:r>
      <w:r>
        <w:rPr>
          <w:sz w:val="20"/>
          <w:szCs w:val="20"/>
        </w:rPr>
        <w:t xml:space="preserve"> practice of medicine. Regulatory authorities do, however, restrict communications by biopharmaceutical companies concerning off-label use.</w:t>
      </w:r>
    </w:p>
    <w:p w:rsidR="00000000" w:rsidRDefault="00FF2C06">
      <w:pPr>
        <w:pStyle w:val="a3"/>
        <w:spacing w:before="0" w:beforeAutospacing="0" w:after="200" w:afterAutospacing="0"/>
        <w:ind w:firstLine="547"/>
        <w:divId w:val="141966809"/>
        <w:rPr>
          <w:sz w:val="20"/>
          <w:szCs w:val="20"/>
        </w:rPr>
      </w:pPr>
      <w:r>
        <w:rPr>
          <w:sz w:val="20"/>
          <w:szCs w:val="20"/>
        </w:rPr>
        <w:t>The FDA and other agencies actively enforce the laws and regulations regarding product promotion, particularly those</w:t>
      </w:r>
      <w:r>
        <w:rPr>
          <w:sz w:val="20"/>
          <w:szCs w:val="20"/>
        </w:rPr>
        <w:t xml:space="preserve"> prohibiting the promotion of off-label uses, and a company that is found to have improperly promoted a product may be subject to significant sanctions. The federal government has levied large civil and criminal fines against companies for alleged improper</w:t>
      </w:r>
      <w:r>
        <w:rPr>
          <w:sz w:val="20"/>
          <w:szCs w:val="20"/>
        </w:rPr>
        <w:t xml:space="preserve"> promotion and has enjoined several companies from engaging in off-label promotion. The FDA has also requested that companies enter into consent decrees of permanent injunctions under which specified promotional conduct is changed or curtailed. Thus, we an</w:t>
      </w:r>
      <w:r>
        <w:rPr>
          <w:sz w:val="20"/>
          <w:szCs w:val="20"/>
        </w:rPr>
        <w:t>d any of our collaborators will not be able to promote any products we develop for indications or uses for which they are not approved.</w:t>
      </w:r>
    </w:p>
    <w:p w:rsidR="00000000" w:rsidRDefault="00FF2C06">
      <w:pPr>
        <w:pStyle w:val="a3"/>
        <w:spacing w:before="0" w:beforeAutospacing="0" w:after="200" w:afterAutospacing="0"/>
        <w:ind w:firstLine="547"/>
        <w:divId w:val="141966809"/>
        <w:rPr>
          <w:sz w:val="20"/>
          <w:szCs w:val="20"/>
        </w:rPr>
      </w:pPr>
      <w:r>
        <w:rPr>
          <w:sz w:val="20"/>
          <w:szCs w:val="20"/>
        </w:rPr>
        <w:t>In the United States, engaging in the impermissible promotion of our products, following approval, for off-label uses ca</w:t>
      </w:r>
      <w:r>
        <w:rPr>
          <w:sz w:val="20"/>
          <w:szCs w:val="20"/>
        </w:rPr>
        <w:t>n also subject us to false claims and other litigation under federal and state statutes, including fraud and abuse and consumer protection laws, which can lead to civil and criminal penalties and fines, agreements with governmental authorities that materia</w:t>
      </w:r>
      <w:r>
        <w:rPr>
          <w:sz w:val="20"/>
          <w:szCs w:val="20"/>
        </w:rPr>
        <w:t>lly restrict the manner in which we promote or distribute therapeutic products and do business through, for example, corporate integrity agreements, suspension or exclusion from participation in federal and state healthcare programs, and debarment from gov</w:t>
      </w:r>
      <w:r>
        <w:rPr>
          <w:sz w:val="20"/>
          <w:szCs w:val="20"/>
        </w:rPr>
        <w:t>ernment contracts and refusal of future orders under existing contracts. These false claims statutes include the federal civil False Claims Act, which allows any individual to bring a lawsuit against a biopharmaceutical company on behalf of the federal gov</w:t>
      </w:r>
      <w:r>
        <w:rPr>
          <w:sz w:val="20"/>
          <w:szCs w:val="20"/>
        </w:rPr>
        <w:t>ernment alleging submission of false or fraudulent claims or causing others to present such false or fraudulent claims, for payment by a federal program such as Medicare or Medicaid. If the government decides to intervene and prevails in the lawsuit, the i</w:t>
      </w:r>
      <w:r>
        <w:rPr>
          <w:sz w:val="20"/>
          <w:szCs w:val="20"/>
        </w:rPr>
        <w:t>ndividual will share in the proceeds from any fines or settlement funds. If the government declines to intervene, the individual may pursue the case alone. These False Claims Act lawsuits against manufacturers of drugs and biologics have increased signific</w:t>
      </w:r>
      <w:r>
        <w:rPr>
          <w:sz w:val="20"/>
          <w:szCs w:val="20"/>
        </w:rPr>
        <w:t>antly in volume and breadth, leading to several substantial civil and criminal settlements, up to $3.0 billion, pertaining to certain sales practices and promoting off-label uses. In addition, False Claims Act lawsuits may expose manufacturers to follow-on</w:t>
      </w:r>
      <w:r>
        <w:rPr>
          <w:sz w:val="20"/>
          <w:szCs w:val="20"/>
        </w:rPr>
        <w:t xml:space="preserve"> claims by private payors based on fraudulent marketing practices. This growth in litigation has increased the risk that a biopharmaceutical company will have to defend a false claim action, pay settlement fines or restitution, as well as criminal and civi</w:t>
      </w:r>
      <w:r>
        <w:rPr>
          <w:sz w:val="20"/>
          <w:szCs w:val="20"/>
        </w:rPr>
        <w:t xml:space="preserve">l penalties, agree to comply with burdensome reporting and compliance obligations, and be excluded from Medicare, Medicaid, or other federal and state healthcare programs. If we or our future collaborators do not lawfully promote our approved products, if </w:t>
      </w:r>
      <w:r>
        <w:rPr>
          <w:sz w:val="20"/>
          <w:szCs w:val="20"/>
        </w:rPr>
        <w:t>any, we may become subject to such litigation and, if we do not successfully defend against such actions, those actions may have a material adverse effect on our business, financial condition, results of operations and prospects.</w:t>
      </w:r>
    </w:p>
    <w:p w:rsidR="00000000" w:rsidRDefault="00FF2C06">
      <w:pPr>
        <w:pStyle w:val="a3"/>
        <w:spacing w:before="0" w:beforeAutospacing="0" w:after="200" w:afterAutospacing="0"/>
        <w:ind w:firstLine="547"/>
        <w:divId w:val="141966809"/>
        <w:rPr>
          <w:sz w:val="20"/>
          <w:szCs w:val="20"/>
        </w:rPr>
      </w:pPr>
      <w:r>
        <w:rPr>
          <w:sz w:val="20"/>
          <w:szCs w:val="20"/>
        </w:rPr>
        <w:t>Although an effective comp</w:t>
      </w:r>
      <w:r>
        <w:rPr>
          <w:sz w:val="20"/>
          <w:szCs w:val="20"/>
        </w:rPr>
        <w:t>liance program can mitigate the risk of investigation and prosecution for violations of these laws, the risks cannot be entirely eliminated. Moreover, achieving and sustaining compliance with applicable federal and state fraud laws may prove costly. Any ac</w:t>
      </w:r>
      <w:r>
        <w:rPr>
          <w:sz w:val="20"/>
          <w:szCs w:val="20"/>
        </w:rPr>
        <w:t>tion against us for violation of these laws, even if we successfully defend against it, could cause us to incur significant legal expenses and divert our management’s attention from the operation of our business.</w:t>
      </w:r>
    </w:p>
    <w:p w:rsidR="00000000" w:rsidRDefault="00FF2C06">
      <w:pPr>
        <w:pStyle w:val="a3"/>
        <w:spacing w:before="0" w:beforeAutospacing="0" w:after="200" w:afterAutospacing="0"/>
        <w:ind w:firstLine="547"/>
        <w:divId w:val="141966809"/>
        <w:rPr>
          <w:sz w:val="20"/>
          <w:szCs w:val="20"/>
        </w:rPr>
      </w:pPr>
      <w:r>
        <w:rPr>
          <w:b/>
          <w:bCs/>
          <w:i/>
          <w:iCs/>
          <w:sz w:val="20"/>
          <w:szCs w:val="20"/>
        </w:rPr>
        <w:t>Coverage and reimbursement may be limited o</w:t>
      </w:r>
      <w:r>
        <w:rPr>
          <w:b/>
          <w:bCs/>
          <w:i/>
          <w:iCs/>
          <w:sz w:val="20"/>
          <w:szCs w:val="20"/>
        </w:rPr>
        <w:t>r unavailable in certain market segments for our product candidates, which could make it difficult for us to sell our product candidates profitably.</w:t>
      </w:r>
    </w:p>
    <w:p w:rsidR="00000000" w:rsidRDefault="00FF2C06">
      <w:pPr>
        <w:pStyle w:val="a3"/>
        <w:spacing w:before="0" w:beforeAutospacing="0" w:after="200" w:afterAutospacing="0"/>
        <w:ind w:firstLine="547"/>
        <w:divId w:val="141966809"/>
        <w:rPr>
          <w:sz w:val="20"/>
          <w:szCs w:val="20"/>
        </w:rPr>
      </w:pPr>
      <w:r>
        <w:rPr>
          <w:sz w:val="20"/>
          <w:szCs w:val="20"/>
        </w:rPr>
        <w:t>In both domestic and foreign markets, sales of our product candidates, if approved, depend on the availabil</w:t>
      </w:r>
      <w:r>
        <w:rPr>
          <w:sz w:val="20"/>
          <w:szCs w:val="20"/>
        </w:rPr>
        <w:t>ity of coverage and adequate reimbursement from third-party payors. Such third-party payors include government health programs such as Medicare and Medicaid, managed care providers, private health insurers, and other organizations. In addition, because our</w:t>
      </w:r>
      <w:r>
        <w:rPr>
          <w:sz w:val="20"/>
          <w:szCs w:val="20"/>
        </w:rPr>
        <w:t xml:space="preserve"> product candidates represent new approaches to the treatment of cancer, we cannot accurately estimate the potential revenue from our product candidates.</w:t>
      </w:r>
    </w:p>
    <w:p w:rsidR="00000000" w:rsidRDefault="00FF2C06">
      <w:pPr>
        <w:pStyle w:val="a3"/>
        <w:spacing w:before="0" w:beforeAutospacing="0" w:after="200" w:afterAutospacing="0"/>
        <w:ind w:firstLine="547"/>
        <w:divId w:val="141966809"/>
        <w:rPr>
          <w:sz w:val="20"/>
          <w:szCs w:val="20"/>
        </w:rPr>
      </w:pPr>
      <w:r>
        <w:rPr>
          <w:sz w:val="20"/>
          <w:szCs w:val="20"/>
        </w:rPr>
        <w:t xml:space="preserve">Patients who are provided medical treatment for their conditions generally rely on third-party payors </w:t>
      </w:r>
      <w:r>
        <w:rPr>
          <w:sz w:val="20"/>
          <w:szCs w:val="20"/>
        </w:rPr>
        <w:t>to reimburse all or part of the costs associated with their treatment. Obtaining coverage and adequate reimbursement from governmental healthcare programs, such as Medicare and Medicaid, and commercial payors is critical to new product acceptance.</w:t>
      </w:r>
    </w:p>
    <w:p w:rsidR="00000000" w:rsidRDefault="00FF2C06">
      <w:pPr>
        <w:pStyle w:val="a3"/>
        <w:spacing w:before="0" w:beforeAutospacing="0" w:after="0" w:afterAutospacing="0"/>
        <w:ind w:firstLine="547"/>
        <w:divId w:val="141966809"/>
        <w:rPr>
          <w:sz w:val="20"/>
          <w:szCs w:val="20"/>
        </w:rPr>
      </w:pPr>
      <w:r>
        <w:rPr>
          <w:sz w:val="20"/>
          <w:szCs w:val="20"/>
        </w:rPr>
        <w:t>Governme</w:t>
      </w:r>
      <w:r>
        <w:rPr>
          <w:sz w:val="20"/>
          <w:szCs w:val="20"/>
        </w:rPr>
        <w:t xml:space="preserve">nt authorities and third-party payors decide which drugs and treatments they will cover and the amount of reimbursement. Coverage decisions may depend upon clinical and economic standards that disfavor new drug products when more </w:t>
      </w:r>
    </w:p>
    <w:p w:rsidR="00000000" w:rsidRDefault="00FF2C06">
      <w:pPr>
        <w:pStyle w:val="a3"/>
        <w:spacing w:before="480" w:beforeAutospacing="0" w:after="0" w:afterAutospacing="0"/>
        <w:jc w:val="center"/>
        <w:divId w:val="1302808852"/>
        <w:rPr>
          <w:sz w:val="20"/>
          <w:szCs w:val="20"/>
        </w:rPr>
      </w:pPr>
      <w:r>
        <w:rPr>
          <w:sz w:val="20"/>
          <w:szCs w:val="20"/>
        </w:rPr>
        <w:t>69</w:t>
      </w:r>
    </w:p>
    <w:p w:rsidR="00000000" w:rsidRDefault="00FF2C06">
      <w:pPr>
        <w:pStyle w:val="a3"/>
        <w:spacing w:before="0" w:beforeAutospacing="0" w:after="600" w:afterAutospacing="0"/>
        <w:divId w:val="739595908"/>
        <w:rPr>
          <w:sz w:val="20"/>
          <w:szCs w:val="20"/>
        </w:rPr>
      </w:pPr>
      <w:hyperlink w:anchor="TOC" w:history="1">
        <w:r>
          <w:rPr>
            <w:rStyle w:val="a4"/>
            <w:sz w:val="20"/>
            <w:szCs w:val="20"/>
          </w:rPr>
          <w:t>Table of Contents</w:t>
        </w:r>
      </w:hyperlink>
    </w:p>
    <w:p w:rsidR="00000000" w:rsidRDefault="00FF2C06">
      <w:pPr>
        <w:pStyle w:val="a3"/>
        <w:spacing w:before="0" w:beforeAutospacing="0" w:after="200" w:afterAutospacing="0"/>
        <w:divId w:val="713696349"/>
        <w:rPr>
          <w:sz w:val="20"/>
          <w:szCs w:val="20"/>
        </w:rPr>
      </w:pPr>
      <w:r>
        <w:rPr>
          <w:sz w:val="20"/>
          <w:szCs w:val="20"/>
        </w:rPr>
        <w:t xml:space="preserve">established or lower cost therapeutic alternatives are already available or subsequently become available. If reimbursement is not available, or is available only to limited levels, our product candidates may be competitively disadvantaged, and we, or our </w:t>
      </w:r>
      <w:r>
        <w:rPr>
          <w:sz w:val="20"/>
          <w:szCs w:val="20"/>
        </w:rPr>
        <w:t>collaborators, may not be able to successfully commercialize our product candidates. Even if coverage is provided, the approved reimbursement amount may not be high enough to allow us, or our collaborators, to establish or maintain a market share sufficien</w:t>
      </w:r>
      <w:r>
        <w:rPr>
          <w:sz w:val="20"/>
          <w:szCs w:val="20"/>
        </w:rPr>
        <w:t>t to realize a sufficient return on our or their investments. Alternatively, securing favorable reimbursement terms may require us to compromise pricing and prevent us from realizing an adequate margin over cost. Reimbursement by a third-party payor may de</w:t>
      </w:r>
      <w:r>
        <w:rPr>
          <w:sz w:val="20"/>
          <w:szCs w:val="20"/>
        </w:rPr>
        <w:t>pend upon a number of factors, including, but not limited to, the third-party payor’s determination that use of a product is:</w:t>
      </w:r>
    </w:p>
    <w:p w:rsidR="00000000" w:rsidRDefault="00FF2C06">
      <w:pPr>
        <w:ind w:left="547" w:hanging="360"/>
        <w:divId w:val="598490949"/>
        <w:rPr>
          <w:rFonts w:eastAsia="Times New Roman"/>
          <w:sz w:val="20"/>
          <w:szCs w:val="20"/>
        </w:rPr>
      </w:pPr>
      <w:r>
        <w:rPr>
          <w:rFonts w:eastAsia="Times New Roman"/>
          <w:sz w:val="20"/>
          <w:szCs w:val="20"/>
        </w:rPr>
        <w:t>●</w:t>
      </w:r>
      <w:r>
        <w:rPr>
          <w:rFonts w:eastAsia="Times New Roman"/>
          <w:sz w:val="20"/>
          <w:szCs w:val="20"/>
        </w:rPr>
        <w:t>a covered benefit under its health plan;</w:t>
      </w:r>
    </w:p>
    <w:p w:rsidR="00000000" w:rsidRDefault="00FF2C06">
      <w:pPr>
        <w:ind w:left="547" w:hanging="360"/>
        <w:divId w:val="1357460898"/>
        <w:rPr>
          <w:rFonts w:eastAsia="Times New Roman"/>
          <w:sz w:val="20"/>
          <w:szCs w:val="20"/>
        </w:rPr>
      </w:pPr>
      <w:r>
        <w:rPr>
          <w:rFonts w:eastAsia="Times New Roman"/>
          <w:sz w:val="20"/>
          <w:szCs w:val="20"/>
        </w:rPr>
        <w:t>●</w:t>
      </w:r>
      <w:r>
        <w:rPr>
          <w:rFonts w:eastAsia="Times New Roman"/>
          <w:sz w:val="20"/>
          <w:szCs w:val="20"/>
        </w:rPr>
        <w:t>safe, effective and medically necessary;</w:t>
      </w:r>
    </w:p>
    <w:p w:rsidR="00000000" w:rsidRDefault="00FF2C06">
      <w:pPr>
        <w:ind w:left="547" w:hanging="360"/>
        <w:divId w:val="391126808"/>
        <w:rPr>
          <w:rFonts w:eastAsia="Times New Roman"/>
          <w:sz w:val="20"/>
          <w:szCs w:val="20"/>
        </w:rPr>
      </w:pPr>
      <w:r>
        <w:rPr>
          <w:rFonts w:eastAsia="Times New Roman"/>
          <w:sz w:val="20"/>
          <w:szCs w:val="20"/>
        </w:rPr>
        <w:t>●</w:t>
      </w:r>
      <w:r>
        <w:rPr>
          <w:rFonts w:eastAsia="Times New Roman"/>
          <w:sz w:val="20"/>
          <w:szCs w:val="20"/>
        </w:rPr>
        <w:t>appropriate for the specific patient;</w:t>
      </w:r>
    </w:p>
    <w:p w:rsidR="00000000" w:rsidRDefault="00FF2C06">
      <w:pPr>
        <w:ind w:left="547" w:hanging="360"/>
        <w:divId w:val="2016565801"/>
        <w:rPr>
          <w:rFonts w:eastAsia="Times New Roman"/>
          <w:sz w:val="20"/>
          <w:szCs w:val="20"/>
        </w:rPr>
      </w:pPr>
      <w:r>
        <w:rPr>
          <w:rFonts w:eastAsia="Times New Roman"/>
          <w:sz w:val="20"/>
          <w:szCs w:val="20"/>
        </w:rPr>
        <w:t>●</w:t>
      </w:r>
      <w:r>
        <w:rPr>
          <w:rFonts w:eastAsia="Times New Roman"/>
          <w:sz w:val="20"/>
          <w:szCs w:val="20"/>
        </w:rPr>
        <w:t>cost-e</w:t>
      </w:r>
      <w:r>
        <w:rPr>
          <w:rFonts w:eastAsia="Times New Roman"/>
          <w:sz w:val="20"/>
          <w:szCs w:val="20"/>
        </w:rPr>
        <w:t>ffective; and</w:t>
      </w:r>
    </w:p>
    <w:p w:rsidR="00000000" w:rsidRDefault="00FF2C06">
      <w:pPr>
        <w:ind w:left="547" w:hanging="360"/>
        <w:divId w:val="1852061981"/>
        <w:rPr>
          <w:rFonts w:eastAsia="Times New Roman"/>
          <w:sz w:val="20"/>
          <w:szCs w:val="20"/>
        </w:rPr>
      </w:pPr>
      <w:r>
        <w:rPr>
          <w:rFonts w:eastAsia="Times New Roman"/>
          <w:sz w:val="20"/>
          <w:szCs w:val="20"/>
        </w:rPr>
        <w:t>●</w:t>
      </w:r>
      <w:r>
        <w:rPr>
          <w:rFonts w:eastAsia="Times New Roman"/>
          <w:sz w:val="20"/>
          <w:szCs w:val="20"/>
        </w:rPr>
        <w:t>neither experimental nor investigational.</w:t>
      </w:r>
    </w:p>
    <w:p w:rsidR="00000000" w:rsidRDefault="00FF2C06">
      <w:pPr>
        <w:pStyle w:val="a3"/>
        <w:spacing w:before="0" w:beforeAutospacing="0" w:after="200" w:afterAutospacing="0"/>
        <w:ind w:firstLine="547"/>
        <w:divId w:val="713696349"/>
        <w:rPr>
          <w:sz w:val="20"/>
          <w:szCs w:val="20"/>
        </w:rPr>
      </w:pPr>
      <w:r>
        <w:rPr>
          <w:sz w:val="20"/>
          <w:szCs w:val="20"/>
        </w:rPr>
        <w:t>Obtaining coverage and reimbursement approval of a product from a government or other third-party payor is a time-consuming and costly process that could require us to provide to the payor supporting</w:t>
      </w:r>
      <w:r>
        <w:rPr>
          <w:sz w:val="20"/>
          <w:szCs w:val="20"/>
        </w:rPr>
        <w:t xml:space="preserve"> scientific, clinical and cost-effectiveness data for the use of our products. Even if we obtain coverage for a given product, the resulting reimbursement payment rates might not be adequate for us to achieve or sustain profitability or may require co-paym</w:t>
      </w:r>
      <w:r>
        <w:rPr>
          <w:sz w:val="20"/>
          <w:szCs w:val="20"/>
        </w:rPr>
        <w:t>ents that patients find unacceptably high. Moreover, the factors noted above have continued to be the focus of policy and regulatory debate that has, thus far, shown the potential for movement towards permanent policy changes; this trend is apt to continue</w:t>
      </w:r>
      <w:r>
        <w:rPr>
          <w:sz w:val="20"/>
          <w:szCs w:val="20"/>
        </w:rPr>
        <w:t>, and may result in more or less favorable impacts on pricing. Patients are unlikely to use our product candidates unless coverage is provided, and reimbursement is adequate to cover a significant portion of the cost of our product candidates.</w:t>
      </w:r>
    </w:p>
    <w:p w:rsidR="00000000" w:rsidRDefault="00FF2C06">
      <w:pPr>
        <w:pStyle w:val="a3"/>
        <w:spacing w:before="0" w:beforeAutospacing="0" w:after="200" w:afterAutospacing="0"/>
        <w:ind w:firstLine="547"/>
        <w:divId w:val="713696349"/>
        <w:rPr>
          <w:sz w:val="20"/>
          <w:szCs w:val="20"/>
        </w:rPr>
      </w:pPr>
      <w:r>
        <w:rPr>
          <w:sz w:val="20"/>
          <w:szCs w:val="20"/>
        </w:rPr>
        <w:t>In the Unite</w:t>
      </w:r>
      <w:r>
        <w:rPr>
          <w:sz w:val="20"/>
          <w:szCs w:val="20"/>
        </w:rPr>
        <w:t>d States, no uniform policy of coverage and reimbursement for products exists among third-party payors. Therefore, coverage and reimbursement for products can differ significantly from payor to payor. As a result, the coverage determination process is ofte</w:t>
      </w:r>
      <w:r>
        <w:rPr>
          <w:sz w:val="20"/>
          <w:szCs w:val="20"/>
        </w:rPr>
        <w:t>n a time-consuming and costly process that will require us to provide scientific and clinical support for the use of our product candidates to each payor separately, with no assurance that coverage and adequate reimbursement will be obtained.</w:t>
      </w:r>
    </w:p>
    <w:p w:rsidR="00000000" w:rsidRDefault="00FF2C06">
      <w:pPr>
        <w:pStyle w:val="a3"/>
        <w:spacing w:before="0" w:beforeAutospacing="0" w:after="200" w:afterAutospacing="0"/>
        <w:ind w:firstLine="547"/>
        <w:divId w:val="713696349"/>
        <w:rPr>
          <w:sz w:val="20"/>
          <w:szCs w:val="20"/>
        </w:rPr>
      </w:pPr>
      <w:r>
        <w:rPr>
          <w:sz w:val="20"/>
          <w:szCs w:val="20"/>
        </w:rPr>
        <w:t>Prices paid f</w:t>
      </w:r>
      <w:r>
        <w:rPr>
          <w:sz w:val="20"/>
          <w:szCs w:val="20"/>
        </w:rPr>
        <w:t>or a drug also vary depending on the class of trade. Prices charged to government customers are subject to price controls, including ceilings, and private institutions obtain discounts through group purchasing organizations. Net prices for drugs may be fur</w:t>
      </w:r>
      <w:r>
        <w:rPr>
          <w:sz w:val="20"/>
          <w:szCs w:val="20"/>
        </w:rPr>
        <w:t xml:space="preserve">ther reduced by mandatory discounts or rebates required by government healthcare programs and demanded by private payors. It is also not uncommon for market conditions to warrant multiple discounts to different customers on the same unit, such as purchase </w:t>
      </w:r>
      <w:r>
        <w:rPr>
          <w:sz w:val="20"/>
          <w:szCs w:val="20"/>
        </w:rPr>
        <w:t>discounts to institutional care providers and rebates to the health plans that pay them, which reduces the net realization on the original sale.</w:t>
      </w:r>
    </w:p>
    <w:p w:rsidR="00000000" w:rsidRDefault="00FF2C06">
      <w:pPr>
        <w:pStyle w:val="a3"/>
        <w:spacing w:before="0" w:beforeAutospacing="0" w:after="200" w:afterAutospacing="0"/>
        <w:ind w:firstLine="547"/>
        <w:divId w:val="713696349"/>
        <w:rPr>
          <w:sz w:val="20"/>
          <w:szCs w:val="20"/>
        </w:rPr>
      </w:pPr>
      <w:r>
        <w:rPr>
          <w:sz w:val="20"/>
          <w:szCs w:val="20"/>
        </w:rPr>
        <w:t>In addition, federal programs impose penalties on manufacturers of drugs marketed under an NDA or BLA, in the f</w:t>
      </w:r>
      <w:r>
        <w:rPr>
          <w:sz w:val="20"/>
          <w:szCs w:val="20"/>
        </w:rPr>
        <w:t>orm of mandatory additional rebates and/or discounts if commercial prices increase at a rate greater than the Consumer Price Index-Urban, and these rebates and/or discounts, which can be substantial, may impact our ability to raise commercial prices. Regul</w:t>
      </w:r>
      <w:r>
        <w:rPr>
          <w:sz w:val="20"/>
          <w:szCs w:val="20"/>
        </w:rPr>
        <w:t>atory authorities and third-party payors have attempted to control costs by limiting coverage and the amount of reimbursement for particular medications, which could affect our ability or that of our collaborators to sell our product candidates profitably.</w:t>
      </w:r>
      <w:r>
        <w:rPr>
          <w:sz w:val="20"/>
          <w:szCs w:val="20"/>
        </w:rPr>
        <w:t xml:space="preserve"> These payors may not view our products, if any, as cost-effective, and coverage and reimbursement may not be available to our customers, or those of our collaborators, or may not be sufficient to allow our products, if any, to be marketed on a competitive</w:t>
      </w:r>
      <w:r>
        <w:rPr>
          <w:sz w:val="20"/>
          <w:szCs w:val="20"/>
        </w:rPr>
        <w:t xml:space="preserve"> basis. Cost control initiatives could cause us, or our collaborators, to decrease, discount, or rebate a portion of the price we, or they, might establish for products, which could result in lower than anticipated product revenues. If the realized prices </w:t>
      </w:r>
      <w:r>
        <w:rPr>
          <w:sz w:val="20"/>
          <w:szCs w:val="20"/>
        </w:rPr>
        <w:t>for our products, if any, decrease or if governmental and other third-party payors do not provide adequate coverage or reimbursement, our prospects for revenue and profitability will suffer. Moreover, the recent and ongoing series of congressional hearings</w:t>
      </w:r>
      <w:r>
        <w:rPr>
          <w:sz w:val="20"/>
          <w:szCs w:val="20"/>
        </w:rPr>
        <w:t xml:space="preserve"> relating to drug pricing has presented heightened attention to the biopharmaceutical industry, creating the potential for political and public pressure, while the potential for resulting legislative or policy changes presents uncertainty.</w:t>
      </w:r>
    </w:p>
    <w:p w:rsidR="00000000" w:rsidRDefault="00FF2C06">
      <w:pPr>
        <w:pStyle w:val="a3"/>
        <w:spacing w:before="0" w:beforeAutospacing="0" w:after="0" w:afterAutospacing="0"/>
        <w:ind w:firstLine="547"/>
        <w:divId w:val="713696349"/>
        <w:rPr>
          <w:sz w:val="20"/>
          <w:szCs w:val="20"/>
        </w:rPr>
      </w:pPr>
      <w:r>
        <w:rPr>
          <w:sz w:val="20"/>
          <w:szCs w:val="20"/>
        </w:rPr>
        <w:t>Assuming coverag</w:t>
      </w:r>
      <w:r>
        <w:rPr>
          <w:sz w:val="20"/>
          <w:szCs w:val="20"/>
        </w:rPr>
        <w:t xml:space="preserve">e is approved, the resulting reimbursement payment rates might not be adequate. If payors subject our product candidates to maximum payment amounts or impose limitations that make it difficult to obtain reimbursement, providers may choose to use therapies </w:t>
      </w:r>
      <w:r>
        <w:rPr>
          <w:sz w:val="20"/>
          <w:szCs w:val="20"/>
        </w:rPr>
        <w:t>which are less expensive when compared to our product candidates. Additionally, if payors require high copayments, beneficiaries may decline prescriptions and seek alternative therapies. We may need to conduct post-marketing studies in order to demonstrate</w:t>
      </w:r>
      <w:r>
        <w:rPr>
          <w:sz w:val="20"/>
          <w:szCs w:val="20"/>
        </w:rPr>
        <w:t xml:space="preserve"> the cost-effectiveness of any future products to the satisfaction of hospitals and other target customers and their third-party payors. Such studies might require us to commit a significant amount of management time and financial and other resources. Our </w:t>
      </w:r>
      <w:r>
        <w:rPr>
          <w:sz w:val="20"/>
          <w:szCs w:val="20"/>
        </w:rPr>
        <w:t xml:space="preserve">future products might not ultimately be considered cost-effective. Adequate third-party coverage and reimbursement </w:t>
      </w:r>
    </w:p>
    <w:p w:rsidR="00000000" w:rsidRDefault="00FF2C06">
      <w:pPr>
        <w:pStyle w:val="a3"/>
        <w:spacing w:before="480" w:beforeAutospacing="0" w:after="0" w:afterAutospacing="0"/>
        <w:jc w:val="center"/>
        <w:divId w:val="505947659"/>
        <w:rPr>
          <w:sz w:val="20"/>
          <w:szCs w:val="20"/>
        </w:rPr>
      </w:pPr>
      <w:r>
        <w:rPr>
          <w:sz w:val="20"/>
          <w:szCs w:val="20"/>
        </w:rPr>
        <w:t>70</w:t>
      </w:r>
    </w:p>
    <w:p w:rsidR="00000000" w:rsidRDefault="00FF2C06">
      <w:pPr>
        <w:pStyle w:val="a3"/>
        <w:spacing w:before="0" w:beforeAutospacing="0" w:after="600" w:afterAutospacing="0"/>
        <w:divId w:val="754470581"/>
        <w:rPr>
          <w:sz w:val="20"/>
          <w:szCs w:val="20"/>
        </w:rPr>
      </w:pPr>
      <w:hyperlink w:anchor="TOC" w:history="1">
        <w:r>
          <w:rPr>
            <w:rStyle w:val="a4"/>
            <w:sz w:val="20"/>
            <w:szCs w:val="20"/>
          </w:rPr>
          <w:t>Table of Contents</w:t>
        </w:r>
      </w:hyperlink>
    </w:p>
    <w:p w:rsidR="00000000" w:rsidRDefault="00FF2C06">
      <w:pPr>
        <w:pStyle w:val="a3"/>
        <w:spacing w:before="0" w:beforeAutospacing="0" w:after="200" w:afterAutospacing="0"/>
        <w:divId w:val="60763052"/>
        <w:rPr>
          <w:sz w:val="20"/>
          <w:szCs w:val="20"/>
        </w:rPr>
      </w:pPr>
      <w:r>
        <w:rPr>
          <w:sz w:val="20"/>
          <w:szCs w:val="20"/>
        </w:rPr>
        <w:t>might not be available to enable us to maintain price levels sufficient to realize an appropr</w:t>
      </w:r>
      <w:r>
        <w:rPr>
          <w:sz w:val="20"/>
          <w:szCs w:val="20"/>
        </w:rPr>
        <w:t>iate return on investment in product development.</w:t>
      </w:r>
    </w:p>
    <w:p w:rsidR="00000000" w:rsidRDefault="00FF2C06">
      <w:pPr>
        <w:pStyle w:val="a3"/>
        <w:spacing w:before="0" w:beforeAutospacing="0" w:after="200" w:afterAutospacing="0"/>
        <w:ind w:firstLine="547"/>
        <w:divId w:val="60763052"/>
        <w:rPr>
          <w:sz w:val="20"/>
          <w:szCs w:val="20"/>
        </w:rPr>
      </w:pPr>
      <w:r>
        <w:rPr>
          <w:sz w:val="20"/>
          <w:szCs w:val="20"/>
        </w:rPr>
        <w:t>Third-party payors, whether domestic or foreign, or governmental or commercial, are developing increasingly sophisticated methods of controlling healthcare costs. In addition, third-party payors are requiri</w:t>
      </w:r>
      <w:r>
        <w:rPr>
          <w:sz w:val="20"/>
          <w:szCs w:val="20"/>
        </w:rPr>
        <w:t>ng higher levels of evidence of the benefits and clinical outcomes of new technologies and are challenging the prices charged. We, and our collaborators, cannot be sure that coverage will be available for any product candidate that we, or they, commerciali</w:t>
      </w:r>
      <w:r>
        <w:rPr>
          <w:sz w:val="20"/>
          <w:szCs w:val="20"/>
        </w:rPr>
        <w:t>ze and, if available, that the reimbursement rates will be adequate. Further, the net reimbursement for drug products may be subject to additional reductions if there are changes to laws that presently restrict imports of drugs from countries where they ma</w:t>
      </w:r>
      <w:r>
        <w:rPr>
          <w:sz w:val="20"/>
          <w:szCs w:val="20"/>
        </w:rPr>
        <w:t>y be sold at lower prices than in the United States. An inability to promptly obtain coverage and adequate payment rates from both government-funded and private payors for any our product candidates for which we obtain marketing approval could have a mater</w:t>
      </w:r>
      <w:r>
        <w:rPr>
          <w:sz w:val="20"/>
          <w:szCs w:val="20"/>
        </w:rPr>
        <w:t>ial adverse effect on our operating results, our ability to raise capital needed to commercialize products, and our overall financial condition.</w:t>
      </w:r>
    </w:p>
    <w:p w:rsidR="00000000" w:rsidRDefault="00FF2C06">
      <w:pPr>
        <w:pStyle w:val="a3"/>
        <w:spacing w:before="0" w:beforeAutospacing="0" w:after="200" w:afterAutospacing="0"/>
        <w:ind w:firstLine="547"/>
        <w:divId w:val="60763052"/>
        <w:rPr>
          <w:sz w:val="20"/>
          <w:szCs w:val="20"/>
        </w:rPr>
      </w:pPr>
      <w:r>
        <w:rPr>
          <w:sz w:val="20"/>
          <w:szCs w:val="20"/>
        </w:rPr>
        <w:t xml:space="preserve">There have been, and likely will continue to be, legislative and regulatory proposals at the federal and state </w:t>
      </w:r>
      <w:r>
        <w:rPr>
          <w:sz w:val="20"/>
          <w:szCs w:val="20"/>
        </w:rPr>
        <w:t>levels directed at broadening the availability of healthcare and containing or lowering the cost of healthcare. We cannot predict the initiatives that may be adopted in the future. The continuing efforts of the government, insurance companies, managed care</w:t>
      </w:r>
      <w:r>
        <w:rPr>
          <w:sz w:val="20"/>
          <w:szCs w:val="20"/>
        </w:rPr>
        <w:t xml:space="preserve"> organizations and other payors of healthcare services to contain or reduce costs of healthcare and/or impose price controls may adversely affect:</w:t>
      </w:r>
    </w:p>
    <w:p w:rsidR="00000000" w:rsidRDefault="00FF2C06">
      <w:pPr>
        <w:ind w:left="547" w:hanging="360"/>
        <w:divId w:val="308486603"/>
        <w:rPr>
          <w:rFonts w:eastAsia="Times New Roman"/>
          <w:sz w:val="20"/>
          <w:szCs w:val="20"/>
        </w:rPr>
      </w:pPr>
      <w:r>
        <w:rPr>
          <w:rFonts w:eastAsia="Times New Roman"/>
          <w:sz w:val="20"/>
          <w:szCs w:val="20"/>
        </w:rPr>
        <w:t>●</w:t>
      </w:r>
      <w:r>
        <w:rPr>
          <w:rFonts w:eastAsia="Times New Roman"/>
          <w:sz w:val="20"/>
          <w:szCs w:val="20"/>
        </w:rPr>
        <w:t>the demand for our product candidates if we obtain regulatory approval;</w:t>
      </w:r>
    </w:p>
    <w:p w:rsidR="00000000" w:rsidRDefault="00FF2C06">
      <w:pPr>
        <w:ind w:left="547" w:hanging="360"/>
        <w:divId w:val="121729566"/>
        <w:rPr>
          <w:rFonts w:eastAsia="Times New Roman"/>
          <w:sz w:val="20"/>
          <w:szCs w:val="20"/>
        </w:rPr>
      </w:pPr>
      <w:r>
        <w:rPr>
          <w:rFonts w:eastAsia="Times New Roman"/>
          <w:sz w:val="20"/>
          <w:szCs w:val="20"/>
        </w:rPr>
        <w:t>●</w:t>
      </w:r>
      <w:r>
        <w:rPr>
          <w:rFonts w:eastAsia="Times New Roman"/>
          <w:sz w:val="20"/>
          <w:szCs w:val="20"/>
        </w:rPr>
        <w:t xml:space="preserve">our ability to set a price that we </w:t>
      </w:r>
      <w:r>
        <w:rPr>
          <w:rFonts w:eastAsia="Times New Roman"/>
          <w:sz w:val="20"/>
          <w:szCs w:val="20"/>
        </w:rPr>
        <w:t>believe is fair for our products;</w:t>
      </w:r>
    </w:p>
    <w:p w:rsidR="00000000" w:rsidRDefault="00FF2C06">
      <w:pPr>
        <w:ind w:left="547" w:hanging="360"/>
        <w:divId w:val="360202723"/>
        <w:rPr>
          <w:rFonts w:eastAsia="Times New Roman"/>
          <w:sz w:val="20"/>
          <w:szCs w:val="20"/>
        </w:rPr>
      </w:pPr>
      <w:r>
        <w:rPr>
          <w:rFonts w:eastAsia="Times New Roman"/>
          <w:sz w:val="20"/>
          <w:szCs w:val="20"/>
        </w:rPr>
        <w:t>●</w:t>
      </w:r>
      <w:r>
        <w:rPr>
          <w:rFonts w:eastAsia="Times New Roman"/>
          <w:sz w:val="20"/>
          <w:szCs w:val="20"/>
        </w:rPr>
        <w:t>our ability to generate revenue and achieve or maintain profitability;</w:t>
      </w:r>
    </w:p>
    <w:p w:rsidR="00000000" w:rsidRDefault="00FF2C06">
      <w:pPr>
        <w:ind w:left="547" w:hanging="360"/>
        <w:divId w:val="895162136"/>
        <w:rPr>
          <w:rFonts w:eastAsia="Times New Roman"/>
          <w:sz w:val="20"/>
          <w:szCs w:val="20"/>
        </w:rPr>
      </w:pPr>
      <w:r>
        <w:rPr>
          <w:rFonts w:eastAsia="Times New Roman"/>
          <w:sz w:val="20"/>
          <w:szCs w:val="20"/>
        </w:rPr>
        <w:t>●</w:t>
      </w:r>
      <w:r>
        <w:rPr>
          <w:rFonts w:eastAsia="Times New Roman"/>
          <w:sz w:val="20"/>
          <w:szCs w:val="20"/>
        </w:rPr>
        <w:t>the level of taxes that we are required to pay; and</w:t>
      </w:r>
    </w:p>
    <w:p w:rsidR="00000000" w:rsidRDefault="00FF2C06">
      <w:pPr>
        <w:ind w:left="547" w:hanging="360"/>
        <w:divId w:val="349572287"/>
        <w:rPr>
          <w:rFonts w:eastAsia="Times New Roman"/>
          <w:sz w:val="20"/>
          <w:szCs w:val="20"/>
        </w:rPr>
      </w:pPr>
      <w:r>
        <w:rPr>
          <w:rFonts w:eastAsia="Times New Roman"/>
          <w:sz w:val="20"/>
          <w:szCs w:val="20"/>
        </w:rPr>
        <w:t>●</w:t>
      </w:r>
      <w:r>
        <w:rPr>
          <w:rFonts w:eastAsia="Times New Roman"/>
          <w:sz w:val="20"/>
          <w:szCs w:val="20"/>
        </w:rPr>
        <w:t>the availability of capital.</w:t>
      </w:r>
    </w:p>
    <w:p w:rsidR="00000000" w:rsidRDefault="00FF2C06">
      <w:pPr>
        <w:pStyle w:val="a3"/>
        <w:spacing w:before="0" w:beforeAutospacing="0" w:after="200" w:afterAutospacing="0"/>
        <w:ind w:firstLine="547"/>
        <w:divId w:val="60763052"/>
        <w:rPr>
          <w:sz w:val="20"/>
          <w:szCs w:val="20"/>
        </w:rPr>
      </w:pPr>
      <w:r>
        <w:rPr>
          <w:sz w:val="20"/>
          <w:szCs w:val="20"/>
        </w:rPr>
        <w:t xml:space="preserve">Any reduction in reimbursement from Medicare or other government programs may result in a similar reduction in payments from private payors, which may adversely affect our future profitability. A particular challenge for our product candidates arises from </w:t>
      </w:r>
      <w:r>
        <w:rPr>
          <w:sz w:val="20"/>
          <w:szCs w:val="20"/>
        </w:rPr>
        <w:t xml:space="preserve">the fact that they will primarily be used in an inpatient setting. Inpatient reimbursement generally relies on stringent packaging rules that may mean that there is no separate payment for our product candidates. Additionally, data used to set the payment </w:t>
      </w:r>
      <w:r>
        <w:rPr>
          <w:sz w:val="20"/>
          <w:szCs w:val="20"/>
        </w:rPr>
        <w:t>rates for inpatient admissions is usually several years old and would not take into account all of the additional therapy costs associated with the administration of our product candidates. If special rules are not created for reimbursement for immunothera</w:t>
      </w:r>
      <w:r>
        <w:rPr>
          <w:sz w:val="20"/>
          <w:szCs w:val="20"/>
        </w:rPr>
        <w:t>py treatments such as our product candidates, hospitals might not receive enough reimbursement to cover their costs of treatment, which will have a negative effect on their adoption of our product candidates.</w:t>
      </w:r>
    </w:p>
    <w:p w:rsidR="00000000" w:rsidRDefault="00FF2C06">
      <w:pPr>
        <w:pStyle w:val="a3"/>
        <w:spacing w:before="0" w:beforeAutospacing="0" w:after="200" w:afterAutospacing="0"/>
        <w:ind w:firstLine="540"/>
        <w:divId w:val="60763052"/>
        <w:rPr>
          <w:sz w:val="20"/>
          <w:szCs w:val="20"/>
        </w:rPr>
      </w:pPr>
      <w:r>
        <w:rPr>
          <w:b/>
          <w:bCs/>
          <w:i/>
          <w:iCs/>
          <w:sz w:val="20"/>
          <w:szCs w:val="20"/>
        </w:rPr>
        <w:t>We are subject to new legislation, regulatory p</w:t>
      </w:r>
      <w:r>
        <w:rPr>
          <w:b/>
          <w:bCs/>
          <w:i/>
          <w:iCs/>
          <w:sz w:val="20"/>
          <w:szCs w:val="20"/>
        </w:rPr>
        <w:t>roposals, and healthcare payor initiatives that may increase our costs of compliance, and adversely affect our ability to market our products, obtain collaborators, and raise capital.</w:t>
      </w:r>
    </w:p>
    <w:p w:rsidR="00000000" w:rsidRDefault="00FF2C06">
      <w:pPr>
        <w:pStyle w:val="a3"/>
        <w:spacing w:before="0" w:beforeAutospacing="0" w:after="200" w:afterAutospacing="0"/>
        <w:ind w:firstLine="540"/>
        <w:divId w:val="60763052"/>
        <w:rPr>
          <w:sz w:val="20"/>
          <w:szCs w:val="20"/>
        </w:rPr>
      </w:pPr>
      <w:r>
        <w:rPr>
          <w:sz w:val="20"/>
          <w:szCs w:val="20"/>
        </w:rPr>
        <w:t>In the United States and some foreign jurisdictions, there have been a n</w:t>
      </w:r>
      <w:r>
        <w:rPr>
          <w:sz w:val="20"/>
          <w:szCs w:val="20"/>
        </w:rPr>
        <w:t>umber of legislative and regulatory changes and proposed changes regarding the healthcare system that could prevent or delay marketing approval of our product candidates, restrict or regulate post-approval activities, and affect our ability, or the ability</w:t>
      </w:r>
      <w:r>
        <w:rPr>
          <w:sz w:val="20"/>
          <w:szCs w:val="20"/>
        </w:rPr>
        <w:t xml:space="preserve"> of our collaborators, to profitably sell any products for which we obtain marketing approval. We expect that current laws, as well as other healthcare reform measures that may be adopted in the future, may result in more rigorous coverage criteria and in </w:t>
      </w:r>
      <w:r>
        <w:rPr>
          <w:sz w:val="20"/>
          <w:szCs w:val="20"/>
        </w:rPr>
        <w:t>additional downward pressure on the price that we, or our collaborators, may receive for any approved products.</w:t>
      </w:r>
    </w:p>
    <w:p w:rsidR="00000000" w:rsidRDefault="00FF2C06">
      <w:pPr>
        <w:pStyle w:val="a3"/>
        <w:spacing w:before="0" w:beforeAutospacing="0" w:after="0" w:afterAutospacing="0"/>
        <w:ind w:firstLine="540"/>
        <w:divId w:val="60763052"/>
        <w:rPr>
          <w:sz w:val="20"/>
          <w:szCs w:val="20"/>
        </w:rPr>
      </w:pPr>
      <w:r>
        <w:rPr>
          <w:sz w:val="20"/>
          <w:szCs w:val="20"/>
        </w:rPr>
        <w:t>Since enactment of the ACA in 2010, in both the United States and certain foreign jurisdictions, there have been a number of legislative and reg</w:t>
      </w:r>
      <w:r>
        <w:rPr>
          <w:sz w:val="20"/>
          <w:szCs w:val="20"/>
        </w:rPr>
        <w:t>ulatory changes to the health care system that could impact our ability to sell our products profitably. In August 2011, the Budget Control Act of 2011, among other things, created measures for spending reductions by Congress. A Joint Select Committee on D</w:t>
      </w:r>
      <w:r>
        <w:rPr>
          <w:sz w:val="20"/>
          <w:szCs w:val="20"/>
        </w:rPr>
        <w:t xml:space="preserve">eficit Reduction, tasked with recommending a targeted deficit reduction of at least $1.2 trillion for the years 2013 through 2021, was unable to reach required goals, thereby triggering the legislation’s automatic reduction to several government programs. </w:t>
      </w:r>
      <w:r>
        <w:rPr>
          <w:sz w:val="20"/>
          <w:szCs w:val="20"/>
        </w:rPr>
        <w:t>This includes aggregate reductions of Medicare payments to providers up to 2% per fiscal year, which went into effect on April 1, 2013 and were to remain in effect until 2024. The Bipartisan Budget Act of 2015 extended the 2% sequestration to 2025. In Janu</w:t>
      </w:r>
      <w:r>
        <w:rPr>
          <w:sz w:val="20"/>
          <w:szCs w:val="20"/>
        </w:rPr>
        <w:t xml:space="preserve">ary 2013, the American Taxpayer Relief Act of 2012, or ATRA, was approved which, among other things, reduced Medicare payments to several providers, with primary focus on the hospital outpatient setting and ancillary services, including hospitals, imaging </w:t>
      </w:r>
      <w:r>
        <w:rPr>
          <w:sz w:val="20"/>
          <w:szCs w:val="20"/>
        </w:rPr>
        <w:t xml:space="preserve">centers and cancer treatment centers, and increased the statute of limitations period for the government to recover overpayments to providers from three to five years. On January 20, 2017, the new administration signed an Executive Order directing federal </w:t>
      </w:r>
      <w:r>
        <w:rPr>
          <w:sz w:val="20"/>
          <w:szCs w:val="20"/>
        </w:rPr>
        <w:t xml:space="preserve">agencies with authorities and responsibilities under the ACA to waive, defer, grant exemptions from, or delay the implementation of any provision of the ACA that would impose a fiscal or regulatory burden on states, individuals, healthcare </w:t>
      </w:r>
    </w:p>
    <w:p w:rsidR="00000000" w:rsidRDefault="00FF2C06">
      <w:pPr>
        <w:pStyle w:val="a3"/>
        <w:spacing w:before="480" w:beforeAutospacing="0" w:after="0" w:afterAutospacing="0"/>
        <w:jc w:val="center"/>
        <w:divId w:val="1772823815"/>
        <w:rPr>
          <w:sz w:val="20"/>
          <w:szCs w:val="20"/>
        </w:rPr>
      </w:pPr>
      <w:r>
        <w:rPr>
          <w:sz w:val="20"/>
          <w:szCs w:val="20"/>
        </w:rPr>
        <w:t>71</w:t>
      </w:r>
    </w:p>
    <w:p w:rsidR="00000000" w:rsidRDefault="00FF2C06">
      <w:pPr>
        <w:pStyle w:val="a3"/>
        <w:spacing w:before="0" w:beforeAutospacing="0" w:after="600" w:afterAutospacing="0"/>
        <w:divId w:val="1582330102"/>
        <w:rPr>
          <w:sz w:val="20"/>
          <w:szCs w:val="20"/>
        </w:rPr>
      </w:pPr>
      <w:hyperlink w:anchor="TOC" w:history="1">
        <w:r>
          <w:rPr>
            <w:rStyle w:val="a4"/>
            <w:sz w:val="20"/>
            <w:szCs w:val="20"/>
          </w:rPr>
          <w:t>Table of Contents</w:t>
        </w:r>
      </w:hyperlink>
    </w:p>
    <w:p w:rsidR="00000000" w:rsidRDefault="00FF2C06">
      <w:pPr>
        <w:pStyle w:val="a3"/>
        <w:spacing w:before="0" w:beforeAutospacing="0" w:after="200" w:afterAutospacing="0"/>
        <w:divId w:val="776021120"/>
        <w:rPr>
          <w:sz w:val="20"/>
          <w:szCs w:val="20"/>
        </w:rPr>
      </w:pPr>
      <w:r>
        <w:rPr>
          <w:sz w:val="20"/>
          <w:szCs w:val="20"/>
        </w:rPr>
        <w:t xml:space="preserve">providers, health insurers, or manufacturers of pharmaceuticals or medical devices, and, for that reason, some final regulations have yet to take effect. In December 2017, Congress repealed the individual mandate for health </w:t>
      </w:r>
      <w:r>
        <w:rPr>
          <w:sz w:val="20"/>
          <w:szCs w:val="20"/>
        </w:rPr>
        <w:t>insurance required by the ACA and could consider further legislation to repeal other elements of the ACA. At the end of 2017, CMS promulgated regulations that reduce the amount paid to hospitals for outpatient drugs purchased under the 340B program, and so</w:t>
      </w:r>
      <w:r>
        <w:rPr>
          <w:sz w:val="20"/>
          <w:szCs w:val="20"/>
        </w:rPr>
        <w:t>me states have enacted transparency laws requiring manufacturers to report information on drug prices and price increases. On December 14, 2018, the United States District Court for the Northern District of Texas struck down the ACA, deeming it unconstitut</w:t>
      </w:r>
      <w:r>
        <w:rPr>
          <w:sz w:val="20"/>
          <w:szCs w:val="20"/>
        </w:rPr>
        <w:t>ional given that Congress repealed the individual mandate in 2017; on July 9, 2019, the U.S. Court of Appeals for the Fifth Circuit heard arguments on appeal in this matter. On December 18, 2019, the Fifth Circuit ruled that the ACA's individual mandate is</w:t>
      </w:r>
      <w:r>
        <w:rPr>
          <w:sz w:val="20"/>
          <w:szCs w:val="20"/>
        </w:rPr>
        <w:t xml:space="preserve"> unconstitutional given that the Tax Act eliminated the tax penalty associated with the individual mandate. In concluding that the individual mandate is unconstitutional, the question remains whether, or how much of, the rest of the ACA is severable from t</w:t>
      </w:r>
      <w:r>
        <w:rPr>
          <w:sz w:val="20"/>
          <w:szCs w:val="20"/>
        </w:rPr>
        <w:t>hat constitutional defect. The Fifth Circuit further remanded the case to the U.S. District Court for the Northern District of Texas to further analyze whether the other provisions of the ACA are severable as they currently exist under the law. It is uncle</w:t>
      </w:r>
      <w:r>
        <w:rPr>
          <w:sz w:val="20"/>
          <w:szCs w:val="20"/>
        </w:rPr>
        <w:t>ar how the eventual decision from this appeal, subsequent appeals, and other efforts to repeal and replace the ACA will impact the ACA and our business</w:t>
      </w:r>
      <w:r>
        <w:rPr>
          <w:sz w:val="20"/>
          <w:szCs w:val="20"/>
        </w:rPr>
        <w:t>.</w:t>
      </w:r>
    </w:p>
    <w:p w:rsidR="00000000" w:rsidRDefault="00FF2C06">
      <w:pPr>
        <w:pStyle w:val="a3"/>
        <w:spacing w:before="0" w:beforeAutospacing="0" w:after="200" w:afterAutospacing="0"/>
        <w:ind w:firstLine="540"/>
        <w:divId w:val="776021120"/>
        <w:rPr>
          <w:sz w:val="20"/>
          <w:szCs w:val="20"/>
        </w:rPr>
      </w:pPr>
      <w:r>
        <w:rPr>
          <w:sz w:val="20"/>
          <w:szCs w:val="20"/>
        </w:rPr>
        <w:t>Additional federal and state healthcare reform measures may be adopted in the future that may result in</w:t>
      </w:r>
      <w:r>
        <w:rPr>
          <w:sz w:val="20"/>
          <w:szCs w:val="20"/>
        </w:rPr>
        <w:t xml:space="preserve"> more rigorous coverage criteria, increased regulatory burdens and operating costs, decreased net revenue from our pharmaceutical products, decreased potential returns from our development efforts, and additional downward pressure on the price that we rece</w:t>
      </w:r>
      <w:r>
        <w:rPr>
          <w:sz w:val="20"/>
          <w:szCs w:val="20"/>
        </w:rPr>
        <w:t>ive for any approved drug. Any reduction in reimbursement from Medicare or other government healthcare programs may result in a similar reduction in payments from private payors. The implementation of cost containment measures or other healthcare reforms m</w:t>
      </w:r>
      <w:r>
        <w:rPr>
          <w:sz w:val="20"/>
          <w:szCs w:val="20"/>
        </w:rPr>
        <w:t>ay prevent us from being able to generate revenue, attain profitability or commercialize our products.</w:t>
      </w:r>
    </w:p>
    <w:p w:rsidR="00000000" w:rsidRDefault="00FF2C06">
      <w:pPr>
        <w:pStyle w:val="a3"/>
        <w:spacing w:before="0" w:beforeAutospacing="0" w:after="200" w:afterAutospacing="0"/>
        <w:ind w:firstLine="540"/>
        <w:divId w:val="776021120"/>
        <w:rPr>
          <w:sz w:val="20"/>
          <w:szCs w:val="20"/>
        </w:rPr>
      </w:pPr>
      <w:r>
        <w:rPr>
          <w:sz w:val="20"/>
          <w:szCs w:val="20"/>
        </w:rPr>
        <w:t>Legislative and regulatory proposals may also be made to expand post-approval requirements and restrict sales and promotional activities for drugs. We ca</w:t>
      </w:r>
      <w:r>
        <w:rPr>
          <w:sz w:val="20"/>
          <w:szCs w:val="20"/>
        </w:rPr>
        <w:t>nnot be sure whether additional legislative changes will be enacted, or whether the FDA regulations, guidance, or interpretations will be changed, or what the impact of such changes on the marketing approvals of our product candidates, if any, may be. In a</w:t>
      </w:r>
      <w:r>
        <w:rPr>
          <w:sz w:val="20"/>
          <w:szCs w:val="20"/>
        </w:rPr>
        <w:t>ddition, increased scrutiny by Congress of the FDA’s approval process may significantly delay or prevent marketing approval, as well as subject us to more stringent product labeling and post-marketing testing and other requirements.</w:t>
      </w:r>
    </w:p>
    <w:p w:rsidR="00000000" w:rsidRDefault="00FF2C06">
      <w:pPr>
        <w:pStyle w:val="a3"/>
        <w:spacing w:before="0" w:beforeAutospacing="0" w:after="200" w:afterAutospacing="0"/>
        <w:ind w:firstLine="540"/>
        <w:divId w:val="776021120"/>
        <w:rPr>
          <w:sz w:val="20"/>
          <w:szCs w:val="20"/>
        </w:rPr>
      </w:pPr>
      <w:r>
        <w:rPr>
          <w:sz w:val="20"/>
          <w:szCs w:val="20"/>
        </w:rPr>
        <w:t>In addition, there have</w:t>
      </w:r>
      <w:r>
        <w:rPr>
          <w:sz w:val="20"/>
          <w:szCs w:val="20"/>
        </w:rPr>
        <w:t xml:space="preserve"> been a number of other policy, legislative and regulatory proposals aimed at changing the pharmaceutical industry. For instance, on May 11, 2018, the current administration presented its “Blueprint” to lower drug prices and reduce out of pocket costs of d</w:t>
      </w:r>
      <w:r>
        <w:rPr>
          <w:sz w:val="20"/>
          <w:szCs w:val="20"/>
        </w:rPr>
        <w:t>rugs, as well as additional proposals to increase drug manufacturer competition, increase the negotiating power of certain federal healthcare programs, and incentivize manufacturers to lower the list price of their products. Although some proposals related</w:t>
      </w:r>
      <w:r>
        <w:rPr>
          <w:sz w:val="20"/>
          <w:szCs w:val="20"/>
        </w:rPr>
        <w:t xml:space="preserve"> to the administration’s Blueprint may require additional authorization to become effective, may ultimately be withdrawn, or may face challenges in the courts, the U.S. Congress and the administration have indicated that they will continue to seek new legi</w:t>
      </w:r>
      <w:r>
        <w:rPr>
          <w:sz w:val="20"/>
          <w:szCs w:val="20"/>
        </w:rPr>
        <w:t>slative and administrative measures to control drug costs, including by addressing the role of pharmacy benefit managers in the supply chain. At the state level, legislatures have increasingly passed legislation and implemented regulations designed to cont</w:t>
      </w:r>
      <w:r>
        <w:rPr>
          <w:sz w:val="20"/>
          <w:szCs w:val="20"/>
        </w:rPr>
        <w:t>rol pharmaceutical and biological product pricing, including price or patient reimbursement constraints, discounts, restrictions on certain product access and marketing cost disclosure and transparency measures, and, in some cases, designed to encourage im</w:t>
      </w:r>
      <w:r>
        <w:rPr>
          <w:sz w:val="20"/>
          <w:szCs w:val="20"/>
        </w:rPr>
        <w:t>portation from other countries and bulk purchasing</w:t>
      </w:r>
      <w:r>
        <w:rPr>
          <w:sz w:val="20"/>
          <w:szCs w:val="20"/>
        </w:rPr>
        <w:t>.</w:t>
      </w:r>
    </w:p>
    <w:p w:rsidR="00000000" w:rsidRDefault="00FF2C06">
      <w:pPr>
        <w:pStyle w:val="a3"/>
        <w:spacing w:before="0" w:beforeAutospacing="0" w:after="200" w:afterAutospacing="0"/>
        <w:ind w:firstLine="540"/>
        <w:divId w:val="776021120"/>
        <w:rPr>
          <w:sz w:val="20"/>
          <w:szCs w:val="20"/>
        </w:rPr>
      </w:pPr>
      <w:r>
        <w:rPr>
          <w:sz w:val="20"/>
          <w:szCs w:val="20"/>
        </w:rPr>
        <w:t>We are unable to predict the future course of federal or state healthcare legislation in the United States directed at broadening the availability of healthcare and containing or lowering the cost of heal</w:t>
      </w:r>
      <w:r>
        <w:rPr>
          <w:sz w:val="20"/>
          <w:szCs w:val="20"/>
        </w:rPr>
        <w:t>thcare. The ACA and any further changes in the law or regulatory framework that reduce our revenue or increase our costs could also have a material and adverse effect on our business, financial condition and results of operations.</w:t>
      </w:r>
    </w:p>
    <w:p w:rsidR="00000000" w:rsidRDefault="00FF2C06">
      <w:pPr>
        <w:pStyle w:val="a3"/>
        <w:spacing w:before="0" w:beforeAutospacing="0" w:after="200" w:afterAutospacing="0"/>
        <w:ind w:firstLine="547"/>
        <w:divId w:val="776021120"/>
        <w:rPr>
          <w:sz w:val="20"/>
          <w:szCs w:val="20"/>
        </w:rPr>
      </w:pPr>
      <w:r>
        <w:rPr>
          <w:b/>
          <w:bCs/>
          <w:i/>
          <w:iCs/>
          <w:sz w:val="20"/>
          <w:szCs w:val="20"/>
        </w:rPr>
        <w:t>Governments outside the U</w:t>
      </w:r>
      <w:r>
        <w:rPr>
          <w:b/>
          <w:bCs/>
          <w:i/>
          <w:iCs/>
          <w:sz w:val="20"/>
          <w:szCs w:val="20"/>
        </w:rPr>
        <w:t>nited States tend to impose strict price controls, which may adversely affect our revenues, if any.</w:t>
      </w:r>
    </w:p>
    <w:p w:rsidR="00000000" w:rsidRDefault="00FF2C06">
      <w:pPr>
        <w:pStyle w:val="a3"/>
        <w:spacing w:before="0" w:beforeAutospacing="0" w:after="200" w:afterAutospacing="0"/>
        <w:ind w:firstLine="540"/>
        <w:divId w:val="776021120"/>
        <w:rPr>
          <w:sz w:val="20"/>
          <w:szCs w:val="20"/>
        </w:rPr>
      </w:pPr>
      <w:r>
        <w:rPr>
          <w:sz w:val="20"/>
          <w:szCs w:val="20"/>
        </w:rPr>
        <w:t xml:space="preserve">In international markets, reimbursement and health care payment systems vary significantly by country, and many countries have instituted price ceilings on </w:t>
      </w:r>
      <w:r>
        <w:rPr>
          <w:sz w:val="20"/>
          <w:szCs w:val="20"/>
        </w:rPr>
        <w:t>specific products and therapies. In some countries, particularly the countries of the EU, the pricing of prescription pharmaceuticals is subject to governmental control. In these countries, pricing negotiations with governmental authorities can take consid</w:t>
      </w:r>
      <w:r>
        <w:rPr>
          <w:sz w:val="20"/>
          <w:szCs w:val="20"/>
        </w:rPr>
        <w:t>erable time after the receipt of marketing approval for a product. To obtain coverage and reimbursement or pricing approval in some countries, we may be required to conduct a clinical trial that compares the cost-effectiveness of our product candidate to o</w:t>
      </w:r>
      <w:r>
        <w:rPr>
          <w:sz w:val="20"/>
          <w:szCs w:val="20"/>
        </w:rPr>
        <w:t>ther available therapies. There can be no assurance that our products will be considered cost-effective by third-party payors, that an adequate level of reimbursement will be available, or that the third-party payors’ reimbursement policies will not advers</w:t>
      </w:r>
      <w:r>
        <w:rPr>
          <w:sz w:val="20"/>
          <w:szCs w:val="20"/>
        </w:rPr>
        <w:t>ely affect our ability to sell our products profitably. If reimbursement of our products is unavailable or limited in scope or amount, or if pricing is set at unsatisfactory levels, our business could be harmed, possibly materially.</w:t>
      </w:r>
    </w:p>
    <w:p w:rsidR="00000000" w:rsidRDefault="00FF2C06">
      <w:pPr>
        <w:pStyle w:val="a3"/>
        <w:spacing w:before="480" w:beforeAutospacing="0" w:after="0" w:afterAutospacing="0"/>
        <w:jc w:val="center"/>
        <w:divId w:val="1646081930"/>
        <w:rPr>
          <w:sz w:val="20"/>
          <w:szCs w:val="20"/>
        </w:rPr>
      </w:pPr>
      <w:r>
        <w:rPr>
          <w:sz w:val="20"/>
          <w:szCs w:val="20"/>
        </w:rPr>
        <w:t>72</w:t>
      </w:r>
    </w:p>
    <w:p w:rsidR="00000000" w:rsidRDefault="00FF2C06">
      <w:pPr>
        <w:pStyle w:val="a3"/>
        <w:spacing w:before="0" w:beforeAutospacing="0" w:after="600" w:afterAutospacing="0"/>
        <w:divId w:val="944923214"/>
        <w:rPr>
          <w:sz w:val="20"/>
          <w:szCs w:val="20"/>
        </w:rPr>
      </w:pPr>
      <w:hyperlink w:anchor="TOC" w:history="1">
        <w:r>
          <w:rPr>
            <w:rStyle w:val="a4"/>
            <w:sz w:val="20"/>
            <w:szCs w:val="20"/>
          </w:rPr>
          <w:t>Table of Contents</w:t>
        </w:r>
      </w:hyperlink>
    </w:p>
    <w:p w:rsidR="00000000" w:rsidRDefault="00FF2C06">
      <w:pPr>
        <w:pStyle w:val="a3"/>
        <w:spacing w:before="0" w:beforeAutospacing="0" w:after="200" w:afterAutospacing="0"/>
        <w:ind w:firstLine="547"/>
        <w:divId w:val="46804567"/>
        <w:rPr>
          <w:sz w:val="20"/>
          <w:szCs w:val="20"/>
        </w:rPr>
      </w:pPr>
      <w:r>
        <w:rPr>
          <w:b/>
          <w:bCs/>
          <w:i/>
          <w:iCs/>
          <w:sz w:val="20"/>
          <w:szCs w:val="20"/>
        </w:rPr>
        <w:t>Our employees, independent contractors, consultants, commercial partners and vendors may engage in misconduct or other improper activities, including noncompliance with regulatory standards and requirements.</w:t>
      </w:r>
    </w:p>
    <w:p w:rsidR="00000000" w:rsidRDefault="00FF2C06">
      <w:pPr>
        <w:pStyle w:val="a3"/>
        <w:spacing w:before="0" w:beforeAutospacing="0" w:after="200" w:afterAutospacing="0"/>
        <w:ind w:firstLine="540"/>
        <w:divId w:val="46804567"/>
        <w:rPr>
          <w:sz w:val="20"/>
          <w:szCs w:val="20"/>
        </w:rPr>
      </w:pPr>
      <w:r>
        <w:rPr>
          <w:sz w:val="20"/>
          <w:szCs w:val="20"/>
        </w:rPr>
        <w:t>We are exposed to the ri</w:t>
      </w:r>
      <w:r>
        <w:rPr>
          <w:sz w:val="20"/>
          <w:szCs w:val="20"/>
        </w:rPr>
        <w:t xml:space="preserve">sk of employee fraud or other illegal activity by our employees, independent contractors, consultants, commercial partners and vendors. Misconduct by these parties could include intentional, reckless and/or negligent conduct that fails to: comply with the </w:t>
      </w:r>
      <w:r>
        <w:rPr>
          <w:sz w:val="20"/>
          <w:szCs w:val="20"/>
        </w:rPr>
        <w:t>laws of the FDA and other similar foreign regulatory bodies, provide true, complete and accurate information to the FDA and other similar foreign regulatory bodies, comply with manufacturing standards we have established, comply with healthcare fraud and a</w:t>
      </w:r>
      <w:r>
        <w:rPr>
          <w:sz w:val="20"/>
          <w:szCs w:val="20"/>
        </w:rPr>
        <w:t>buse laws in the United States and similar foreign fraudulent misconduct laws, or report financial information or data accurately or to disclose unauthorized activities to us. If we obtain FDA approval of any of our product candidates and begin commerciali</w:t>
      </w:r>
      <w:r>
        <w:rPr>
          <w:sz w:val="20"/>
          <w:szCs w:val="20"/>
        </w:rPr>
        <w:t>zing those products in the United States, our potential exposure under such laws will increase significantly, and our costs associated with compliance with such laws are also likely to increase. These laws may impact, among other things, our current activi</w:t>
      </w:r>
      <w:r>
        <w:rPr>
          <w:sz w:val="20"/>
          <w:szCs w:val="20"/>
        </w:rPr>
        <w:t>ties with principal investigators and research patients, as well as proposed and future sales, marketing and education programs. In particular, the promotion, sales and marketing of healthcare items and services, as well as certain business arrangements in</w:t>
      </w:r>
      <w:r>
        <w:rPr>
          <w:sz w:val="20"/>
          <w:szCs w:val="20"/>
        </w:rPr>
        <w:t xml:space="preserve"> the healthcare industry, are subject to extensive laws designed to prevent fraud, kickbacks, self-dealing and other abusive practices. These laws and regulations may restrict or prohibit a wide range of pricing, discounting, marketing and promotion, struc</w:t>
      </w:r>
      <w:r>
        <w:rPr>
          <w:sz w:val="20"/>
          <w:szCs w:val="20"/>
        </w:rPr>
        <w:t>turing and commission(s), certain customer incentive programs and other business arrangements generally. Activities subject to these laws also involve the improper use of information obtained in the course of patient recruitment for clinical trials.</w:t>
      </w:r>
    </w:p>
    <w:p w:rsidR="00000000" w:rsidRDefault="00FF2C06">
      <w:pPr>
        <w:pStyle w:val="a3"/>
        <w:spacing w:before="0" w:beforeAutospacing="0" w:after="200" w:afterAutospacing="0"/>
        <w:ind w:firstLine="540"/>
        <w:divId w:val="46804567"/>
        <w:rPr>
          <w:sz w:val="20"/>
          <w:szCs w:val="20"/>
        </w:rPr>
      </w:pPr>
      <w:r>
        <w:rPr>
          <w:sz w:val="20"/>
          <w:szCs w:val="20"/>
        </w:rPr>
        <w:t>We hav</w:t>
      </w:r>
      <w:r>
        <w:rPr>
          <w:sz w:val="20"/>
          <w:szCs w:val="20"/>
        </w:rPr>
        <w:t>e adopted a Code of Conduct and Ethics, but it is not always possible to identify and deter employee misconduct, and the precautions we take to detect and prevent inappropriate conduct may not be effective in controlling unknown or unmanaged risks or losse</w:t>
      </w:r>
      <w:r>
        <w:rPr>
          <w:sz w:val="20"/>
          <w:szCs w:val="20"/>
        </w:rPr>
        <w:t>s or in protecting us from governmental investigations or other actions or lawsuits stemming from a failure to comply with such laws or regulations. Efforts to ensure that our business arrangements will comply with applicable healthcare laws may involve su</w:t>
      </w:r>
      <w:r>
        <w:rPr>
          <w:sz w:val="20"/>
          <w:szCs w:val="20"/>
        </w:rPr>
        <w:t xml:space="preserve">bstantial costs. It is possible that governmental and enforcement authorities will conclude that our, or our employees’, consultants’, collaborators’, contractors’, or vendors’ business practices may not comply with current or future statutes, regulations </w:t>
      </w:r>
      <w:r>
        <w:rPr>
          <w:sz w:val="20"/>
          <w:szCs w:val="20"/>
        </w:rPr>
        <w:t>or case law interpreting applicable fraud and abuse or other healthcare laws and regulations. If any such actions are instituted against us, and we are not successful in defending ourselves or asserting our rights, those actions could have a significant im</w:t>
      </w:r>
      <w:r>
        <w:rPr>
          <w:sz w:val="20"/>
          <w:szCs w:val="20"/>
        </w:rPr>
        <w:t>pact on our business, including the imposition of civil, criminal and administrative penalties, damages, disgorgement, monetary fines, possible exclusion from participation in Medicare, Medicaid and other federal healthcare programs, contractual damages, r</w:t>
      </w:r>
      <w:r>
        <w:rPr>
          <w:sz w:val="20"/>
          <w:szCs w:val="20"/>
        </w:rPr>
        <w:t>eputational harm, diminished profits and future earnings, compliance agreements, withdrawal of product approvals, and curtailment of our operations, among other things, any of which could adversely affect our ability to operate our business and our results</w:t>
      </w:r>
      <w:r>
        <w:rPr>
          <w:sz w:val="20"/>
          <w:szCs w:val="20"/>
        </w:rPr>
        <w:t xml:space="preserve"> of operations. In addition, the approval and commercialization of any of our product candidates outside the United States will also likely subject us to foreign equivalents of the healthcare laws mentioned above, among other foreign laws.</w:t>
      </w:r>
    </w:p>
    <w:p w:rsidR="00000000" w:rsidRDefault="00FF2C06">
      <w:pPr>
        <w:pStyle w:val="a3"/>
        <w:spacing w:before="0" w:beforeAutospacing="0" w:after="200" w:afterAutospacing="0"/>
        <w:jc w:val="both"/>
        <w:divId w:val="46804567"/>
        <w:rPr>
          <w:sz w:val="20"/>
          <w:szCs w:val="20"/>
        </w:rPr>
      </w:pPr>
      <w:r>
        <w:rPr>
          <w:b/>
          <w:bCs/>
          <w:sz w:val="20"/>
          <w:szCs w:val="20"/>
        </w:rPr>
        <w:t>Risks Related to</w:t>
      </w:r>
      <w:r>
        <w:rPr>
          <w:b/>
          <w:bCs/>
          <w:sz w:val="20"/>
          <w:szCs w:val="20"/>
        </w:rPr>
        <w:t xml:space="preserve"> Our Intellectual Property</w:t>
      </w:r>
    </w:p>
    <w:p w:rsidR="00000000" w:rsidRDefault="00FF2C06">
      <w:pPr>
        <w:pStyle w:val="a3"/>
        <w:spacing w:before="0" w:beforeAutospacing="0" w:after="200" w:afterAutospacing="0"/>
        <w:ind w:firstLine="540"/>
        <w:divId w:val="46804567"/>
        <w:rPr>
          <w:sz w:val="20"/>
          <w:szCs w:val="20"/>
        </w:rPr>
      </w:pPr>
      <w:r>
        <w:rPr>
          <w:b/>
          <w:bCs/>
          <w:i/>
          <w:iCs/>
          <w:sz w:val="20"/>
          <w:szCs w:val="20"/>
        </w:rPr>
        <w:t>We may be involved in lawsuits to protect or enforce our patents or the patents of our licensors, or lawsuits accusing our products of patent infringement, which could be expensive, time-consuming and unsuccessful.</w:t>
      </w:r>
    </w:p>
    <w:p w:rsidR="00000000" w:rsidRDefault="00FF2C06">
      <w:pPr>
        <w:pStyle w:val="a3"/>
        <w:spacing w:before="0" w:beforeAutospacing="0" w:after="200" w:afterAutospacing="0"/>
        <w:ind w:firstLine="540"/>
        <w:divId w:val="46804567"/>
        <w:rPr>
          <w:sz w:val="20"/>
          <w:szCs w:val="20"/>
        </w:rPr>
      </w:pPr>
      <w:r>
        <w:rPr>
          <w:sz w:val="20"/>
          <w:szCs w:val="20"/>
        </w:rPr>
        <w:t>Competitors may infringe the patents of o</w:t>
      </w:r>
      <w:r>
        <w:rPr>
          <w:sz w:val="20"/>
          <w:szCs w:val="20"/>
        </w:rPr>
        <w:t>ur licensors. To counter infringement or unauthorized use, we may be required to file infringement claims, which can be expensive and time-consuming. In addition, in an infringement proceeding, a court may decide that one or more of our patents is not vali</w:t>
      </w:r>
      <w:r>
        <w:rPr>
          <w:sz w:val="20"/>
          <w:szCs w:val="20"/>
        </w:rPr>
        <w:t xml:space="preserve">d or is unenforceable or may refuse to stop the other party from using the technology at issue on the grounds that our patents do not cover the technology in question. An adverse result in any litigation or defense proceedings could put one or more of our </w:t>
      </w:r>
      <w:r>
        <w:rPr>
          <w:sz w:val="20"/>
          <w:szCs w:val="20"/>
        </w:rPr>
        <w:t xml:space="preserve">patents at risk of being invalidated, held unenforceable, or interpreted narrowly and could put our patent applications at risk of not issuing. Defense of these claims, regardless of their merit, would involve substantial litigation expense and would be a </w:t>
      </w:r>
      <w:r>
        <w:rPr>
          <w:sz w:val="20"/>
          <w:szCs w:val="20"/>
        </w:rPr>
        <w:t>substantial diversion of employee resources from our business. In the event of a successful claim of infringement against us, we may be enjoined from manufacturing, use, and marketing our products, or may have to pay substantial damages, including treble d</w:t>
      </w:r>
      <w:r>
        <w:rPr>
          <w:sz w:val="20"/>
          <w:szCs w:val="20"/>
        </w:rPr>
        <w:t>amages and attorneys’ fees for willful infringement, obtain one or more licenses from third parties, pay royalties or redesign our infringing products, which may be impossible or require substantial time and monetary expenditure.</w:t>
      </w:r>
    </w:p>
    <w:p w:rsidR="00000000" w:rsidRDefault="00FF2C06">
      <w:pPr>
        <w:pStyle w:val="a3"/>
        <w:spacing w:before="0" w:beforeAutospacing="0" w:after="0" w:afterAutospacing="0"/>
        <w:ind w:firstLine="540"/>
        <w:divId w:val="46804567"/>
        <w:rPr>
          <w:sz w:val="20"/>
          <w:szCs w:val="20"/>
        </w:rPr>
      </w:pPr>
      <w:r>
        <w:rPr>
          <w:sz w:val="20"/>
          <w:szCs w:val="20"/>
        </w:rPr>
        <w:t xml:space="preserve">Periodic maintenance fees </w:t>
      </w:r>
      <w:r>
        <w:rPr>
          <w:sz w:val="20"/>
          <w:szCs w:val="20"/>
        </w:rPr>
        <w:t>on any issued patent are due to be paid to the United States Patent and Trademark Office, or USPTO, and foreign patent agencies in several stages over the lifetime of the patent. The USPTO and various foreign governmental patent agencies require compliance</w:t>
      </w:r>
      <w:r>
        <w:rPr>
          <w:sz w:val="20"/>
          <w:szCs w:val="20"/>
        </w:rPr>
        <w:t xml:space="preserve"> with several procedural, documentary, fee payment and other similar provisions during the patent application process. While an inadvertent lapse can in many cases be cured by payment of a late fee or by other means in accordance with the applicable rules,</w:t>
      </w:r>
      <w:r>
        <w:rPr>
          <w:sz w:val="20"/>
          <w:szCs w:val="20"/>
        </w:rPr>
        <w:t xml:space="preserve"> there are situations in which noncompliance can result in abandonment or lapse of the patent or patent application, resulting in partial or complete loss of patent rights in the relevant jurisdiction. Noncompliance events that could result in abandonment </w:t>
      </w:r>
      <w:r>
        <w:rPr>
          <w:sz w:val="20"/>
          <w:szCs w:val="20"/>
        </w:rPr>
        <w:t xml:space="preserve">or lapse of a patent or patent application include, but are not limited to, failure to respond to official actions within </w:t>
      </w:r>
    </w:p>
    <w:p w:rsidR="00000000" w:rsidRDefault="00FF2C06">
      <w:pPr>
        <w:pStyle w:val="a3"/>
        <w:spacing w:before="480" w:beforeAutospacing="0" w:after="0" w:afterAutospacing="0"/>
        <w:jc w:val="center"/>
        <w:divId w:val="1537348430"/>
        <w:rPr>
          <w:sz w:val="20"/>
          <w:szCs w:val="20"/>
        </w:rPr>
      </w:pPr>
      <w:r>
        <w:rPr>
          <w:sz w:val="20"/>
          <w:szCs w:val="20"/>
        </w:rPr>
        <w:t>73</w:t>
      </w:r>
    </w:p>
    <w:p w:rsidR="00000000" w:rsidRDefault="00FF2C06">
      <w:pPr>
        <w:pStyle w:val="a3"/>
        <w:spacing w:before="0" w:beforeAutospacing="0" w:after="600" w:afterAutospacing="0"/>
        <w:divId w:val="1618682218"/>
        <w:rPr>
          <w:sz w:val="20"/>
          <w:szCs w:val="20"/>
        </w:rPr>
      </w:pPr>
      <w:hyperlink w:anchor="TOC" w:history="1">
        <w:r>
          <w:rPr>
            <w:rStyle w:val="a4"/>
            <w:sz w:val="20"/>
            <w:szCs w:val="20"/>
          </w:rPr>
          <w:t>Table of Contents</w:t>
        </w:r>
      </w:hyperlink>
    </w:p>
    <w:p w:rsidR="00000000" w:rsidRDefault="00FF2C06">
      <w:pPr>
        <w:pStyle w:val="a3"/>
        <w:spacing w:before="0" w:beforeAutospacing="0" w:after="200" w:afterAutospacing="0"/>
        <w:divId w:val="1745370037"/>
        <w:rPr>
          <w:sz w:val="20"/>
          <w:szCs w:val="20"/>
        </w:rPr>
      </w:pPr>
      <w:r>
        <w:rPr>
          <w:sz w:val="20"/>
          <w:szCs w:val="20"/>
        </w:rPr>
        <w:t>prescribed time limits, non-payment of fees and failure to properly legalize and submi</w:t>
      </w:r>
      <w:r>
        <w:rPr>
          <w:sz w:val="20"/>
          <w:szCs w:val="20"/>
        </w:rPr>
        <w:t>t formal documents. In such an event, our competitors might be able to enter the market, which would have a material adverse effect on our business.</w:t>
      </w:r>
    </w:p>
    <w:p w:rsidR="00000000" w:rsidRDefault="00FF2C06">
      <w:pPr>
        <w:pStyle w:val="a3"/>
        <w:spacing w:before="0" w:beforeAutospacing="0" w:after="200" w:afterAutospacing="0"/>
        <w:ind w:firstLine="540"/>
        <w:divId w:val="1745370037"/>
        <w:rPr>
          <w:sz w:val="20"/>
          <w:szCs w:val="20"/>
        </w:rPr>
      </w:pPr>
      <w:r>
        <w:rPr>
          <w:b/>
          <w:bCs/>
          <w:i/>
          <w:iCs/>
          <w:sz w:val="20"/>
          <w:szCs w:val="20"/>
        </w:rPr>
        <w:t xml:space="preserve">We may incur substantial costs as a result of litigation or other proceedings relating to patent and other </w:t>
      </w:r>
      <w:r>
        <w:rPr>
          <w:b/>
          <w:bCs/>
          <w:i/>
          <w:iCs/>
          <w:sz w:val="20"/>
          <w:szCs w:val="20"/>
        </w:rPr>
        <w:t>intellectual property rights.</w:t>
      </w:r>
    </w:p>
    <w:p w:rsidR="00000000" w:rsidRDefault="00FF2C06">
      <w:pPr>
        <w:pStyle w:val="a3"/>
        <w:spacing w:before="0" w:beforeAutospacing="0" w:after="200" w:afterAutospacing="0"/>
        <w:ind w:firstLine="540"/>
        <w:divId w:val="1745370037"/>
        <w:rPr>
          <w:sz w:val="20"/>
          <w:szCs w:val="20"/>
        </w:rPr>
      </w:pPr>
      <w:r>
        <w:rPr>
          <w:sz w:val="20"/>
          <w:szCs w:val="20"/>
        </w:rPr>
        <w:t>The cost to us of any litigation or other proceeding relating to intellectual property rights, even if resolved in our favor, could be substantial. Some of our competitors may be better able to sustain the costs of complex pat</w:t>
      </w:r>
      <w:r>
        <w:rPr>
          <w:sz w:val="20"/>
          <w:szCs w:val="20"/>
        </w:rPr>
        <w:t>ent litigation because they have substantially greater resources. If there is litigation against us, we may not be able to continue our operations.</w:t>
      </w:r>
    </w:p>
    <w:p w:rsidR="00000000" w:rsidRDefault="00FF2C06">
      <w:pPr>
        <w:pStyle w:val="a3"/>
        <w:spacing w:before="0" w:beforeAutospacing="0" w:after="200" w:afterAutospacing="0"/>
        <w:ind w:firstLine="540"/>
        <w:divId w:val="1745370037"/>
        <w:rPr>
          <w:sz w:val="20"/>
          <w:szCs w:val="20"/>
        </w:rPr>
      </w:pPr>
      <w:r>
        <w:rPr>
          <w:sz w:val="20"/>
          <w:szCs w:val="20"/>
        </w:rPr>
        <w:t xml:space="preserve">Should third parties file patent applications or be issued patents claiming technology also used or claimed </w:t>
      </w:r>
      <w:r>
        <w:rPr>
          <w:sz w:val="20"/>
          <w:szCs w:val="20"/>
        </w:rPr>
        <w:t>by us, we may be required to participate in interference proceedings in the USPTO to determine priority of invention. We may be required to participate in interference proceedings involving our issued patents and pending applications. We may be required to</w:t>
      </w:r>
      <w:r>
        <w:rPr>
          <w:sz w:val="20"/>
          <w:szCs w:val="20"/>
        </w:rPr>
        <w:t xml:space="preserve"> cease using the technology or to license rights from prevailing third parties as a result of an unfavorable outcome in an interference proceeding. A prevailing party in that case may not offer us a license on commercially acceptable terms.</w:t>
      </w:r>
    </w:p>
    <w:p w:rsidR="00000000" w:rsidRDefault="00FF2C06">
      <w:pPr>
        <w:pStyle w:val="a3"/>
        <w:spacing w:before="0" w:beforeAutospacing="0" w:after="200" w:afterAutospacing="0"/>
        <w:ind w:firstLine="540"/>
        <w:divId w:val="1745370037"/>
        <w:rPr>
          <w:sz w:val="20"/>
          <w:szCs w:val="20"/>
        </w:rPr>
      </w:pPr>
      <w:r>
        <w:rPr>
          <w:b/>
          <w:bCs/>
          <w:i/>
          <w:iCs/>
          <w:sz w:val="20"/>
          <w:szCs w:val="20"/>
        </w:rPr>
        <w:t xml:space="preserve">Issued patents </w:t>
      </w:r>
      <w:r>
        <w:rPr>
          <w:b/>
          <w:bCs/>
          <w:i/>
          <w:iCs/>
          <w:sz w:val="20"/>
          <w:szCs w:val="20"/>
        </w:rPr>
        <w:t>covering our product candidates could be found invalid or unenforceable if challenged in court or the USPTO.</w:t>
      </w:r>
    </w:p>
    <w:p w:rsidR="00000000" w:rsidRDefault="00FF2C06">
      <w:pPr>
        <w:pStyle w:val="a3"/>
        <w:spacing w:before="0" w:beforeAutospacing="0" w:after="200" w:afterAutospacing="0"/>
        <w:ind w:firstLine="540"/>
        <w:divId w:val="1745370037"/>
        <w:rPr>
          <w:sz w:val="20"/>
          <w:szCs w:val="20"/>
        </w:rPr>
      </w:pPr>
      <w:r>
        <w:rPr>
          <w:sz w:val="20"/>
          <w:szCs w:val="20"/>
        </w:rPr>
        <w:t>If we or one of our licensing partners initiate legal proceedings against a third party to enforce a patent covering one of our product candidates,</w:t>
      </w:r>
      <w:r>
        <w:rPr>
          <w:sz w:val="20"/>
          <w:szCs w:val="20"/>
        </w:rPr>
        <w:t xml:space="preserve"> the defendant could counterclaim that the patent covering our product candidate, as applicable, is invalid and/or unenforceable. In patent litigation in the United States, defendant counterclaims alleging invalidity and/or unenforceability are commonplace</w:t>
      </w:r>
      <w:r>
        <w:rPr>
          <w:sz w:val="20"/>
          <w:szCs w:val="20"/>
        </w:rPr>
        <w:t>, and there are numerous grounds upon which a third party can assert invalidity or unenforceability of a patent. Third parties may also raise similar claims before administrative bodies in the United States or abroad, even outside the context of litigation</w:t>
      </w:r>
      <w:r>
        <w:rPr>
          <w:sz w:val="20"/>
          <w:szCs w:val="20"/>
        </w:rPr>
        <w:t>. Such mechanisms include re-examination, post grant review, and equivalent proceedings in foreign jurisdictions (e.g., opposition proceedings). Such proceedings could result in revocation or amendment to our patents in such a way that they no longer cover</w:t>
      </w:r>
      <w:r>
        <w:rPr>
          <w:sz w:val="20"/>
          <w:szCs w:val="20"/>
        </w:rPr>
        <w:t xml:space="preserve"> our product candidates. The outcome following legal assertions of invalidity and unenforceability is unpredictable. With respect to the validity question, for example, we cannot be certain that there is no invalidating prior art, of which we, our patent c</w:t>
      </w:r>
      <w:r>
        <w:rPr>
          <w:sz w:val="20"/>
          <w:szCs w:val="20"/>
        </w:rPr>
        <w:t>ounsel and the patent examiner were unaware during prosecution. If a defendant were to prevail on a legal assertion of invalidity and/or unenforceability, we would lose at least part, and perhaps all, of the patent protection on our product candidates. Suc</w:t>
      </w:r>
      <w:r>
        <w:rPr>
          <w:sz w:val="20"/>
          <w:szCs w:val="20"/>
        </w:rPr>
        <w:t>h a loss of patent protection could have a material adverse impact on our business.</w:t>
      </w:r>
    </w:p>
    <w:p w:rsidR="00000000" w:rsidRDefault="00FF2C06">
      <w:pPr>
        <w:pStyle w:val="a3"/>
        <w:spacing w:before="0" w:beforeAutospacing="0" w:after="200" w:afterAutospacing="0"/>
        <w:ind w:firstLine="540"/>
        <w:divId w:val="1745370037"/>
        <w:rPr>
          <w:sz w:val="20"/>
          <w:szCs w:val="20"/>
        </w:rPr>
      </w:pPr>
      <w:r>
        <w:rPr>
          <w:b/>
          <w:bCs/>
          <w:i/>
          <w:iCs/>
          <w:sz w:val="20"/>
          <w:szCs w:val="20"/>
        </w:rPr>
        <w:t>If we are unable to protect our proprietary rights, we may not be able to compete effectively or operate profitably.</w:t>
      </w:r>
    </w:p>
    <w:p w:rsidR="00000000" w:rsidRDefault="00FF2C06">
      <w:pPr>
        <w:pStyle w:val="a3"/>
        <w:spacing w:before="0" w:beforeAutospacing="0" w:after="200" w:afterAutospacing="0"/>
        <w:ind w:firstLine="540"/>
        <w:divId w:val="1745370037"/>
        <w:rPr>
          <w:sz w:val="20"/>
          <w:szCs w:val="20"/>
        </w:rPr>
      </w:pPr>
      <w:r>
        <w:rPr>
          <w:sz w:val="20"/>
          <w:szCs w:val="20"/>
        </w:rPr>
        <w:t>Our success is dependent in part on maintaining and enf</w:t>
      </w:r>
      <w:r>
        <w:rPr>
          <w:sz w:val="20"/>
          <w:szCs w:val="20"/>
        </w:rPr>
        <w:t>orcing the patents and other proprietary rights that we have licensed and may develop, and on our ability to avoid infringing the proprietary rights of others. Certain of our intellectual property rights are licensed from another entity, and as such the pr</w:t>
      </w:r>
      <w:r>
        <w:rPr>
          <w:sz w:val="20"/>
          <w:szCs w:val="20"/>
        </w:rPr>
        <w:t>eparation and prosecution of these patents and patent applications was not performed by us or under our control. Furthermore, patent law relating to the scope of claims in the biotechnology field in which we operate is still evolving and, consequently, pat</w:t>
      </w:r>
      <w:r>
        <w:rPr>
          <w:sz w:val="20"/>
          <w:szCs w:val="20"/>
        </w:rPr>
        <w:t>ent positions in our industry may not be as strong as in other more well-established fields. The patent positions of biotechnology companies can be highly uncertain and involve complex legal and factual questions for which important legal principles remain</w:t>
      </w:r>
      <w:r>
        <w:rPr>
          <w:sz w:val="20"/>
          <w:szCs w:val="20"/>
        </w:rPr>
        <w:t xml:space="preserve"> unresolved. No consistent policy regarding the breadth of claims allowed in biotechnology patents has emerged to date.</w:t>
      </w:r>
    </w:p>
    <w:p w:rsidR="00000000" w:rsidRDefault="00FF2C06">
      <w:pPr>
        <w:pStyle w:val="a3"/>
        <w:spacing w:before="0" w:beforeAutospacing="0" w:after="200" w:afterAutospacing="0"/>
        <w:ind w:firstLine="540"/>
        <w:divId w:val="1745370037"/>
        <w:rPr>
          <w:sz w:val="20"/>
          <w:szCs w:val="20"/>
        </w:rPr>
      </w:pPr>
      <w:r>
        <w:rPr>
          <w:sz w:val="20"/>
          <w:szCs w:val="20"/>
        </w:rPr>
        <w:t>The issuance of a patent is not conclusive as to its validity or enforceability and it is uncertain how much protection, if any, will be</w:t>
      </w:r>
      <w:r>
        <w:rPr>
          <w:sz w:val="20"/>
          <w:szCs w:val="20"/>
        </w:rPr>
        <w:t xml:space="preserve"> given to the patents we have licensed from the NIH, Moffitt, or MDACC if any of these parties, or we, attempt to enforce the patents and/or if they are challenged in court or in other proceedings, such as oppositions, which may be brought in foreign juris</w:t>
      </w:r>
      <w:r>
        <w:rPr>
          <w:sz w:val="20"/>
          <w:szCs w:val="20"/>
        </w:rPr>
        <w:t>dictions to challenge the validity of a patent. A third party may challenge the validity or enforceability of a patent after its issuance by the Patent Office. It is possible that a competitor may successfully challenge our patents or that a challenge will</w:t>
      </w:r>
      <w:r>
        <w:rPr>
          <w:sz w:val="20"/>
          <w:szCs w:val="20"/>
        </w:rPr>
        <w:t xml:space="preserve"> result in limiting their coverage. Moreover, the cost of litigation to uphold the validity of patents and to prevent infringement can be substantial. If the outcome of litigation is adverse to us, third parties may be able to use our patented invention wi</w:t>
      </w:r>
      <w:r>
        <w:rPr>
          <w:sz w:val="20"/>
          <w:szCs w:val="20"/>
        </w:rPr>
        <w:t>thout payment to us. Moreover, it is possible that competitors may infringe our patents or successfully avoid the patented technology through design innovation. To stop these activities, we may need to file a lawsuit. These lawsuits are expensive and would</w:t>
      </w:r>
      <w:r>
        <w:rPr>
          <w:sz w:val="20"/>
          <w:szCs w:val="20"/>
        </w:rPr>
        <w:t xml:space="preserve"> consume time and other resources, even if we were successful in stopping the violation of our patent rights. In addition, there is a risk that a court would decide that our patents are not valid and that we do not have the right to stop the other party fr</w:t>
      </w:r>
      <w:r>
        <w:rPr>
          <w:sz w:val="20"/>
          <w:szCs w:val="20"/>
        </w:rPr>
        <w:t>om using the inventions. There is also the risk that, even if the validity of our patents were upheld, a court would refuse to stop the other party on the grounds that its activities are not covered by, that is, do not infringe, our patents.</w:t>
      </w:r>
    </w:p>
    <w:p w:rsidR="00000000" w:rsidRDefault="00FF2C06">
      <w:pPr>
        <w:pStyle w:val="a3"/>
        <w:spacing w:before="480" w:beforeAutospacing="0" w:after="0" w:afterAutospacing="0"/>
        <w:jc w:val="center"/>
        <w:divId w:val="901017515"/>
        <w:rPr>
          <w:sz w:val="20"/>
          <w:szCs w:val="20"/>
        </w:rPr>
      </w:pPr>
      <w:r>
        <w:rPr>
          <w:sz w:val="20"/>
          <w:szCs w:val="20"/>
        </w:rPr>
        <w:t>74</w:t>
      </w:r>
    </w:p>
    <w:p w:rsidR="00000000" w:rsidRDefault="00FF2C06">
      <w:pPr>
        <w:pStyle w:val="a3"/>
        <w:spacing w:before="0" w:beforeAutospacing="0" w:after="600" w:afterAutospacing="0"/>
        <w:divId w:val="52244603"/>
        <w:rPr>
          <w:sz w:val="20"/>
          <w:szCs w:val="20"/>
        </w:rPr>
      </w:pPr>
      <w:hyperlink w:anchor="TOC" w:history="1">
        <w:r>
          <w:rPr>
            <w:rStyle w:val="a4"/>
            <w:sz w:val="20"/>
            <w:szCs w:val="20"/>
          </w:rPr>
          <w:t>Table of Contents</w:t>
        </w:r>
      </w:hyperlink>
    </w:p>
    <w:p w:rsidR="00000000" w:rsidRDefault="00FF2C06">
      <w:pPr>
        <w:pStyle w:val="a3"/>
        <w:spacing w:before="0" w:beforeAutospacing="0" w:after="200" w:afterAutospacing="0"/>
        <w:ind w:firstLine="540"/>
        <w:divId w:val="2019040839"/>
        <w:rPr>
          <w:sz w:val="20"/>
          <w:szCs w:val="20"/>
        </w:rPr>
      </w:pPr>
      <w:r>
        <w:rPr>
          <w:sz w:val="20"/>
          <w:szCs w:val="20"/>
        </w:rPr>
        <w:t>Should third parties file patent applications, or be issued patents claiming technology also used or claimed by our licensor(s) or by us in any future patent application, we may be required to participate in interference pr</w:t>
      </w:r>
      <w:r>
        <w:rPr>
          <w:sz w:val="20"/>
          <w:szCs w:val="20"/>
        </w:rPr>
        <w:t xml:space="preserve">oceedings in the USPTO to determine priority of invention for those patents or patent applications that are subject to the first-to-invent law in the United States, or may be required to participate in derivation proceedings in the USPTO for those patents </w:t>
      </w:r>
      <w:r>
        <w:rPr>
          <w:sz w:val="20"/>
          <w:szCs w:val="20"/>
        </w:rPr>
        <w:t>or patent applications that are subject to the first-inventor-to-file law in the United States. We may be required to participate in such interference or derivation proceedings involving our issued patents and pending applications. We may be required to ce</w:t>
      </w:r>
      <w:r>
        <w:rPr>
          <w:sz w:val="20"/>
          <w:szCs w:val="20"/>
        </w:rPr>
        <w:t xml:space="preserve">ase using the technology or to license rights from prevailing third parties as a result of an unfavorable outcome in an interference proceeding or derivation proceeding. A prevailing party in that case may not offer us a license on commercially acceptable </w:t>
      </w:r>
      <w:r>
        <w:rPr>
          <w:sz w:val="20"/>
          <w:szCs w:val="20"/>
        </w:rPr>
        <w:t>terms.</w:t>
      </w:r>
    </w:p>
    <w:p w:rsidR="00000000" w:rsidRDefault="00FF2C06">
      <w:pPr>
        <w:pStyle w:val="a3"/>
        <w:spacing w:before="0" w:beforeAutospacing="0" w:after="200" w:afterAutospacing="0"/>
        <w:ind w:firstLine="540"/>
        <w:divId w:val="2019040839"/>
        <w:rPr>
          <w:sz w:val="20"/>
          <w:szCs w:val="20"/>
        </w:rPr>
      </w:pPr>
      <w:r>
        <w:rPr>
          <w:b/>
          <w:bCs/>
          <w:i/>
          <w:iCs/>
          <w:sz w:val="20"/>
          <w:szCs w:val="20"/>
        </w:rPr>
        <w:t>We cannot prevent other companies from licensing most of the same intellectual properties that we have licensed or from otherwise duplicating our business model and operations.</w:t>
      </w:r>
    </w:p>
    <w:p w:rsidR="00000000" w:rsidRDefault="00FF2C06">
      <w:pPr>
        <w:pStyle w:val="a3"/>
        <w:spacing w:before="0" w:beforeAutospacing="0" w:after="200" w:afterAutospacing="0"/>
        <w:ind w:firstLine="540"/>
        <w:divId w:val="2019040839"/>
        <w:rPr>
          <w:sz w:val="20"/>
          <w:szCs w:val="20"/>
        </w:rPr>
      </w:pPr>
      <w:r>
        <w:rPr>
          <w:sz w:val="20"/>
          <w:szCs w:val="20"/>
        </w:rPr>
        <w:t>Certain intellectual properties that we are using to develop TIL-based c</w:t>
      </w:r>
      <w:r>
        <w:rPr>
          <w:sz w:val="20"/>
          <w:szCs w:val="20"/>
        </w:rPr>
        <w:t xml:space="preserve">ancer therapy products were licensed to us by the NIH. The issued or pending patents that the NIH licensed to us are exclusive, and specific with respect to melanoma, breast, HPV-associated, bladder and lung cancers. No assurance can be given that the NIH </w:t>
      </w:r>
      <w:r>
        <w:rPr>
          <w:sz w:val="20"/>
          <w:szCs w:val="20"/>
        </w:rPr>
        <w:t xml:space="preserve">has not previously licensed, or that the NIH hereafter will not license to other biotechnology companies some or all of the non-exclusive technologies available to us under the NIH License Agreement. In addition, one pending U.S. patent application in the </w:t>
      </w:r>
      <w:r>
        <w:rPr>
          <w:sz w:val="20"/>
          <w:szCs w:val="20"/>
        </w:rPr>
        <w:t>NIH License Agreement is not owned solely by the NIH. No assurance can be given that NIH’s co-owner of the certain pending U.S. patent application in the NIH License Agreement has not previously licensed, or that the co-owner thereafter will not license, t</w:t>
      </w:r>
      <w:r>
        <w:rPr>
          <w:sz w:val="20"/>
          <w:szCs w:val="20"/>
        </w:rPr>
        <w:t>o other biotechnology companies some or all of the technologies available to us. Co-ownership of these intellectual properties will create issues with respect to our ability to enforce the intellectual property rights in courts, and will create issues with</w:t>
      </w:r>
      <w:r>
        <w:rPr>
          <w:sz w:val="20"/>
          <w:szCs w:val="20"/>
        </w:rPr>
        <w:t xml:space="preserve"> respect to the accountability of one entity with respect to the other.</w:t>
      </w:r>
    </w:p>
    <w:p w:rsidR="00000000" w:rsidRDefault="00FF2C06">
      <w:pPr>
        <w:pStyle w:val="a3"/>
        <w:spacing w:before="0" w:beforeAutospacing="0" w:after="200" w:afterAutospacing="0"/>
        <w:ind w:firstLine="540"/>
        <w:divId w:val="2019040839"/>
        <w:rPr>
          <w:sz w:val="20"/>
          <w:szCs w:val="20"/>
        </w:rPr>
      </w:pPr>
      <w:r>
        <w:rPr>
          <w:sz w:val="20"/>
          <w:szCs w:val="20"/>
        </w:rPr>
        <w:t>Since the NCI, Moffitt, MDACC, and others already use TIL therapy for the treatment of metastatic melanoma and other indications, their methods and data are also available to third par</w:t>
      </w:r>
      <w:r>
        <w:rPr>
          <w:sz w:val="20"/>
          <w:szCs w:val="20"/>
        </w:rPr>
        <w:t>ties, who may want to enter into our line of business and compete against us. Other than the Gen 2 manufacturing process, we currently do not own any exclusive rights on our entire product portfolio that could be used to prevent third parties from duplicat</w:t>
      </w:r>
      <w:r>
        <w:rPr>
          <w:sz w:val="20"/>
          <w:szCs w:val="20"/>
        </w:rPr>
        <w:t>ing our business plan or from otherwise directly competing against us. While additional technologies that may be developed under our CRADA may be licensed to us on an exclusive basis, no assurance can be given that our existing exclusive rights and will be</w:t>
      </w:r>
      <w:r>
        <w:rPr>
          <w:sz w:val="20"/>
          <w:szCs w:val="20"/>
        </w:rPr>
        <w:t xml:space="preserve"> sufficient to prevent others from competing with us and developing substantially similar products.</w:t>
      </w:r>
    </w:p>
    <w:p w:rsidR="00000000" w:rsidRDefault="00FF2C06">
      <w:pPr>
        <w:pStyle w:val="a3"/>
        <w:spacing w:before="0" w:beforeAutospacing="0" w:after="200" w:afterAutospacing="0"/>
        <w:ind w:firstLine="540"/>
        <w:divId w:val="2019040839"/>
        <w:rPr>
          <w:sz w:val="20"/>
          <w:szCs w:val="20"/>
        </w:rPr>
      </w:pPr>
      <w:r>
        <w:rPr>
          <w:b/>
          <w:bCs/>
          <w:i/>
          <w:iCs/>
          <w:sz w:val="20"/>
          <w:szCs w:val="20"/>
        </w:rPr>
        <w:t>The use of our technologies could potentially conflict with the rights of others.</w:t>
      </w:r>
    </w:p>
    <w:p w:rsidR="00000000" w:rsidRDefault="00FF2C06">
      <w:pPr>
        <w:pStyle w:val="a3"/>
        <w:spacing w:before="0" w:beforeAutospacing="0" w:after="200" w:afterAutospacing="0"/>
        <w:ind w:firstLine="540"/>
        <w:divId w:val="2019040839"/>
        <w:rPr>
          <w:sz w:val="20"/>
          <w:szCs w:val="20"/>
        </w:rPr>
      </w:pPr>
      <w:r>
        <w:rPr>
          <w:sz w:val="20"/>
          <w:szCs w:val="20"/>
        </w:rPr>
        <w:t>Our potential competitors or others may have or acquire patent rights that they could enforce against us. If they do so, then we may be required to alter our products, pay licensing fees or cease activities. If our products conflict with patent rights of o</w:t>
      </w:r>
      <w:r>
        <w:rPr>
          <w:sz w:val="20"/>
          <w:szCs w:val="20"/>
        </w:rPr>
        <w:t>thers, third parties could bring legal actions against us or our collaborators, licensees, suppliers or customers, claiming damages and seeking to enjoin manufacturing, use and marketing of the affected products. If these legal actions are successful, in a</w:t>
      </w:r>
      <w:r>
        <w:rPr>
          <w:sz w:val="20"/>
          <w:szCs w:val="20"/>
        </w:rPr>
        <w:t>ddition to any potential liability for damages (including treble damages and attorneys’ fees for willful infringement), we could be required to obtain a license to continue manufacturing, promoting the use or marketing the affected products. We may not pre</w:t>
      </w:r>
      <w:r>
        <w:rPr>
          <w:sz w:val="20"/>
          <w:szCs w:val="20"/>
        </w:rPr>
        <w:t>vail in any legal action and a required license under the patent may not be available on acceptable terms or at all.</w:t>
      </w:r>
    </w:p>
    <w:p w:rsidR="00000000" w:rsidRDefault="00FF2C06">
      <w:pPr>
        <w:pStyle w:val="a3"/>
        <w:spacing w:before="0" w:beforeAutospacing="0" w:after="200" w:afterAutospacing="0"/>
        <w:ind w:firstLine="540"/>
        <w:divId w:val="2019040839"/>
        <w:rPr>
          <w:sz w:val="20"/>
          <w:szCs w:val="20"/>
        </w:rPr>
      </w:pPr>
      <w:r>
        <w:rPr>
          <w:sz w:val="20"/>
          <w:szCs w:val="20"/>
        </w:rPr>
        <w:t>We have conducted an extensive freedom-to-operate, or FTO, analyses of the patent landscape with respect to our lead product candidates. Al</w:t>
      </w:r>
      <w:r>
        <w:rPr>
          <w:sz w:val="20"/>
          <w:szCs w:val="20"/>
        </w:rPr>
        <w:t xml:space="preserve">though we continue to undertake FTO analyses of our manufacturing processes, our lead TIL products, and contemplated future processes and products, because patent applications do not publish for 18 months, and because the claims of patent applications can </w:t>
      </w:r>
      <w:r>
        <w:rPr>
          <w:sz w:val="20"/>
          <w:szCs w:val="20"/>
        </w:rPr>
        <w:t>change over time, no FTO analysis can be considered exhaustive. Furthermore, patent and other intellectual property rights in biotechnology remains an evolving area with many risks and uncertainties. As such, we may not be able to ensure that we can market</w:t>
      </w:r>
      <w:r>
        <w:rPr>
          <w:sz w:val="20"/>
          <w:szCs w:val="20"/>
        </w:rPr>
        <w:t xml:space="preserve"> our product candidates without conflict with the rights of others.</w:t>
      </w:r>
    </w:p>
    <w:p w:rsidR="00000000" w:rsidRDefault="00FF2C06">
      <w:pPr>
        <w:pStyle w:val="a3"/>
        <w:spacing w:before="0" w:beforeAutospacing="0" w:after="200" w:afterAutospacing="0"/>
        <w:ind w:firstLine="540"/>
        <w:divId w:val="2019040839"/>
        <w:rPr>
          <w:sz w:val="20"/>
          <w:szCs w:val="20"/>
        </w:rPr>
      </w:pPr>
      <w:r>
        <w:rPr>
          <w:b/>
          <w:bCs/>
          <w:i/>
          <w:iCs/>
          <w:sz w:val="20"/>
          <w:szCs w:val="20"/>
        </w:rPr>
        <w:t>Changes in U.S. patent law could diminish the value of patents in general, thereby impairing our ability to protect our products.</w:t>
      </w:r>
    </w:p>
    <w:p w:rsidR="00000000" w:rsidRDefault="00FF2C06">
      <w:pPr>
        <w:pStyle w:val="a3"/>
        <w:spacing w:before="0" w:beforeAutospacing="0" w:after="0" w:afterAutospacing="0"/>
        <w:ind w:firstLine="540"/>
        <w:divId w:val="2019040839"/>
        <w:rPr>
          <w:sz w:val="20"/>
          <w:szCs w:val="20"/>
        </w:rPr>
      </w:pPr>
      <w:r>
        <w:rPr>
          <w:sz w:val="20"/>
          <w:szCs w:val="20"/>
        </w:rPr>
        <w:t>As is the case with other cell therapy and biopharmaceutic</w:t>
      </w:r>
      <w:r>
        <w:rPr>
          <w:sz w:val="20"/>
          <w:szCs w:val="20"/>
        </w:rPr>
        <w:t>al companies, our success is dependent on intellectual property, particularly patents. Obtaining and enforcing patents in the biopharmaceutical industry involve both technological and legal complexity, and is therefore costly, time-consuming and inherently</w:t>
      </w:r>
      <w:r>
        <w:rPr>
          <w:sz w:val="20"/>
          <w:szCs w:val="20"/>
        </w:rPr>
        <w:t xml:space="preserve"> uncertain. In addition, the United States has recently enacted and is currently implementing wide-ranging patent reform legislation. Recent U.S. Supreme Court rulings have narrowed the scope of patent protection available in certain circumstances and weak</w:t>
      </w:r>
      <w:r>
        <w:rPr>
          <w:sz w:val="20"/>
          <w:szCs w:val="20"/>
        </w:rPr>
        <w:t xml:space="preserve">ened the rights of patent owners in certain situations. In addition to increasing uncertainty with regard to our ability to obtain patents in the future, this combination of events has created uncertainty with respect to </w:t>
      </w:r>
    </w:p>
    <w:p w:rsidR="00000000" w:rsidRDefault="00FF2C06">
      <w:pPr>
        <w:pStyle w:val="a3"/>
        <w:spacing w:before="480" w:beforeAutospacing="0" w:after="0" w:afterAutospacing="0"/>
        <w:jc w:val="center"/>
        <w:divId w:val="531918657"/>
        <w:rPr>
          <w:sz w:val="20"/>
          <w:szCs w:val="20"/>
        </w:rPr>
      </w:pPr>
      <w:r>
        <w:rPr>
          <w:sz w:val="20"/>
          <w:szCs w:val="20"/>
        </w:rPr>
        <w:t>75</w:t>
      </w:r>
    </w:p>
    <w:p w:rsidR="00000000" w:rsidRDefault="00FF2C06">
      <w:pPr>
        <w:pStyle w:val="a3"/>
        <w:spacing w:before="0" w:beforeAutospacing="0" w:after="600" w:afterAutospacing="0"/>
        <w:divId w:val="1314409950"/>
        <w:rPr>
          <w:sz w:val="20"/>
          <w:szCs w:val="20"/>
        </w:rPr>
      </w:pPr>
      <w:hyperlink w:anchor="TOC" w:history="1">
        <w:r>
          <w:rPr>
            <w:rStyle w:val="a4"/>
            <w:sz w:val="20"/>
            <w:szCs w:val="20"/>
          </w:rPr>
          <w:t>Table</w:t>
        </w:r>
        <w:r>
          <w:rPr>
            <w:rStyle w:val="a4"/>
            <w:sz w:val="20"/>
            <w:szCs w:val="20"/>
          </w:rPr>
          <w:t xml:space="preserve"> of Contents</w:t>
        </w:r>
      </w:hyperlink>
    </w:p>
    <w:p w:rsidR="00000000" w:rsidRDefault="00FF2C06">
      <w:pPr>
        <w:pStyle w:val="a3"/>
        <w:spacing w:before="0" w:beforeAutospacing="0" w:after="200" w:afterAutospacing="0"/>
        <w:divId w:val="1252620887"/>
        <w:rPr>
          <w:sz w:val="20"/>
          <w:szCs w:val="20"/>
        </w:rPr>
      </w:pPr>
      <w:r>
        <w:rPr>
          <w:sz w:val="20"/>
          <w:szCs w:val="20"/>
        </w:rPr>
        <w:t>the value of patents, once obtained. Depending on decisions by the U.S. Congress, the federal courts, and the USPTO, the laws and regulations governing patents could change in unpredictable ways that would weaken our ability to obtain new pate</w:t>
      </w:r>
      <w:r>
        <w:rPr>
          <w:sz w:val="20"/>
          <w:szCs w:val="20"/>
        </w:rPr>
        <w:t>nts or to enforce our existing patents and patents that we might obtain in the future. While we do not believe that any of the patents owned or licensed by us will be found invalid based on this decision, we cannot predict how future decisions by the court</w:t>
      </w:r>
      <w:r>
        <w:rPr>
          <w:sz w:val="20"/>
          <w:szCs w:val="20"/>
        </w:rPr>
        <w:t>s, the U.S. Congress or the USPTO may impact the value of our patents.</w:t>
      </w:r>
    </w:p>
    <w:p w:rsidR="00000000" w:rsidRDefault="00FF2C06">
      <w:pPr>
        <w:pStyle w:val="a3"/>
        <w:spacing w:before="0" w:beforeAutospacing="0" w:after="200" w:afterAutospacing="0"/>
        <w:ind w:firstLine="540"/>
        <w:divId w:val="1252620887"/>
        <w:rPr>
          <w:sz w:val="20"/>
          <w:szCs w:val="20"/>
        </w:rPr>
      </w:pPr>
      <w:r>
        <w:rPr>
          <w:b/>
          <w:bCs/>
          <w:i/>
          <w:iCs/>
          <w:sz w:val="20"/>
          <w:szCs w:val="20"/>
        </w:rPr>
        <w:t>We have limited foreign intellectual property rights and may not be able to protect our intellectual property rights throughout the world.</w:t>
      </w:r>
    </w:p>
    <w:p w:rsidR="00000000" w:rsidRDefault="00FF2C06">
      <w:pPr>
        <w:pStyle w:val="a3"/>
        <w:spacing w:before="0" w:beforeAutospacing="0" w:after="200" w:afterAutospacing="0"/>
        <w:ind w:firstLine="540"/>
        <w:divId w:val="1252620887"/>
        <w:rPr>
          <w:sz w:val="20"/>
          <w:szCs w:val="20"/>
        </w:rPr>
      </w:pPr>
      <w:r>
        <w:rPr>
          <w:sz w:val="20"/>
          <w:szCs w:val="20"/>
        </w:rPr>
        <w:t>We have limited intellectual property rights o</w:t>
      </w:r>
      <w:r>
        <w:rPr>
          <w:sz w:val="20"/>
          <w:szCs w:val="20"/>
        </w:rPr>
        <w:t>utside the United States. Filing, prosecuting and defending patents on product candidates in all countries throughout the world would be prohibitively expensive, and our intellectual property rights in some countries outside the United States can be less e</w:t>
      </w:r>
      <w:r>
        <w:rPr>
          <w:sz w:val="20"/>
          <w:szCs w:val="20"/>
        </w:rPr>
        <w:t>xtensive than those in the United States. In addition, the laws of some foreign countries do not protect intellectual property rights to the same extent as federal and state laws in the United States. Consequently, we may not be able to prevent third parti</w:t>
      </w:r>
      <w:r>
        <w:rPr>
          <w:sz w:val="20"/>
          <w:szCs w:val="20"/>
        </w:rPr>
        <w:t xml:space="preserve">es from practicing our inventions in all countries outside the United States, or from selling or importing products made using our inventions in and into the United States or other jurisdictions. Competitors may use our technologies in jurisdictions where </w:t>
      </w:r>
      <w:r>
        <w:rPr>
          <w:sz w:val="20"/>
          <w:szCs w:val="20"/>
        </w:rPr>
        <w:t>we have not obtained patent protection to develop their own products and further, may export otherwise infringing products to territories where we have patent protection, but enforcement is not as strong as that in the United States. These products may com</w:t>
      </w:r>
      <w:r>
        <w:rPr>
          <w:sz w:val="20"/>
          <w:szCs w:val="20"/>
        </w:rPr>
        <w:t>pete with our products and our patents or other intellectual property rights may not be effective or sufficient to prevent them from competing.</w:t>
      </w:r>
    </w:p>
    <w:p w:rsidR="00000000" w:rsidRDefault="00FF2C06">
      <w:pPr>
        <w:pStyle w:val="a3"/>
        <w:spacing w:before="0" w:beforeAutospacing="0" w:after="200" w:afterAutospacing="0"/>
        <w:ind w:firstLine="540"/>
        <w:divId w:val="1252620887"/>
        <w:rPr>
          <w:sz w:val="20"/>
          <w:szCs w:val="20"/>
        </w:rPr>
      </w:pPr>
      <w:r>
        <w:rPr>
          <w:sz w:val="20"/>
          <w:szCs w:val="20"/>
        </w:rPr>
        <w:t>Many companies have encountered significant problems in protecting and defending intellectual property rights in</w:t>
      </w:r>
      <w:r>
        <w:rPr>
          <w:sz w:val="20"/>
          <w:szCs w:val="20"/>
        </w:rPr>
        <w:t xml:space="preserve"> foreign jurisdictions. The legal systems of certain countries, particularly certain developing countries, do not favor the enforcement of patents, trade secrets and other intellectual property protection, particularly those relating to biopharmaceutical p</w:t>
      </w:r>
      <w:r>
        <w:rPr>
          <w:sz w:val="20"/>
          <w:szCs w:val="20"/>
        </w:rPr>
        <w:t>roducts, which could make it difficult for us to stop the infringement of our patents or marketing of competing products in violation of our proprietary rights generally. Proceedings to enforce our patent rights in foreign jurisdictions could result in sub</w:t>
      </w:r>
      <w:r>
        <w:rPr>
          <w:sz w:val="20"/>
          <w:szCs w:val="20"/>
        </w:rPr>
        <w:t xml:space="preserve">stantial costs and divert our efforts and attention from other aspects of our business, could put our patents at risk of being invalidated or interpreted narrowly and our patent applications at risk of not issuing and could provoke third parties to assert </w:t>
      </w:r>
      <w:r>
        <w:rPr>
          <w:sz w:val="20"/>
          <w:szCs w:val="20"/>
        </w:rPr>
        <w:t>claims against us. We may not prevail in any lawsuits that we initiate, and the damages or other remedies awarded, if any, may not be commercially meaningful. Accordingly, our efforts to enforce our intellectual property rights around the world may be inad</w:t>
      </w:r>
      <w:r>
        <w:rPr>
          <w:sz w:val="20"/>
          <w:szCs w:val="20"/>
        </w:rPr>
        <w:t>equate to obtain a significant commercial advantage from the intellectual property that we develop or license.</w:t>
      </w:r>
    </w:p>
    <w:p w:rsidR="00000000" w:rsidRDefault="00FF2C06">
      <w:pPr>
        <w:pStyle w:val="a3"/>
        <w:spacing w:before="0" w:beforeAutospacing="0" w:after="200" w:afterAutospacing="0"/>
        <w:ind w:firstLine="540"/>
        <w:divId w:val="1252620887"/>
        <w:rPr>
          <w:sz w:val="20"/>
          <w:szCs w:val="20"/>
        </w:rPr>
      </w:pPr>
      <w:r>
        <w:rPr>
          <w:b/>
          <w:bCs/>
          <w:i/>
          <w:iCs/>
          <w:sz w:val="20"/>
          <w:szCs w:val="20"/>
        </w:rPr>
        <w:t>We may be subject to claims that our employees, consultants or independent contractors have wrongfully used or disclosed confidential information</w:t>
      </w:r>
      <w:r>
        <w:rPr>
          <w:b/>
          <w:bCs/>
          <w:i/>
          <w:iCs/>
          <w:sz w:val="20"/>
          <w:szCs w:val="20"/>
        </w:rPr>
        <w:t xml:space="preserve"> of third parties.</w:t>
      </w:r>
    </w:p>
    <w:p w:rsidR="00000000" w:rsidRDefault="00FF2C06">
      <w:pPr>
        <w:pStyle w:val="a3"/>
        <w:spacing w:before="0" w:beforeAutospacing="0" w:after="200" w:afterAutospacing="0"/>
        <w:ind w:firstLine="547"/>
        <w:divId w:val="1252620887"/>
        <w:rPr>
          <w:sz w:val="20"/>
          <w:szCs w:val="20"/>
        </w:rPr>
      </w:pPr>
      <w:r>
        <w:rPr>
          <w:sz w:val="20"/>
          <w:szCs w:val="20"/>
        </w:rPr>
        <w:t>We have received confidential and proprietary information from third parties and our employees and contractors. In addition, we employ individuals who were previously employed at other biotechnology or pharmaceutical companies. We may be</w:t>
      </w:r>
      <w:r>
        <w:rPr>
          <w:sz w:val="20"/>
          <w:szCs w:val="20"/>
        </w:rPr>
        <w:t xml:space="preserve"> subject to claims that we or our employees, consultants or independent contractors have inadvertently or otherwise used or disclosed confidential information of these third parties or our employees’ former employers. Litigation may be necessary to defend </w:t>
      </w:r>
      <w:r>
        <w:rPr>
          <w:sz w:val="20"/>
          <w:szCs w:val="20"/>
        </w:rPr>
        <w:t>against or pursue these claims. For example, we are currently engaged in litigation involving counterclaims that we have brought relating to theft of certain of our trade secrets, breach of confidentiality, and related counterclaims. Even if we are success</w:t>
      </w:r>
      <w:r>
        <w:rPr>
          <w:sz w:val="20"/>
          <w:szCs w:val="20"/>
        </w:rPr>
        <w:t>ful in resolving these claims, litigation could result in substantial cost and be a distraction to our management and employees.</w:t>
      </w:r>
    </w:p>
    <w:p w:rsidR="00000000" w:rsidRDefault="00FF2C06">
      <w:pPr>
        <w:pStyle w:val="a3"/>
        <w:spacing w:before="0" w:beforeAutospacing="0" w:after="200" w:afterAutospacing="0"/>
        <w:divId w:val="1252620887"/>
        <w:rPr>
          <w:sz w:val="20"/>
          <w:szCs w:val="20"/>
        </w:rPr>
      </w:pPr>
      <w:r>
        <w:rPr>
          <w:b/>
          <w:bCs/>
          <w:sz w:val="20"/>
          <w:szCs w:val="20"/>
        </w:rPr>
        <w:t>Risks Related to Our Securities</w:t>
      </w:r>
    </w:p>
    <w:p w:rsidR="00000000" w:rsidRDefault="00FF2C06">
      <w:pPr>
        <w:pStyle w:val="a3"/>
        <w:spacing w:before="0" w:beforeAutospacing="0" w:after="200" w:afterAutospacing="0"/>
        <w:ind w:firstLine="547"/>
        <w:divId w:val="1252620887"/>
        <w:rPr>
          <w:sz w:val="20"/>
          <w:szCs w:val="20"/>
        </w:rPr>
      </w:pPr>
      <w:r>
        <w:rPr>
          <w:b/>
          <w:bCs/>
          <w:i/>
          <w:iCs/>
          <w:sz w:val="20"/>
          <w:szCs w:val="20"/>
        </w:rPr>
        <w:t>Our officers, directors and principal stockholders own a substantial percentage of our stock an</w:t>
      </w:r>
      <w:r>
        <w:rPr>
          <w:b/>
          <w:bCs/>
          <w:i/>
          <w:iCs/>
          <w:sz w:val="20"/>
          <w:szCs w:val="20"/>
        </w:rPr>
        <w:t>d will be able to exert significant control over matters subject to stockholder approval.*</w:t>
      </w:r>
    </w:p>
    <w:p w:rsidR="00000000" w:rsidRDefault="00FF2C06">
      <w:pPr>
        <w:pStyle w:val="a3"/>
        <w:spacing w:before="0" w:beforeAutospacing="0" w:after="0" w:afterAutospacing="0"/>
        <w:ind w:firstLine="547"/>
        <w:divId w:val="1252620887"/>
        <w:rPr>
          <w:sz w:val="20"/>
          <w:szCs w:val="20"/>
        </w:rPr>
      </w:pPr>
      <w:r>
        <w:rPr>
          <w:sz w:val="20"/>
          <w:szCs w:val="20"/>
        </w:rPr>
        <w:t>Our officers, directors, and principal stockholders currently beneficially own a substantial portion of our outstanding voting stock. Therefore, these stockholders h</w:t>
      </w:r>
      <w:r>
        <w:rPr>
          <w:sz w:val="20"/>
          <w:szCs w:val="20"/>
        </w:rPr>
        <w:t>ave the ability and may continue to have the ability to influence our corporate decision making. Given current ownership levels, these stockholders may be able to determine some or all matters requiring stockholder approval. For example, these stockholders</w:t>
      </w:r>
      <w:r>
        <w:rPr>
          <w:sz w:val="20"/>
          <w:szCs w:val="20"/>
        </w:rPr>
        <w:t xml:space="preserve">, acting together, may be able to control elections of directors, amendments to our certificate of incorporation or bylaws, or approval of any merger, sale of assets, or other major corporate transaction. This level of control may </w:t>
      </w:r>
    </w:p>
    <w:p w:rsidR="00000000" w:rsidRDefault="00FF2C06">
      <w:pPr>
        <w:pStyle w:val="a3"/>
        <w:spacing w:before="480" w:beforeAutospacing="0" w:after="0" w:afterAutospacing="0"/>
        <w:jc w:val="center"/>
        <w:divId w:val="216556562"/>
        <w:rPr>
          <w:sz w:val="20"/>
          <w:szCs w:val="20"/>
        </w:rPr>
      </w:pPr>
      <w:r>
        <w:rPr>
          <w:sz w:val="20"/>
          <w:szCs w:val="20"/>
        </w:rPr>
        <w:t>76</w:t>
      </w:r>
    </w:p>
    <w:p w:rsidR="00000000" w:rsidRDefault="00FF2C06">
      <w:pPr>
        <w:pStyle w:val="a3"/>
        <w:spacing w:before="0" w:beforeAutospacing="0" w:after="600" w:afterAutospacing="0"/>
        <w:divId w:val="118493437"/>
        <w:rPr>
          <w:sz w:val="20"/>
          <w:szCs w:val="20"/>
        </w:rPr>
      </w:pPr>
      <w:hyperlink w:anchor="TOC" w:history="1">
        <w:r>
          <w:rPr>
            <w:rStyle w:val="a4"/>
            <w:sz w:val="20"/>
            <w:szCs w:val="20"/>
          </w:rPr>
          <w:t>Table of Contents</w:t>
        </w:r>
      </w:hyperlink>
    </w:p>
    <w:p w:rsidR="00000000" w:rsidRDefault="00FF2C06">
      <w:pPr>
        <w:pStyle w:val="a3"/>
        <w:spacing w:before="0" w:beforeAutospacing="0" w:after="200" w:afterAutospacing="0"/>
        <w:divId w:val="938290302"/>
        <w:rPr>
          <w:sz w:val="20"/>
          <w:szCs w:val="20"/>
        </w:rPr>
      </w:pPr>
      <w:r>
        <w:rPr>
          <w:sz w:val="20"/>
          <w:szCs w:val="20"/>
        </w:rPr>
        <w:t>prevent or discourage unsolicited acquisition proposals or offers for our common stock that you may believe are in your best interest as one of our stockholders.</w:t>
      </w:r>
    </w:p>
    <w:p w:rsidR="00000000" w:rsidRDefault="00FF2C06">
      <w:pPr>
        <w:pStyle w:val="a3"/>
        <w:spacing w:before="0" w:beforeAutospacing="0" w:after="200" w:afterAutospacing="0"/>
        <w:ind w:firstLine="547"/>
        <w:divId w:val="938290302"/>
        <w:rPr>
          <w:sz w:val="20"/>
          <w:szCs w:val="20"/>
        </w:rPr>
      </w:pPr>
      <w:r>
        <w:rPr>
          <w:b/>
          <w:bCs/>
          <w:i/>
          <w:iCs/>
          <w:sz w:val="20"/>
          <w:szCs w:val="20"/>
        </w:rPr>
        <w:t>Our stock price may be volatile, and our stockholders' investment in ou</w:t>
      </w:r>
      <w:r>
        <w:rPr>
          <w:b/>
          <w:bCs/>
          <w:i/>
          <w:iCs/>
          <w:sz w:val="20"/>
          <w:szCs w:val="20"/>
        </w:rPr>
        <w:t>r stock could decline in value.</w:t>
      </w:r>
    </w:p>
    <w:p w:rsidR="00000000" w:rsidRDefault="00FF2C06">
      <w:pPr>
        <w:pStyle w:val="a3"/>
        <w:spacing w:before="0" w:beforeAutospacing="0" w:after="200" w:afterAutospacing="0"/>
        <w:ind w:firstLine="594"/>
        <w:divId w:val="938290302"/>
        <w:rPr>
          <w:sz w:val="20"/>
          <w:szCs w:val="20"/>
        </w:rPr>
      </w:pPr>
      <w:r>
        <w:rPr>
          <w:sz w:val="20"/>
          <w:szCs w:val="20"/>
        </w:rPr>
        <w:t>The market price of our common stock is likely to be volatile and could fluctuate widely in response to many factors, including but not limited to:</w:t>
      </w: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938290302"/>
        </w:trPr>
        <w:tc>
          <w:tcPr>
            <w:tcW w:w="547" w:type="dxa"/>
            <w:vAlign w:val="center"/>
            <w:hideMark/>
          </w:tcPr>
          <w:p w:rsidR="00000000" w:rsidRDefault="00FF2C06">
            <w:pPr>
              <w:rPr>
                <w:sz w:val="20"/>
                <w:szCs w:val="20"/>
              </w:rPr>
            </w:pPr>
          </w:p>
        </w:tc>
        <w:tc>
          <w:tcPr>
            <w:tcW w:w="360" w:type="dxa"/>
            <w:noWrap/>
            <w:tcMar>
              <w:top w:w="0" w:type="dxa"/>
              <w:left w:w="0" w:type="dxa"/>
              <w:bottom w:w="0" w:type="dxa"/>
              <w:right w:w="0" w:type="dxa"/>
            </w:tcMar>
            <w:hideMark/>
          </w:tcPr>
          <w:p w:rsidR="00000000" w:rsidRDefault="00FF2C0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C06">
            <w:pPr>
              <w:rPr>
                <w:rFonts w:eastAsia="Times New Roman"/>
                <w:sz w:val="20"/>
                <w:szCs w:val="20"/>
              </w:rPr>
            </w:pPr>
            <w:r>
              <w:rPr>
                <w:rFonts w:eastAsia="Times New Roman"/>
                <w:color w:val="000000"/>
                <w:sz w:val="20"/>
                <w:szCs w:val="20"/>
              </w:rPr>
              <w:t>volatility and instability in the capital markets due to the COVID-19 Pandemic;</w:t>
            </w:r>
          </w:p>
        </w:tc>
      </w:tr>
    </w:tbl>
    <w:p w:rsidR="00000000" w:rsidRDefault="00FF2C06">
      <w:pPr>
        <w:divId w:val="93829030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938290302"/>
        </w:trPr>
        <w:tc>
          <w:tcPr>
            <w:tcW w:w="547" w:type="dxa"/>
            <w:vAlign w:val="center"/>
            <w:hideMark/>
          </w:tcPr>
          <w:p w:rsidR="00000000" w:rsidRDefault="00FF2C06">
            <w:pPr>
              <w:rPr>
                <w:rFonts w:eastAsia="Times New Roman"/>
              </w:rPr>
            </w:pPr>
          </w:p>
        </w:tc>
        <w:tc>
          <w:tcPr>
            <w:tcW w:w="360" w:type="dxa"/>
            <w:noWrap/>
            <w:tcMar>
              <w:top w:w="0" w:type="dxa"/>
              <w:left w:w="0" w:type="dxa"/>
              <w:bottom w:w="0" w:type="dxa"/>
              <w:right w:w="0" w:type="dxa"/>
            </w:tcMar>
            <w:hideMark/>
          </w:tcPr>
          <w:p w:rsidR="00000000" w:rsidRDefault="00FF2C0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C06">
            <w:pPr>
              <w:rPr>
                <w:rFonts w:eastAsia="Times New Roman"/>
                <w:sz w:val="20"/>
                <w:szCs w:val="20"/>
              </w:rPr>
            </w:pPr>
            <w:r>
              <w:rPr>
                <w:rFonts w:eastAsia="Times New Roman"/>
                <w:color w:val="000000"/>
                <w:sz w:val="20"/>
                <w:szCs w:val="20"/>
              </w:rPr>
              <w:t>announcements of the results of clinical trials by us, our collaborators, or our competitors, or negative developments with respect to similar products, including those being developed by our collaborators;</w:t>
            </w:r>
          </w:p>
        </w:tc>
      </w:tr>
    </w:tbl>
    <w:p w:rsidR="00000000" w:rsidRDefault="00FF2C06">
      <w:pPr>
        <w:divId w:val="93829030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938290302"/>
        </w:trPr>
        <w:tc>
          <w:tcPr>
            <w:tcW w:w="547" w:type="dxa"/>
            <w:vAlign w:val="center"/>
            <w:hideMark/>
          </w:tcPr>
          <w:p w:rsidR="00000000" w:rsidRDefault="00FF2C06">
            <w:pPr>
              <w:rPr>
                <w:rFonts w:eastAsia="Times New Roman"/>
              </w:rPr>
            </w:pPr>
          </w:p>
        </w:tc>
        <w:tc>
          <w:tcPr>
            <w:tcW w:w="360" w:type="dxa"/>
            <w:noWrap/>
            <w:tcMar>
              <w:top w:w="0" w:type="dxa"/>
              <w:left w:w="0" w:type="dxa"/>
              <w:bottom w:w="0" w:type="dxa"/>
              <w:right w:w="0" w:type="dxa"/>
            </w:tcMar>
            <w:hideMark/>
          </w:tcPr>
          <w:p w:rsidR="00000000" w:rsidRDefault="00FF2C0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C06">
            <w:pPr>
              <w:rPr>
                <w:rFonts w:eastAsia="Times New Roman"/>
                <w:sz w:val="20"/>
                <w:szCs w:val="20"/>
              </w:rPr>
            </w:pPr>
            <w:r>
              <w:rPr>
                <w:rFonts w:eastAsia="Times New Roman"/>
                <w:color w:val="000000"/>
                <w:sz w:val="20"/>
                <w:szCs w:val="20"/>
              </w:rPr>
              <w:t>developments with respect to patents or prop</w:t>
            </w:r>
            <w:r>
              <w:rPr>
                <w:rFonts w:eastAsia="Times New Roman"/>
                <w:color w:val="000000"/>
                <w:sz w:val="20"/>
                <w:szCs w:val="20"/>
              </w:rPr>
              <w:t>rietary rights;</w:t>
            </w:r>
          </w:p>
        </w:tc>
      </w:tr>
    </w:tbl>
    <w:p w:rsidR="00000000" w:rsidRDefault="00FF2C06">
      <w:pPr>
        <w:divId w:val="93829030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938290302"/>
        </w:trPr>
        <w:tc>
          <w:tcPr>
            <w:tcW w:w="547" w:type="dxa"/>
            <w:vAlign w:val="center"/>
            <w:hideMark/>
          </w:tcPr>
          <w:p w:rsidR="00000000" w:rsidRDefault="00FF2C06">
            <w:pPr>
              <w:rPr>
                <w:rFonts w:eastAsia="Times New Roman"/>
              </w:rPr>
            </w:pPr>
          </w:p>
        </w:tc>
        <w:tc>
          <w:tcPr>
            <w:tcW w:w="360" w:type="dxa"/>
            <w:noWrap/>
            <w:tcMar>
              <w:top w:w="0" w:type="dxa"/>
              <w:left w:w="0" w:type="dxa"/>
              <w:bottom w:w="0" w:type="dxa"/>
              <w:right w:w="0" w:type="dxa"/>
            </w:tcMar>
            <w:hideMark/>
          </w:tcPr>
          <w:p w:rsidR="00000000" w:rsidRDefault="00FF2C0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C06">
            <w:pPr>
              <w:rPr>
                <w:rFonts w:eastAsia="Times New Roman"/>
                <w:sz w:val="20"/>
                <w:szCs w:val="20"/>
              </w:rPr>
            </w:pPr>
            <w:r>
              <w:rPr>
                <w:rFonts w:eastAsia="Times New Roman"/>
                <w:color w:val="000000"/>
                <w:sz w:val="20"/>
                <w:szCs w:val="20"/>
              </w:rPr>
              <w:t>announcements of technological innovations by us or our competitors;</w:t>
            </w:r>
          </w:p>
        </w:tc>
      </w:tr>
    </w:tbl>
    <w:p w:rsidR="00000000" w:rsidRDefault="00FF2C06">
      <w:pPr>
        <w:divId w:val="93829030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938290302"/>
        </w:trPr>
        <w:tc>
          <w:tcPr>
            <w:tcW w:w="547" w:type="dxa"/>
            <w:vAlign w:val="center"/>
            <w:hideMark/>
          </w:tcPr>
          <w:p w:rsidR="00000000" w:rsidRDefault="00FF2C06">
            <w:pPr>
              <w:rPr>
                <w:rFonts w:eastAsia="Times New Roman"/>
              </w:rPr>
            </w:pPr>
          </w:p>
        </w:tc>
        <w:tc>
          <w:tcPr>
            <w:tcW w:w="360" w:type="dxa"/>
            <w:noWrap/>
            <w:tcMar>
              <w:top w:w="0" w:type="dxa"/>
              <w:left w:w="0" w:type="dxa"/>
              <w:bottom w:w="0" w:type="dxa"/>
              <w:right w:w="0" w:type="dxa"/>
            </w:tcMar>
            <w:hideMark/>
          </w:tcPr>
          <w:p w:rsidR="00000000" w:rsidRDefault="00FF2C0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C06">
            <w:pPr>
              <w:rPr>
                <w:rFonts w:eastAsia="Times New Roman"/>
                <w:sz w:val="20"/>
                <w:szCs w:val="20"/>
              </w:rPr>
            </w:pPr>
            <w:r>
              <w:rPr>
                <w:rFonts w:eastAsia="Times New Roman"/>
                <w:color w:val="000000"/>
                <w:sz w:val="20"/>
                <w:szCs w:val="20"/>
              </w:rPr>
              <w:t>announcements of new products or new contracts by us or our competitors;</w:t>
            </w:r>
          </w:p>
        </w:tc>
      </w:tr>
    </w:tbl>
    <w:p w:rsidR="00000000" w:rsidRDefault="00FF2C06">
      <w:pPr>
        <w:divId w:val="93829030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938290302"/>
        </w:trPr>
        <w:tc>
          <w:tcPr>
            <w:tcW w:w="547" w:type="dxa"/>
            <w:vAlign w:val="center"/>
            <w:hideMark/>
          </w:tcPr>
          <w:p w:rsidR="00000000" w:rsidRDefault="00FF2C06">
            <w:pPr>
              <w:rPr>
                <w:rFonts w:eastAsia="Times New Roman"/>
              </w:rPr>
            </w:pPr>
          </w:p>
        </w:tc>
        <w:tc>
          <w:tcPr>
            <w:tcW w:w="360" w:type="dxa"/>
            <w:noWrap/>
            <w:tcMar>
              <w:top w:w="0" w:type="dxa"/>
              <w:left w:w="0" w:type="dxa"/>
              <w:bottom w:w="0" w:type="dxa"/>
              <w:right w:w="0" w:type="dxa"/>
            </w:tcMar>
            <w:hideMark/>
          </w:tcPr>
          <w:p w:rsidR="00000000" w:rsidRDefault="00FF2C0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C06">
            <w:pPr>
              <w:rPr>
                <w:rFonts w:eastAsia="Times New Roman"/>
                <w:sz w:val="20"/>
                <w:szCs w:val="20"/>
              </w:rPr>
            </w:pPr>
            <w:r>
              <w:rPr>
                <w:rFonts w:eastAsia="Times New Roman"/>
                <w:color w:val="000000"/>
                <w:sz w:val="20"/>
                <w:szCs w:val="20"/>
              </w:rPr>
              <w:t>actual or anticipated variations in our operating results due to the level of development expenses and other factors;</w:t>
            </w:r>
          </w:p>
        </w:tc>
      </w:tr>
    </w:tbl>
    <w:p w:rsidR="00000000" w:rsidRDefault="00FF2C06">
      <w:pPr>
        <w:divId w:val="93829030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938290302"/>
        </w:trPr>
        <w:tc>
          <w:tcPr>
            <w:tcW w:w="547" w:type="dxa"/>
            <w:vAlign w:val="center"/>
            <w:hideMark/>
          </w:tcPr>
          <w:p w:rsidR="00000000" w:rsidRDefault="00FF2C06">
            <w:pPr>
              <w:rPr>
                <w:rFonts w:eastAsia="Times New Roman"/>
              </w:rPr>
            </w:pPr>
          </w:p>
        </w:tc>
        <w:tc>
          <w:tcPr>
            <w:tcW w:w="360" w:type="dxa"/>
            <w:noWrap/>
            <w:tcMar>
              <w:top w:w="0" w:type="dxa"/>
              <w:left w:w="0" w:type="dxa"/>
              <w:bottom w:w="0" w:type="dxa"/>
              <w:right w:w="0" w:type="dxa"/>
            </w:tcMar>
            <w:hideMark/>
          </w:tcPr>
          <w:p w:rsidR="00000000" w:rsidRDefault="00FF2C0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C06">
            <w:pPr>
              <w:rPr>
                <w:rFonts w:eastAsia="Times New Roman"/>
                <w:sz w:val="20"/>
                <w:szCs w:val="20"/>
              </w:rPr>
            </w:pPr>
            <w:r>
              <w:rPr>
                <w:rFonts w:eastAsia="Times New Roman"/>
                <w:color w:val="000000"/>
                <w:sz w:val="20"/>
                <w:szCs w:val="20"/>
              </w:rPr>
              <w:t>changes in financial estimates by equities research analysts and whether our earnings meet or exceed such estimates;</w:t>
            </w:r>
          </w:p>
        </w:tc>
      </w:tr>
    </w:tbl>
    <w:p w:rsidR="00000000" w:rsidRDefault="00FF2C06">
      <w:pPr>
        <w:divId w:val="93829030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938290302"/>
        </w:trPr>
        <w:tc>
          <w:tcPr>
            <w:tcW w:w="547" w:type="dxa"/>
            <w:vAlign w:val="center"/>
            <w:hideMark/>
          </w:tcPr>
          <w:p w:rsidR="00000000" w:rsidRDefault="00FF2C06">
            <w:pPr>
              <w:rPr>
                <w:rFonts w:eastAsia="Times New Roman"/>
              </w:rPr>
            </w:pPr>
          </w:p>
        </w:tc>
        <w:tc>
          <w:tcPr>
            <w:tcW w:w="360" w:type="dxa"/>
            <w:noWrap/>
            <w:tcMar>
              <w:top w:w="0" w:type="dxa"/>
              <w:left w:w="0" w:type="dxa"/>
              <w:bottom w:w="0" w:type="dxa"/>
              <w:right w:w="0" w:type="dxa"/>
            </w:tcMar>
            <w:hideMark/>
          </w:tcPr>
          <w:p w:rsidR="00000000" w:rsidRDefault="00FF2C0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C06">
            <w:pPr>
              <w:rPr>
                <w:rFonts w:eastAsia="Times New Roman"/>
                <w:sz w:val="20"/>
                <w:szCs w:val="20"/>
              </w:rPr>
            </w:pPr>
            <w:r>
              <w:rPr>
                <w:rFonts w:eastAsia="Times New Roman"/>
                <w:color w:val="000000"/>
                <w:sz w:val="20"/>
                <w:szCs w:val="20"/>
              </w:rPr>
              <w:t xml:space="preserve">conditions </w:t>
            </w:r>
            <w:r>
              <w:rPr>
                <w:rFonts w:eastAsia="Times New Roman"/>
                <w:color w:val="000000"/>
                <w:sz w:val="20"/>
                <w:szCs w:val="20"/>
              </w:rPr>
              <w:t>and trends in the pharmaceutical, biotechnology and other industries;</w:t>
            </w:r>
          </w:p>
        </w:tc>
      </w:tr>
    </w:tbl>
    <w:p w:rsidR="00000000" w:rsidRDefault="00FF2C06">
      <w:pPr>
        <w:divId w:val="93829030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938290302"/>
        </w:trPr>
        <w:tc>
          <w:tcPr>
            <w:tcW w:w="547" w:type="dxa"/>
            <w:vAlign w:val="center"/>
            <w:hideMark/>
          </w:tcPr>
          <w:p w:rsidR="00000000" w:rsidRDefault="00FF2C06">
            <w:pPr>
              <w:rPr>
                <w:rFonts w:eastAsia="Times New Roman"/>
              </w:rPr>
            </w:pPr>
          </w:p>
        </w:tc>
        <w:tc>
          <w:tcPr>
            <w:tcW w:w="360" w:type="dxa"/>
            <w:noWrap/>
            <w:tcMar>
              <w:top w:w="0" w:type="dxa"/>
              <w:left w:w="0" w:type="dxa"/>
              <w:bottom w:w="0" w:type="dxa"/>
              <w:right w:w="0" w:type="dxa"/>
            </w:tcMar>
            <w:hideMark/>
          </w:tcPr>
          <w:p w:rsidR="00000000" w:rsidRDefault="00FF2C0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C06">
            <w:pPr>
              <w:rPr>
                <w:rFonts w:eastAsia="Times New Roman"/>
                <w:sz w:val="20"/>
                <w:szCs w:val="20"/>
              </w:rPr>
            </w:pPr>
            <w:r>
              <w:rPr>
                <w:rFonts w:eastAsia="Times New Roman"/>
                <w:color w:val="000000"/>
                <w:sz w:val="20"/>
                <w:szCs w:val="20"/>
              </w:rPr>
              <w:t>receipt, or lack of receipt, of funding in support of conducing our business;</w:t>
            </w:r>
          </w:p>
        </w:tc>
      </w:tr>
    </w:tbl>
    <w:p w:rsidR="00000000" w:rsidRDefault="00FF2C06">
      <w:pPr>
        <w:divId w:val="93829030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938290302"/>
        </w:trPr>
        <w:tc>
          <w:tcPr>
            <w:tcW w:w="547" w:type="dxa"/>
            <w:vAlign w:val="center"/>
            <w:hideMark/>
          </w:tcPr>
          <w:p w:rsidR="00000000" w:rsidRDefault="00FF2C06">
            <w:pPr>
              <w:rPr>
                <w:rFonts w:eastAsia="Times New Roman"/>
              </w:rPr>
            </w:pPr>
          </w:p>
        </w:tc>
        <w:tc>
          <w:tcPr>
            <w:tcW w:w="360" w:type="dxa"/>
            <w:noWrap/>
            <w:tcMar>
              <w:top w:w="0" w:type="dxa"/>
              <w:left w:w="0" w:type="dxa"/>
              <w:bottom w:w="0" w:type="dxa"/>
              <w:right w:w="0" w:type="dxa"/>
            </w:tcMar>
            <w:hideMark/>
          </w:tcPr>
          <w:p w:rsidR="00000000" w:rsidRDefault="00FF2C0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C06">
            <w:pPr>
              <w:rPr>
                <w:rFonts w:eastAsia="Times New Roman"/>
                <w:sz w:val="20"/>
                <w:szCs w:val="20"/>
              </w:rPr>
            </w:pPr>
            <w:r>
              <w:rPr>
                <w:rFonts w:eastAsia="Times New Roman"/>
                <w:color w:val="000000"/>
                <w:sz w:val="20"/>
                <w:szCs w:val="20"/>
              </w:rPr>
              <w:t>regulatory developments within, and outside of, the United States;</w:t>
            </w:r>
          </w:p>
        </w:tc>
      </w:tr>
    </w:tbl>
    <w:p w:rsidR="00000000" w:rsidRDefault="00FF2C06">
      <w:pPr>
        <w:divId w:val="93829030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938290302"/>
        </w:trPr>
        <w:tc>
          <w:tcPr>
            <w:tcW w:w="547" w:type="dxa"/>
            <w:vAlign w:val="center"/>
            <w:hideMark/>
          </w:tcPr>
          <w:p w:rsidR="00000000" w:rsidRDefault="00FF2C06">
            <w:pPr>
              <w:rPr>
                <w:rFonts w:eastAsia="Times New Roman"/>
              </w:rPr>
            </w:pPr>
          </w:p>
        </w:tc>
        <w:tc>
          <w:tcPr>
            <w:tcW w:w="360" w:type="dxa"/>
            <w:noWrap/>
            <w:tcMar>
              <w:top w:w="0" w:type="dxa"/>
              <w:left w:w="0" w:type="dxa"/>
              <w:bottom w:w="0" w:type="dxa"/>
              <w:right w:w="0" w:type="dxa"/>
            </w:tcMar>
            <w:hideMark/>
          </w:tcPr>
          <w:p w:rsidR="00000000" w:rsidRDefault="00FF2C0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C06">
            <w:pPr>
              <w:rPr>
                <w:rFonts w:eastAsia="Times New Roman"/>
                <w:sz w:val="20"/>
                <w:szCs w:val="20"/>
              </w:rPr>
            </w:pPr>
            <w:r>
              <w:rPr>
                <w:rFonts w:eastAsia="Times New Roman"/>
                <w:color w:val="000000"/>
                <w:sz w:val="20"/>
                <w:szCs w:val="20"/>
              </w:rPr>
              <w:t>litigation or arbitration;</w:t>
            </w:r>
          </w:p>
        </w:tc>
      </w:tr>
    </w:tbl>
    <w:p w:rsidR="00000000" w:rsidRDefault="00FF2C06">
      <w:pPr>
        <w:divId w:val="93829030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938290302"/>
        </w:trPr>
        <w:tc>
          <w:tcPr>
            <w:tcW w:w="547" w:type="dxa"/>
            <w:vAlign w:val="center"/>
            <w:hideMark/>
          </w:tcPr>
          <w:p w:rsidR="00000000" w:rsidRDefault="00FF2C06">
            <w:pPr>
              <w:rPr>
                <w:rFonts w:eastAsia="Times New Roman"/>
              </w:rPr>
            </w:pPr>
          </w:p>
        </w:tc>
        <w:tc>
          <w:tcPr>
            <w:tcW w:w="360" w:type="dxa"/>
            <w:noWrap/>
            <w:tcMar>
              <w:top w:w="0" w:type="dxa"/>
              <w:left w:w="0" w:type="dxa"/>
              <w:bottom w:w="0" w:type="dxa"/>
              <w:right w:w="0" w:type="dxa"/>
            </w:tcMar>
            <w:hideMark/>
          </w:tcPr>
          <w:p w:rsidR="00000000" w:rsidRDefault="00FF2C0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C06">
            <w:pPr>
              <w:rPr>
                <w:rFonts w:eastAsia="Times New Roman"/>
                <w:sz w:val="20"/>
                <w:szCs w:val="20"/>
              </w:rPr>
            </w:pPr>
            <w:r>
              <w:rPr>
                <w:rFonts w:eastAsia="Times New Roman"/>
                <w:color w:val="000000"/>
                <w:sz w:val="20"/>
                <w:szCs w:val="20"/>
              </w:rPr>
              <w:t>general volatility in the financial markets;</w:t>
            </w:r>
          </w:p>
        </w:tc>
      </w:tr>
    </w:tbl>
    <w:p w:rsidR="00000000" w:rsidRDefault="00FF2C06">
      <w:pPr>
        <w:divId w:val="93829030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938290302"/>
        </w:trPr>
        <w:tc>
          <w:tcPr>
            <w:tcW w:w="547" w:type="dxa"/>
            <w:vAlign w:val="center"/>
            <w:hideMark/>
          </w:tcPr>
          <w:p w:rsidR="00000000" w:rsidRDefault="00FF2C06">
            <w:pPr>
              <w:rPr>
                <w:rFonts w:eastAsia="Times New Roman"/>
              </w:rPr>
            </w:pPr>
          </w:p>
        </w:tc>
        <w:tc>
          <w:tcPr>
            <w:tcW w:w="360" w:type="dxa"/>
            <w:noWrap/>
            <w:tcMar>
              <w:top w:w="0" w:type="dxa"/>
              <w:left w:w="0" w:type="dxa"/>
              <w:bottom w:w="0" w:type="dxa"/>
              <w:right w:w="0" w:type="dxa"/>
            </w:tcMar>
            <w:hideMark/>
          </w:tcPr>
          <w:p w:rsidR="00000000" w:rsidRDefault="00FF2C0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C06">
            <w:pPr>
              <w:rPr>
                <w:rFonts w:eastAsia="Times New Roman"/>
                <w:sz w:val="20"/>
                <w:szCs w:val="20"/>
              </w:rPr>
            </w:pPr>
            <w:r>
              <w:rPr>
                <w:rFonts w:eastAsia="Times New Roman"/>
                <w:color w:val="000000"/>
                <w:sz w:val="20"/>
                <w:szCs w:val="20"/>
              </w:rPr>
              <w:t>general economic, political and market conditions and other factors; and</w:t>
            </w:r>
          </w:p>
        </w:tc>
      </w:tr>
    </w:tbl>
    <w:p w:rsidR="00000000" w:rsidRDefault="00FF2C06">
      <w:pPr>
        <w:divId w:val="93829030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938290302"/>
        </w:trPr>
        <w:tc>
          <w:tcPr>
            <w:tcW w:w="547" w:type="dxa"/>
            <w:vAlign w:val="center"/>
            <w:hideMark/>
          </w:tcPr>
          <w:p w:rsidR="00000000" w:rsidRDefault="00FF2C06">
            <w:pPr>
              <w:rPr>
                <w:rFonts w:eastAsia="Times New Roman"/>
              </w:rPr>
            </w:pPr>
          </w:p>
        </w:tc>
        <w:tc>
          <w:tcPr>
            <w:tcW w:w="360" w:type="dxa"/>
            <w:noWrap/>
            <w:tcMar>
              <w:top w:w="0" w:type="dxa"/>
              <w:left w:w="0" w:type="dxa"/>
              <w:bottom w:w="0" w:type="dxa"/>
              <w:right w:w="0" w:type="dxa"/>
            </w:tcMar>
            <w:hideMark/>
          </w:tcPr>
          <w:p w:rsidR="00000000" w:rsidRDefault="00FF2C0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FF2C06">
            <w:pPr>
              <w:rPr>
                <w:rFonts w:eastAsia="Times New Roman"/>
                <w:sz w:val="20"/>
                <w:szCs w:val="20"/>
              </w:rPr>
            </w:pPr>
            <w:r>
              <w:rPr>
                <w:rFonts w:eastAsia="Times New Roman"/>
                <w:color w:val="000000"/>
                <w:sz w:val="20"/>
                <w:szCs w:val="20"/>
              </w:rPr>
              <w:t>the occurrence of any of</w:t>
            </w:r>
            <w:r>
              <w:rPr>
                <w:rFonts w:eastAsia="Times New Roman"/>
                <w:color w:val="000000"/>
                <w:sz w:val="20"/>
                <w:szCs w:val="20"/>
              </w:rPr>
              <w:t xml:space="preserve"> the risks described in this Quarterly Report on Form 10-Q or our Annual Report on Form 10-K filed with the SEC on February 25, 2020.</w:t>
            </w:r>
          </w:p>
        </w:tc>
      </w:tr>
    </w:tbl>
    <w:p w:rsidR="00000000" w:rsidRDefault="00FF2C06">
      <w:pPr>
        <w:pStyle w:val="a3"/>
        <w:spacing w:before="0" w:beforeAutospacing="0" w:after="200" w:afterAutospacing="0"/>
        <w:ind w:firstLine="547"/>
        <w:divId w:val="938290302"/>
        <w:rPr>
          <w:sz w:val="20"/>
          <w:szCs w:val="20"/>
        </w:rPr>
      </w:pPr>
      <w:r>
        <w:rPr>
          <w:b/>
          <w:bCs/>
          <w:i/>
          <w:iCs/>
          <w:sz w:val="20"/>
          <w:szCs w:val="20"/>
        </w:rPr>
        <w:t>You may experience future dilution as a result of future equity offerings or other equity issuances.</w:t>
      </w:r>
    </w:p>
    <w:p w:rsidR="00000000" w:rsidRDefault="00FF2C06">
      <w:pPr>
        <w:pStyle w:val="a3"/>
        <w:spacing w:before="0" w:beforeAutospacing="0" w:after="200" w:afterAutospacing="0"/>
        <w:ind w:firstLine="547"/>
        <w:divId w:val="938290302"/>
        <w:rPr>
          <w:sz w:val="20"/>
          <w:szCs w:val="20"/>
        </w:rPr>
      </w:pPr>
      <w:r>
        <w:rPr>
          <w:sz w:val="20"/>
          <w:szCs w:val="20"/>
        </w:rPr>
        <w:t xml:space="preserve">We may have to raise additional capital in the future. To raise additional capital, we may in the future offer additional shares of our common stock or other securities convertible into or exchangeable for our common stock at prices that may be lower than </w:t>
      </w:r>
      <w:r>
        <w:rPr>
          <w:sz w:val="20"/>
          <w:szCs w:val="20"/>
        </w:rPr>
        <w:t xml:space="preserve">the current price per share of our common stock. In addition, investors purchasing shares or other securities in the future could have rights superior to existing stockholders. The price per share at which we sell additional shares of our common stock, or </w:t>
      </w:r>
      <w:r>
        <w:rPr>
          <w:sz w:val="20"/>
          <w:szCs w:val="20"/>
        </w:rPr>
        <w:t>securities convertible or exchangeable into common stock, in future transactions may be higher or lower than the price per share paid by investors in prior offerings. Any such issuance could result in substantial dilution to our existing stockholders.</w:t>
      </w:r>
    </w:p>
    <w:p w:rsidR="00000000" w:rsidRDefault="00FF2C06">
      <w:pPr>
        <w:pStyle w:val="a3"/>
        <w:spacing w:before="0" w:beforeAutospacing="0" w:after="200" w:afterAutospacing="0"/>
        <w:ind w:firstLine="547"/>
        <w:divId w:val="938290302"/>
        <w:rPr>
          <w:sz w:val="20"/>
          <w:szCs w:val="20"/>
        </w:rPr>
      </w:pPr>
      <w:r>
        <w:rPr>
          <w:b/>
          <w:bCs/>
          <w:i/>
          <w:iCs/>
          <w:sz w:val="20"/>
          <w:szCs w:val="20"/>
        </w:rPr>
        <w:t>Futu</w:t>
      </w:r>
      <w:r>
        <w:rPr>
          <w:b/>
          <w:bCs/>
          <w:i/>
          <w:iCs/>
          <w:sz w:val="20"/>
          <w:szCs w:val="20"/>
        </w:rPr>
        <w:t>re sales of our common stock in the public market could cause our stock price to fall.*</w:t>
      </w:r>
    </w:p>
    <w:p w:rsidR="00000000" w:rsidRDefault="00FF2C06">
      <w:pPr>
        <w:pStyle w:val="a3"/>
        <w:spacing w:before="0" w:beforeAutospacing="0" w:after="200" w:afterAutospacing="0"/>
        <w:ind w:firstLine="547"/>
        <w:divId w:val="938290302"/>
        <w:rPr>
          <w:sz w:val="20"/>
          <w:szCs w:val="20"/>
        </w:rPr>
      </w:pPr>
      <w:r>
        <w:rPr>
          <w:sz w:val="20"/>
          <w:szCs w:val="20"/>
        </w:rPr>
        <w:t>Our stock price could decline as a result of sales of a large number of shares of our common stock or the perception that these sales could occur. These sales, or the p</w:t>
      </w:r>
      <w:r>
        <w:rPr>
          <w:sz w:val="20"/>
          <w:szCs w:val="20"/>
        </w:rPr>
        <w:t>ossibility that these sales may occur, also might make it more difficult for us to sell equity securities in the future at a time and at a price that we deem appropriate.</w:t>
      </w:r>
    </w:p>
    <w:p w:rsidR="00000000" w:rsidRDefault="00FF2C06">
      <w:pPr>
        <w:pStyle w:val="a3"/>
        <w:spacing w:before="0" w:beforeAutospacing="0" w:after="200" w:afterAutospacing="0"/>
        <w:ind w:firstLine="547"/>
        <w:divId w:val="938290302"/>
        <w:rPr>
          <w:sz w:val="20"/>
          <w:szCs w:val="20"/>
        </w:rPr>
      </w:pPr>
      <w:r>
        <w:rPr>
          <w:sz w:val="20"/>
          <w:szCs w:val="20"/>
        </w:rPr>
        <w:t>As of September 30, 2020, we had 146,581,624 shares of common stock outstanding. In a</w:t>
      </w:r>
      <w:r>
        <w:rPr>
          <w:sz w:val="20"/>
          <w:szCs w:val="20"/>
        </w:rPr>
        <w:t xml:space="preserve">ddition, we had 16,447,000 shares of common stock equivalents that would increase the number of common stock outstanding if these instruments were exercised or converted, including stock options and restricted stock units to purchase common stock based on </w:t>
      </w:r>
      <w:r>
        <w:rPr>
          <w:sz w:val="20"/>
          <w:szCs w:val="20"/>
        </w:rPr>
        <w:t>vesting requirements and common stock issuable upon the conversion of preferred stock. The issuance and subsequent sale of the shares underlying these common stock equivalents could depress the trading price of our common stock. On June 10, 2019, our certi</w:t>
      </w:r>
      <w:r>
        <w:rPr>
          <w:sz w:val="20"/>
          <w:szCs w:val="20"/>
        </w:rPr>
        <w:t>ficate of incorporation was amended to increase the number of authorized shares of our common stock, par value $0.000041666, from 150,000,000 shares to 300,000,000 shares, which was approved by our stockholders at our 2019 Annual Meeting of Stockholders he</w:t>
      </w:r>
      <w:r>
        <w:rPr>
          <w:sz w:val="20"/>
          <w:szCs w:val="20"/>
        </w:rPr>
        <w:t>ld on June 10, 2019.</w:t>
      </w:r>
    </w:p>
    <w:p w:rsidR="00000000" w:rsidRDefault="00FF2C06">
      <w:pPr>
        <w:pStyle w:val="a3"/>
        <w:spacing w:before="0" w:beforeAutospacing="0" w:after="200" w:afterAutospacing="0"/>
        <w:ind w:firstLine="547"/>
        <w:divId w:val="938290302"/>
        <w:rPr>
          <w:sz w:val="20"/>
          <w:szCs w:val="20"/>
        </w:rPr>
      </w:pPr>
      <w:r>
        <w:rPr>
          <w:sz w:val="20"/>
          <w:szCs w:val="20"/>
        </w:rPr>
        <w:t>In addition, in the future, we may issue additional shares of common stock or other equity or debt securities convertible into common stock in connection with a financing, acquisition, litigation settlement, employee arrangements or ot</w:t>
      </w:r>
      <w:r>
        <w:rPr>
          <w:sz w:val="20"/>
          <w:szCs w:val="20"/>
        </w:rPr>
        <w:t>herwise. For example, in January 2018 and October 2018, we issued 15,000,000 shares and 25,300,000 shares of common stock, respectively, in connection with underwritten public offerings. Further, in June 2020, we issued 19,475,806 shares of common stock in</w:t>
      </w:r>
      <w:r>
        <w:rPr>
          <w:sz w:val="20"/>
          <w:szCs w:val="20"/>
        </w:rPr>
        <w:t xml:space="preserve"> connection with an underwritten public offering, and we may offer additional shares under our automatic shelf registration statement in the future. Future issuances may result in substantial dilution to our existing stockholders and could cause our stock </w:t>
      </w:r>
      <w:r>
        <w:rPr>
          <w:sz w:val="20"/>
          <w:szCs w:val="20"/>
        </w:rPr>
        <w:t>price to decline.</w:t>
      </w:r>
    </w:p>
    <w:p w:rsidR="00000000" w:rsidRDefault="00FF2C06">
      <w:pPr>
        <w:pStyle w:val="a3"/>
        <w:spacing w:before="480" w:beforeAutospacing="0" w:after="0" w:afterAutospacing="0"/>
        <w:jc w:val="center"/>
        <w:divId w:val="1675764042"/>
        <w:rPr>
          <w:sz w:val="20"/>
          <w:szCs w:val="20"/>
        </w:rPr>
      </w:pPr>
      <w:r>
        <w:rPr>
          <w:sz w:val="20"/>
          <w:szCs w:val="20"/>
        </w:rPr>
        <w:t>77</w:t>
      </w:r>
    </w:p>
    <w:p w:rsidR="00000000" w:rsidRDefault="00FF2C06">
      <w:pPr>
        <w:pStyle w:val="a3"/>
        <w:spacing w:before="0" w:beforeAutospacing="0" w:after="600" w:afterAutospacing="0"/>
        <w:divId w:val="80564576"/>
        <w:rPr>
          <w:sz w:val="20"/>
          <w:szCs w:val="20"/>
        </w:rPr>
      </w:pPr>
      <w:hyperlink w:anchor="TOC" w:history="1">
        <w:r>
          <w:rPr>
            <w:rStyle w:val="a4"/>
            <w:sz w:val="20"/>
            <w:szCs w:val="20"/>
          </w:rPr>
          <w:t>Table of Contents</w:t>
        </w:r>
      </w:hyperlink>
    </w:p>
    <w:p w:rsidR="00000000" w:rsidRDefault="00FF2C06">
      <w:pPr>
        <w:pStyle w:val="a3"/>
        <w:spacing w:before="0" w:beforeAutospacing="0" w:after="200" w:afterAutospacing="0"/>
        <w:ind w:firstLine="547"/>
        <w:divId w:val="2119130952"/>
        <w:rPr>
          <w:sz w:val="20"/>
          <w:szCs w:val="20"/>
        </w:rPr>
      </w:pPr>
      <w:r>
        <w:rPr>
          <w:b/>
          <w:bCs/>
          <w:i/>
          <w:iCs/>
          <w:sz w:val="20"/>
          <w:szCs w:val="20"/>
        </w:rPr>
        <w:t>If equities or industry analysts do not publish research or reports about our company, or if they issue adverse or misleading opinions regarding us or our stock, our stock price and trading v</w:t>
      </w:r>
      <w:r>
        <w:rPr>
          <w:b/>
          <w:bCs/>
          <w:i/>
          <w:iCs/>
          <w:sz w:val="20"/>
          <w:szCs w:val="20"/>
        </w:rPr>
        <w:t>olume could decline.</w:t>
      </w:r>
    </w:p>
    <w:p w:rsidR="00000000" w:rsidRDefault="00FF2C06">
      <w:pPr>
        <w:pStyle w:val="a3"/>
        <w:spacing w:before="0" w:beforeAutospacing="0" w:after="200" w:afterAutospacing="0"/>
        <w:ind w:firstLine="547"/>
        <w:divId w:val="2119130952"/>
        <w:rPr>
          <w:sz w:val="20"/>
          <w:szCs w:val="20"/>
        </w:rPr>
      </w:pPr>
      <w:r>
        <w:rPr>
          <w:sz w:val="20"/>
          <w:szCs w:val="20"/>
        </w:rPr>
        <w:t>Although we have research coverage by equities analysts, if coverage is not maintained, the market price for our stock may be adversely affected. Our stock price also may decline if any analyst who covers us issues an adverse or errone</w:t>
      </w:r>
      <w:r>
        <w:rPr>
          <w:sz w:val="20"/>
          <w:szCs w:val="20"/>
        </w:rPr>
        <w:t>ous opinion regarding us, our business model, our intellectual property or our stock performance, or if our clinical trials and operating results fail to meet analysts’ expectations. If one or more analysts cease coverage of us or fail to regularly publish</w:t>
      </w:r>
      <w:r>
        <w:rPr>
          <w:sz w:val="20"/>
          <w:szCs w:val="20"/>
        </w:rPr>
        <w:t xml:space="preserve"> reports on us, we could lose visibility in the financial markets, which could cause our stock price or trading volume to decline and possibly adversely affect our ability to engage in future financings</w:t>
      </w:r>
    </w:p>
    <w:p w:rsidR="00000000" w:rsidRDefault="00FF2C06">
      <w:pPr>
        <w:pStyle w:val="a3"/>
        <w:spacing w:before="0" w:beforeAutospacing="0" w:after="200" w:afterAutospacing="0"/>
        <w:ind w:firstLine="547"/>
        <w:divId w:val="2119130952"/>
        <w:rPr>
          <w:sz w:val="20"/>
          <w:szCs w:val="20"/>
        </w:rPr>
      </w:pPr>
      <w:r>
        <w:rPr>
          <w:b/>
          <w:bCs/>
          <w:i/>
          <w:iCs/>
          <w:sz w:val="20"/>
          <w:szCs w:val="20"/>
        </w:rPr>
        <w:t>If we fail to maintain an effective system of interna</w:t>
      </w:r>
      <w:r>
        <w:rPr>
          <w:b/>
          <w:bCs/>
          <w:i/>
          <w:iCs/>
          <w:sz w:val="20"/>
          <w:szCs w:val="20"/>
        </w:rPr>
        <w:t>l control over financial reporting, we may not be able to accurately report our financial results. As a result, we could become subject to sanctions or investigations by regulatory authorities and/or stockholder litigation, which could harm our business an</w:t>
      </w:r>
      <w:r>
        <w:rPr>
          <w:b/>
          <w:bCs/>
          <w:i/>
          <w:iCs/>
          <w:sz w:val="20"/>
          <w:szCs w:val="20"/>
        </w:rPr>
        <w:t>d have an adverse effect on our stock price.</w:t>
      </w:r>
    </w:p>
    <w:p w:rsidR="00000000" w:rsidRDefault="00FF2C06">
      <w:pPr>
        <w:pStyle w:val="a3"/>
        <w:spacing w:before="0" w:beforeAutospacing="0" w:after="200" w:afterAutospacing="0"/>
        <w:ind w:firstLine="547"/>
        <w:divId w:val="2119130952"/>
        <w:rPr>
          <w:sz w:val="20"/>
          <w:szCs w:val="20"/>
        </w:rPr>
      </w:pPr>
      <w:r>
        <w:rPr>
          <w:sz w:val="20"/>
          <w:szCs w:val="20"/>
        </w:rPr>
        <w:t>As a public reporting company, we are subject to various regulatory requirements, including the Sarbanes-Oxley Act of 2002, which requires our management to assess and report on our internal controls over financ</w:t>
      </w:r>
      <w:r>
        <w:rPr>
          <w:sz w:val="20"/>
          <w:szCs w:val="20"/>
        </w:rPr>
        <w:t>ial reporting. Nevertheless, in future years, our testing, or the subsequent testing by our independent registered public accounting firm, may reveal deficiencies in our internal controls that we would be required to remediate in a timely manner to be able</w:t>
      </w:r>
      <w:r>
        <w:rPr>
          <w:sz w:val="20"/>
          <w:szCs w:val="20"/>
        </w:rPr>
        <w:t xml:space="preserve"> to comply with the requirements of Section 404 of the Sarbanes-Oxley Act each year. If we are not able to comply with the requirements of Section 404 of the Sarbanes-Oxley Act each year, we could be subject to sanctions or investigations by the SEC, Nasda</w:t>
      </w:r>
      <w:r>
        <w:rPr>
          <w:sz w:val="20"/>
          <w:szCs w:val="20"/>
        </w:rPr>
        <w:t>q or other regulatory authorities which would require additional financial and management resources and could adversely affect the market price of our common stock. In addition, material weaknesses in our internal controls could result in a loss of investo</w:t>
      </w:r>
      <w:r>
        <w:rPr>
          <w:sz w:val="20"/>
          <w:szCs w:val="20"/>
        </w:rPr>
        <w:t>r confidence in our financial reports.</w:t>
      </w:r>
    </w:p>
    <w:p w:rsidR="00000000" w:rsidRDefault="00FF2C06">
      <w:pPr>
        <w:pStyle w:val="a3"/>
        <w:spacing w:before="0" w:beforeAutospacing="0" w:after="200" w:afterAutospacing="0"/>
        <w:ind w:firstLine="547"/>
        <w:divId w:val="2119130952"/>
        <w:rPr>
          <w:sz w:val="20"/>
          <w:szCs w:val="20"/>
        </w:rPr>
      </w:pPr>
      <w:r>
        <w:rPr>
          <w:b/>
          <w:bCs/>
          <w:i/>
          <w:iCs/>
          <w:sz w:val="20"/>
          <w:szCs w:val="20"/>
        </w:rPr>
        <w:t>Our Board of Directors could issue one or more additional series of preferred stock without stockholder approval with the effect of diluting existing stockholders and impairing their voting and other rights.</w:t>
      </w:r>
    </w:p>
    <w:p w:rsidR="00000000" w:rsidRDefault="00FF2C06">
      <w:pPr>
        <w:pStyle w:val="a3"/>
        <w:spacing w:before="0" w:beforeAutospacing="0" w:after="200" w:afterAutospacing="0"/>
        <w:ind w:firstLine="547"/>
        <w:divId w:val="2119130952"/>
        <w:rPr>
          <w:sz w:val="20"/>
          <w:szCs w:val="20"/>
        </w:rPr>
      </w:pPr>
      <w:r>
        <w:rPr>
          <w:sz w:val="20"/>
          <w:szCs w:val="20"/>
        </w:rPr>
        <w:t>Our certi</w:t>
      </w:r>
      <w:r>
        <w:rPr>
          <w:sz w:val="20"/>
          <w:szCs w:val="20"/>
        </w:rPr>
        <w:t>ficate of incorporation, as amended, authorizes the issuance of up to 50,000,000 shares of “blank check” preferred stock (of which only 17,000 shares were issued as Series A Convertible Preferred Stock and 11,500,000 shares were issued as Series B Converti</w:t>
      </w:r>
      <w:r>
        <w:rPr>
          <w:sz w:val="20"/>
          <w:szCs w:val="20"/>
        </w:rPr>
        <w:t>ble Preferred Stock) with designations, rights and preferences as may be determined from time to time by our Board of Directors. Our Board of Directors is empowered, without stockholder approval, to issue one or more series of preferred stock with dividend</w:t>
      </w:r>
      <w:r>
        <w:rPr>
          <w:sz w:val="20"/>
          <w:szCs w:val="20"/>
        </w:rPr>
        <w:t>, liquidation, conversion, voting or other rights which could dilute the interest of, or impair the voting power of, our common stockholders. The issuance of a series of preferred stock could be used as a method of discouraging, delaying or preventing a ch</w:t>
      </w:r>
      <w:r>
        <w:rPr>
          <w:sz w:val="20"/>
          <w:szCs w:val="20"/>
        </w:rPr>
        <w:t>ange in control. For example, it would be possible for our Board of Directors to issue preferred stock with voting or other rights or preferences that could impede the success of any attempt to effect a change in control of our company.</w:t>
      </w:r>
    </w:p>
    <w:p w:rsidR="00000000" w:rsidRDefault="00FF2C06">
      <w:pPr>
        <w:pStyle w:val="a3"/>
        <w:spacing w:before="0" w:beforeAutospacing="0" w:after="200" w:afterAutospacing="0"/>
        <w:ind w:firstLine="547"/>
        <w:divId w:val="2119130952"/>
        <w:rPr>
          <w:sz w:val="20"/>
          <w:szCs w:val="20"/>
        </w:rPr>
      </w:pPr>
      <w:r>
        <w:rPr>
          <w:b/>
          <w:bCs/>
          <w:i/>
          <w:iCs/>
          <w:sz w:val="20"/>
          <w:szCs w:val="20"/>
        </w:rPr>
        <w:t>We do not anticipat</w:t>
      </w:r>
      <w:r>
        <w:rPr>
          <w:b/>
          <w:bCs/>
          <w:i/>
          <w:iCs/>
          <w:sz w:val="20"/>
          <w:szCs w:val="20"/>
        </w:rPr>
        <w:t>e paying cash dividends for the foreseeable future, and therefore investors should not buy our stock if they wish to receive cash dividends.</w:t>
      </w:r>
    </w:p>
    <w:p w:rsidR="00000000" w:rsidRDefault="00FF2C06">
      <w:pPr>
        <w:pStyle w:val="a3"/>
        <w:spacing w:before="0" w:beforeAutospacing="0" w:after="200" w:afterAutospacing="0"/>
        <w:ind w:firstLine="547"/>
        <w:divId w:val="2119130952"/>
        <w:rPr>
          <w:sz w:val="20"/>
          <w:szCs w:val="20"/>
        </w:rPr>
      </w:pPr>
      <w:r>
        <w:rPr>
          <w:sz w:val="20"/>
          <w:szCs w:val="20"/>
        </w:rPr>
        <w:t>We have never declared or paid any cash dividends or distributions on our common stock. We currently intend to reta</w:t>
      </w:r>
      <w:r>
        <w:rPr>
          <w:sz w:val="20"/>
          <w:szCs w:val="20"/>
        </w:rPr>
        <w:t>in our future earnings to support operations and to finance expansion and, therefore, we do not anticipate paying any cash dividends on our common stock in the foreseeable future.</w:t>
      </w:r>
    </w:p>
    <w:p w:rsidR="00000000" w:rsidRDefault="00FF2C06">
      <w:pPr>
        <w:pStyle w:val="a3"/>
        <w:spacing w:before="0" w:beforeAutospacing="0" w:after="200" w:afterAutospacing="0"/>
        <w:ind w:firstLine="547"/>
        <w:divId w:val="2119130952"/>
        <w:rPr>
          <w:sz w:val="20"/>
          <w:szCs w:val="20"/>
        </w:rPr>
      </w:pPr>
      <w:r>
        <w:rPr>
          <w:b/>
          <w:bCs/>
          <w:i/>
          <w:iCs/>
          <w:sz w:val="20"/>
          <w:szCs w:val="20"/>
        </w:rPr>
        <w:t>Provisions in our corporate charter documents and under Delaware law may pre</w:t>
      </w:r>
      <w:r>
        <w:rPr>
          <w:b/>
          <w:bCs/>
          <w:i/>
          <w:iCs/>
          <w:sz w:val="20"/>
          <w:szCs w:val="20"/>
        </w:rPr>
        <w:t>vent or frustrate attempts by our stockholders to change our management and hinder efforts to acquire a controlling interest in us, and the market price of our common stock may be lower as a result.</w:t>
      </w:r>
    </w:p>
    <w:p w:rsidR="00000000" w:rsidRDefault="00FF2C06">
      <w:pPr>
        <w:pStyle w:val="a3"/>
        <w:spacing w:before="0" w:beforeAutospacing="0" w:after="200" w:afterAutospacing="0"/>
        <w:ind w:firstLine="547"/>
        <w:divId w:val="2119130952"/>
        <w:rPr>
          <w:sz w:val="20"/>
          <w:szCs w:val="20"/>
        </w:rPr>
      </w:pPr>
      <w:r>
        <w:rPr>
          <w:sz w:val="20"/>
          <w:szCs w:val="20"/>
        </w:rPr>
        <w:t>There are provisions in our certificate of incorporation,</w:t>
      </w:r>
      <w:r>
        <w:rPr>
          <w:sz w:val="20"/>
          <w:szCs w:val="20"/>
        </w:rPr>
        <w:t xml:space="preserve"> as amended, and amended and restated bylaws that may make it difficult for a third party to acquire, or attempt to acquire, control of our company, even if a change in control was considered favorable by you and other stockholders. For example, our Board </w:t>
      </w:r>
      <w:r>
        <w:rPr>
          <w:sz w:val="20"/>
          <w:szCs w:val="20"/>
        </w:rPr>
        <w:t>of Directors has the authority to issue up to 38,483,000 additional shares of preferred stock and to fix the price, rights, preferences, privileges, and restrictions of the preferred stock without any further vote or action by our stockholders. The issuanc</w:t>
      </w:r>
      <w:r>
        <w:rPr>
          <w:sz w:val="20"/>
          <w:szCs w:val="20"/>
        </w:rPr>
        <w:t>e of shares of preferred stock may delay or prevent a change in control transaction. As a result, the market price of our common stock and the voting and other rights of our stockholders may be adversely affected. An issuance of shares of preferred stock m</w:t>
      </w:r>
      <w:r>
        <w:rPr>
          <w:sz w:val="20"/>
          <w:szCs w:val="20"/>
        </w:rPr>
        <w:t>ay result in the loss of voting control to other stockholders.</w:t>
      </w:r>
    </w:p>
    <w:p w:rsidR="00000000" w:rsidRDefault="00FF2C06">
      <w:pPr>
        <w:pStyle w:val="a3"/>
        <w:spacing w:before="0" w:beforeAutospacing="0" w:after="0" w:afterAutospacing="0"/>
        <w:ind w:firstLine="547"/>
        <w:divId w:val="2119130952"/>
        <w:rPr>
          <w:sz w:val="20"/>
          <w:szCs w:val="20"/>
        </w:rPr>
      </w:pPr>
      <w:r>
        <w:rPr>
          <w:sz w:val="20"/>
          <w:szCs w:val="20"/>
        </w:rPr>
        <w:t>In addition, we are subject to the anti-takeover provisions of Section 203 of the Delaware General Corporation Law, which regulates corporate acquisitions by prohibiting Delaware corporations f</w:t>
      </w:r>
      <w:r>
        <w:rPr>
          <w:sz w:val="20"/>
          <w:szCs w:val="20"/>
        </w:rPr>
        <w:t xml:space="preserve">rom engaging in specified business combinations with particular stockholders of those companies. These provisions could discourage potential acquisition proposals and could delay or </w:t>
      </w:r>
    </w:p>
    <w:p w:rsidR="00000000" w:rsidRDefault="00FF2C06">
      <w:pPr>
        <w:pStyle w:val="a3"/>
        <w:spacing w:before="480" w:beforeAutospacing="0" w:after="0" w:afterAutospacing="0"/>
        <w:jc w:val="center"/>
        <w:divId w:val="1954550638"/>
        <w:rPr>
          <w:sz w:val="20"/>
          <w:szCs w:val="20"/>
        </w:rPr>
      </w:pPr>
      <w:r>
        <w:rPr>
          <w:sz w:val="20"/>
          <w:szCs w:val="20"/>
        </w:rPr>
        <w:t>78</w:t>
      </w:r>
    </w:p>
    <w:p w:rsidR="00000000" w:rsidRDefault="00FF2C06">
      <w:pPr>
        <w:pStyle w:val="a3"/>
        <w:spacing w:before="0" w:beforeAutospacing="0" w:after="600" w:afterAutospacing="0"/>
        <w:divId w:val="1097487444"/>
        <w:rPr>
          <w:sz w:val="20"/>
          <w:szCs w:val="20"/>
        </w:rPr>
      </w:pPr>
      <w:hyperlink w:anchor="TOC" w:history="1">
        <w:r>
          <w:rPr>
            <w:rStyle w:val="a4"/>
            <w:sz w:val="20"/>
            <w:szCs w:val="20"/>
          </w:rPr>
          <w:t>Table of Contents</w:t>
        </w:r>
      </w:hyperlink>
    </w:p>
    <w:p w:rsidR="00000000" w:rsidRDefault="00FF2C06">
      <w:pPr>
        <w:pStyle w:val="a3"/>
        <w:spacing w:before="0" w:beforeAutospacing="0" w:after="200" w:afterAutospacing="0"/>
        <w:divId w:val="870802468"/>
        <w:rPr>
          <w:sz w:val="20"/>
          <w:szCs w:val="20"/>
        </w:rPr>
      </w:pPr>
      <w:r>
        <w:rPr>
          <w:sz w:val="20"/>
          <w:szCs w:val="20"/>
        </w:rPr>
        <w:t>prevent a change in contro</w:t>
      </w:r>
      <w:r>
        <w:rPr>
          <w:sz w:val="20"/>
          <w:szCs w:val="20"/>
        </w:rPr>
        <w:t xml:space="preserve">l transaction. They could also have the effect of discouraging others from making tender offers for our common stock, including transactions that may be in your best interests. These provisions may also prevent changes in our management or limit the price </w:t>
      </w:r>
      <w:r>
        <w:rPr>
          <w:sz w:val="20"/>
          <w:szCs w:val="20"/>
        </w:rPr>
        <w:t>that investors are willing to pay for our stock.</w:t>
      </w:r>
    </w:p>
    <w:p w:rsidR="00000000" w:rsidRDefault="00FF2C06">
      <w:pPr>
        <w:pStyle w:val="a3"/>
        <w:spacing w:before="0" w:beforeAutospacing="0" w:after="200" w:afterAutospacing="0"/>
        <w:ind w:firstLine="547"/>
        <w:divId w:val="870802468"/>
        <w:rPr>
          <w:sz w:val="20"/>
          <w:szCs w:val="20"/>
        </w:rPr>
      </w:pPr>
      <w:r>
        <w:rPr>
          <w:b/>
          <w:bCs/>
          <w:i/>
          <w:iCs/>
          <w:sz w:val="20"/>
          <w:szCs w:val="20"/>
        </w:rPr>
        <w:t>Our certificate of incorporation, as amended, designates the Court of Chancery of the State of Delaware as the sole and exclusive forum for certain types of actions and proceedings that may be initiated by o</w:t>
      </w:r>
      <w:r>
        <w:rPr>
          <w:b/>
          <w:bCs/>
          <w:i/>
          <w:iCs/>
          <w:sz w:val="20"/>
          <w:szCs w:val="20"/>
        </w:rPr>
        <w:t>ur stockholders, which could limit our stockholders’ ability to obtain a favorable judicial forum for disputes with us or our directors, officers or employees.</w:t>
      </w:r>
    </w:p>
    <w:p w:rsidR="00000000" w:rsidRDefault="00FF2C06">
      <w:pPr>
        <w:pStyle w:val="a3"/>
        <w:spacing w:before="0" w:beforeAutospacing="0" w:after="200" w:afterAutospacing="0"/>
        <w:ind w:firstLine="720"/>
        <w:divId w:val="870802468"/>
        <w:rPr>
          <w:sz w:val="20"/>
          <w:szCs w:val="20"/>
        </w:rPr>
      </w:pPr>
      <w:r>
        <w:rPr>
          <w:sz w:val="20"/>
          <w:szCs w:val="20"/>
        </w:rPr>
        <w:t xml:space="preserve">Our certificate of incorporation, as amended, provides that, subject to limited exceptions, the </w:t>
      </w:r>
      <w:r>
        <w:rPr>
          <w:sz w:val="20"/>
          <w:szCs w:val="20"/>
        </w:rPr>
        <w:t>Court of Chancery of the State of Delaware shall, to the fullest extent permitted by law, be the sole and exclusive forum for (1) any derivative action or proceeding brought on our behalf, (2) any action asserting a claim of breach of a fiduciary duty owed</w:t>
      </w:r>
      <w:r>
        <w:rPr>
          <w:sz w:val="20"/>
          <w:szCs w:val="20"/>
        </w:rPr>
        <w:t xml:space="preserve"> by any of our directors, officers, employees or agents to us or our stockholders, creditors or other constituents (3) any action asserting a claim against us arising pursuant to any provision of the Delaware General Corporation Law, our certificate of inc</w:t>
      </w:r>
      <w:r>
        <w:rPr>
          <w:sz w:val="20"/>
          <w:szCs w:val="20"/>
        </w:rPr>
        <w:t xml:space="preserve">orporation, as amended, or our amended bylaws, or (4) any other action asserting a claim against us that is governed by the internal affairs doctrine. Any person or entity purchasing or otherwise acquiring any interest in shares of our capital stock shall </w:t>
      </w:r>
      <w:r>
        <w:rPr>
          <w:sz w:val="20"/>
          <w:szCs w:val="20"/>
        </w:rPr>
        <w:t>be deemed to have notice of and to have consented to the provisions of our certificate of incorporation described above. This choice of forum provision may limit a stockholder’s ability to bring a claim in a judicial forum that it finds favorable for dispu</w:t>
      </w:r>
      <w:r>
        <w:rPr>
          <w:sz w:val="20"/>
          <w:szCs w:val="20"/>
        </w:rPr>
        <w:t>tes with us or our directors, officers, or other employees, which may discourage such lawsuits against us and our directors, officers, and employees. Further, this choice of forum provision does not preclude or contract the scope of exclusive federal or co</w:t>
      </w:r>
      <w:r>
        <w:rPr>
          <w:sz w:val="20"/>
          <w:szCs w:val="20"/>
        </w:rPr>
        <w:t>ncurrent jurisdiction for any actions brought under the Securities Act or the Exchange Act. Section 27 of the Exchange Act creates exclusive federal jurisdiction over all suits brought to enforce any duty or liability created by the Exchange Act or the rul</w:t>
      </w:r>
      <w:r>
        <w:rPr>
          <w:sz w:val="20"/>
          <w:szCs w:val="20"/>
        </w:rPr>
        <w:t>es and regulations thereunder. As a result, the exclusive forum provision will not apply to suits brought to enforce any duty or liability created by the Exchange Act or any other claim for which the federal courts have exclusive jurisdiction. In addition,</w:t>
      </w:r>
      <w:r>
        <w:rPr>
          <w:sz w:val="20"/>
          <w:szCs w:val="20"/>
        </w:rPr>
        <w:t xml:space="preserve"> Section 22 of the Securities Act creates concurrent jurisdiction for federal and state courts over all suits brought to enforce any duty or liability created by the Securities Act or the rules and regulations thereunder. As a result, the exclusive forum p</w:t>
      </w:r>
      <w:r>
        <w:rPr>
          <w:sz w:val="20"/>
          <w:szCs w:val="20"/>
        </w:rPr>
        <w:t>rovision will not apply to suits brought to enforce any duty or liability created by the Securities Act or any other claim for which the federal and state courts have concurrent jurisdiction. Accordingly, our exclusive forum provision will not relieve us o</w:t>
      </w:r>
      <w:r>
        <w:rPr>
          <w:sz w:val="20"/>
          <w:szCs w:val="20"/>
        </w:rPr>
        <w:t>f our duties to comply with the federal securities laws and the rules and regulations thereunder, and our stockholders will not be deemed to have waived our compliance with these laws, rules and regulations.</w:t>
      </w:r>
    </w:p>
    <w:p w:rsidR="00000000" w:rsidRDefault="00FF2C06">
      <w:pPr>
        <w:pStyle w:val="a3"/>
        <w:spacing w:before="0" w:beforeAutospacing="0" w:after="200" w:afterAutospacing="0"/>
        <w:ind w:firstLine="547"/>
        <w:divId w:val="870802468"/>
        <w:rPr>
          <w:sz w:val="20"/>
          <w:szCs w:val="20"/>
        </w:rPr>
      </w:pPr>
      <w:r>
        <w:rPr>
          <w:sz w:val="20"/>
          <w:szCs w:val="20"/>
        </w:rPr>
        <w:t xml:space="preserve">If a court were to find these provisions of our certificate of incorporation, as amended inapplicable to, or unenforceable in respect of, one or more of the specified types of actions or proceedings, we may incur additional costs associated with resolving </w:t>
      </w:r>
      <w:r>
        <w:rPr>
          <w:sz w:val="20"/>
          <w:szCs w:val="20"/>
        </w:rPr>
        <w:t>such matters in other jurisdictions, which could adversely affect our business, results of operations and financial condition. Even if we are successful in defending against these claims, litigation could result in substantial costs and be a distraction to</w:t>
      </w:r>
      <w:r>
        <w:rPr>
          <w:sz w:val="20"/>
          <w:szCs w:val="20"/>
        </w:rPr>
        <w:t xml:space="preserve"> management and other employees.</w:t>
      </w:r>
    </w:p>
    <w:p w:rsidR="00000000" w:rsidRDefault="00FF2C06">
      <w:pPr>
        <w:pStyle w:val="a3"/>
        <w:spacing w:before="0" w:beforeAutospacing="0" w:after="200" w:afterAutospacing="0"/>
        <w:ind w:firstLine="547"/>
        <w:divId w:val="870802468"/>
        <w:rPr>
          <w:sz w:val="20"/>
          <w:szCs w:val="20"/>
        </w:rPr>
      </w:pPr>
      <w:r>
        <w:rPr>
          <w:b/>
          <w:bCs/>
          <w:i/>
          <w:iCs/>
          <w:sz w:val="20"/>
          <w:szCs w:val="20"/>
        </w:rPr>
        <w:t>Provisions in our amended and restated bylaws could limit our stockholders’ ability to obtain a favorable judicial forum for disputes with us or our directors, officers or employees.</w:t>
      </w:r>
    </w:p>
    <w:p w:rsidR="00000000" w:rsidRDefault="00FF2C06">
      <w:pPr>
        <w:pStyle w:val="a3"/>
        <w:spacing w:before="0" w:beforeAutospacing="0" w:after="200" w:afterAutospacing="0"/>
        <w:ind w:firstLine="547"/>
        <w:divId w:val="870802468"/>
        <w:rPr>
          <w:sz w:val="20"/>
          <w:szCs w:val="20"/>
        </w:rPr>
      </w:pPr>
      <w:r>
        <w:rPr>
          <w:sz w:val="20"/>
          <w:szCs w:val="20"/>
        </w:rPr>
        <w:t xml:space="preserve">Our amended and restated bylaws provide </w:t>
      </w:r>
      <w:r>
        <w:rPr>
          <w:sz w:val="20"/>
          <w:szCs w:val="20"/>
        </w:rPr>
        <w:t xml:space="preserve">that, unless we consent in writing to the selection of an alternative forum, the federal district courts of the United States of America shall be the exclusive forum for the resolution of any complaint asserting a cause of action under the Securities Act. </w:t>
      </w:r>
      <w:r>
        <w:rPr>
          <w:sz w:val="20"/>
          <w:szCs w:val="20"/>
        </w:rPr>
        <w:t>This provision limits the ability of our shareholders to bring claims under the Securities Act in any court other than the United States federal courts, which ultimately may disadvantage our shareholders or be cost prohibitive. Notwithstanding the foregoin</w:t>
      </w:r>
      <w:r>
        <w:rPr>
          <w:sz w:val="20"/>
          <w:szCs w:val="20"/>
        </w:rPr>
        <w:t>g, there is uncertainty as to whether a court (other than state courts in the State of Delaware, which have recently upheld the validity of such a provision) would enforce such a provision and whether investors can waive compliance with the federal securit</w:t>
      </w:r>
      <w:r>
        <w:rPr>
          <w:sz w:val="20"/>
          <w:szCs w:val="20"/>
        </w:rPr>
        <w:t xml:space="preserve">ies laws and the rules and regulations thereunder. Furthermore, the exclusive forum provision only applies to claims brought under the Securities Act, and does not apply to actions arising under the Exchange Act, which is already subject to federal courts </w:t>
      </w:r>
      <w:r>
        <w:rPr>
          <w:sz w:val="20"/>
          <w:szCs w:val="20"/>
        </w:rPr>
        <w:t>as the exclusive forum.</w:t>
      </w:r>
    </w:p>
    <w:p w:rsidR="00000000" w:rsidRDefault="00FF2C06">
      <w:pPr>
        <w:pStyle w:val="a3"/>
        <w:spacing w:before="0" w:beforeAutospacing="0" w:after="200" w:afterAutospacing="0"/>
        <w:ind w:firstLine="547"/>
        <w:divId w:val="870802468"/>
        <w:rPr>
          <w:sz w:val="20"/>
          <w:szCs w:val="20"/>
        </w:rPr>
      </w:pPr>
      <w:r>
        <w:rPr>
          <w:sz w:val="20"/>
          <w:szCs w:val="20"/>
        </w:rPr>
        <w:t>If a court were to find these provisions of our amended and restated bylaws inapplicable to, or unenforceable in respect of, one or more of the specified types of actions or proceedings, we may incur additional costs associated with</w:t>
      </w:r>
      <w:r>
        <w:rPr>
          <w:sz w:val="20"/>
          <w:szCs w:val="20"/>
        </w:rPr>
        <w:t xml:space="preserve"> resolving such matters in other jurisdictions, which could adversely affect our business, results of operations and financial condition. Even if we are successful in defending against these claims, litigation could result in substantial costs and be a dis</w:t>
      </w:r>
      <w:r>
        <w:rPr>
          <w:sz w:val="20"/>
          <w:szCs w:val="20"/>
        </w:rPr>
        <w:t>traction to management and other employees.</w:t>
      </w:r>
    </w:p>
    <w:p w:rsidR="00000000" w:rsidRDefault="00FF2C06">
      <w:pPr>
        <w:pStyle w:val="a3"/>
        <w:spacing w:before="480" w:beforeAutospacing="0" w:after="0" w:afterAutospacing="0"/>
        <w:jc w:val="center"/>
        <w:divId w:val="1337072424"/>
        <w:rPr>
          <w:sz w:val="20"/>
          <w:szCs w:val="20"/>
        </w:rPr>
      </w:pPr>
      <w:r>
        <w:rPr>
          <w:sz w:val="20"/>
          <w:szCs w:val="20"/>
        </w:rPr>
        <w:t>79</w:t>
      </w:r>
    </w:p>
    <w:p w:rsidR="00000000" w:rsidRDefault="00FF2C06">
      <w:pPr>
        <w:pStyle w:val="a3"/>
        <w:spacing w:before="0" w:beforeAutospacing="0" w:after="600" w:afterAutospacing="0"/>
        <w:divId w:val="1070813193"/>
        <w:rPr>
          <w:sz w:val="20"/>
          <w:szCs w:val="20"/>
        </w:rPr>
      </w:pPr>
      <w:hyperlink w:anchor="TOC" w:history="1">
        <w:r>
          <w:rPr>
            <w:rStyle w:val="a4"/>
            <w:sz w:val="20"/>
            <w:szCs w:val="20"/>
          </w:rPr>
          <w:t>Table of Contents</w:t>
        </w:r>
      </w:hyperlink>
    </w:p>
    <w:p w:rsidR="00000000" w:rsidRDefault="00FF2C06">
      <w:pPr>
        <w:pStyle w:val="a3"/>
        <w:spacing w:before="0" w:beforeAutospacing="0" w:after="200" w:afterAutospacing="0"/>
        <w:ind w:firstLine="547"/>
        <w:divId w:val="94520543"/>
        <w:rPr>
          <w:sz w:val="20"/>
          <w:szCs w:val="20"/>
        </w:rPr>
      </w:pPr>
      <w:r>
        <w:rPr>
          <w:b/>
          <w:bCs/>
          <w:i/>
          <w:iCs/>
          <w:sz w:val="20"/>
          <w:szCs w:val="20"/>
        </w:rPr>
        <w:t>We may be subject to claims for rescission or damages in connection with certain sales of shares of our common stock in the open market.</w:t>
      </w:r>
    </w:p>
    <w:p w:rsidR="00000000" w:rsidRDefault="00FF2C06">
      <w:pPr>
        <w:pStyle w:val="a3"/>
        <w:spacing w:before="0" w:beforeAutospacing="0" w:after="0" w:afterAutospacing="0"/>
        <w:ind w:firstLine="547"/>
        <w:divId w:val="94520543"/>
        <w:rPr>
          <w:sz w:val="20"/>
          <w:szCs w:val="20"/>
        </w:rPr>
      </w:pPr>
      <w:r>
        <w:rPr>
          <w:sz w:val="20"/>
          <w:szCs w:val="20"/>
        </w:rPr>
        <w:t>In connection with our reincorporation from Nevada to Delaware in 2017, we (as a Delaware corporation) untimely filed a</w:t>
      </w:r>
      <w:r>
        <w:rPr>
          <w:sz w:val="20"/>
          <w:szCs w:val="20"/>
        </w:rPr>
        <w:t xml:space="preserve"> post-effective amendment to adopt a Form S-8 registration statement that we filed (as a Nevada corporation) to register the shares underlying our2011 Equity Incentive Plan. Before we filed the required post-effective amendment, options to purchase 200,000</w:t>
      </w:r>
      <w:r>
        <w:rPr>
          <w:sz w:val="20"/>
          <w:szCs w:val="20"/>
        </w:rPr>
        <w:t xml:space="preserve"> shares were exercised under the 2011 Equity Incentive Plan. The effect of the delayed post-effective amendment filing on the 200,000 option shares is uncertain, but the issuance and sale of the shares may not have been in compliance with the Form S-8 regi</w:t>
      </w:r>
      <w:r>
        <w:rPr>
          <w:sz w:val="20"/>
          <w:szCs w:val="20"/>
        </w:rPr>
        <w:t>stration statement. The existence of any liability to us, and the amount of any such liability to us, as a result of the issuance of the 200,000 shares is uncertain. Accordingly, no accrual for a potential claim has been made in our financial statements.</w:t>
      </w:r>
    </w:p>
    <w:p w:rsidR="00000000" w:rsidRDefault="00FF2C06">
      <w:pPr>
        <w:pStyle w:val="a3"/>
        <w:spacing w:before="0" w:beforeAutospacing="0" w:after="0" w:afterAutospacing="0"/>
        <w:divId w:val="94520543"/>
        <w:rPr>
          <w:sz w:val="20"/>
          <w:szCs w:val="20"/>
        </w:rPr>
      </w:pPr>
      <w:r>
        <w:rPr>
          <w:sz w:val="20"/>
          <w:szCs w:val="20"/>
        </w:rPr>
        <w:t>​</w:t>
      </w:r>
    </w:p>
    <w:p w:rsidR="00000000" w:rsidRDefault="00FF2C06">
      <w:pPr>
        <w:pStyle w:val="a3"/>
        <w:spacing w:before="0" w:beforeAutospacing="0" w:after="200" w:afterAutospacing="0"/>
        <w:divId w:val="94520543"/>
        <w:rPr>
          <w:sz w:val="20"/>
          <w:szCs w:val="20"/>
        </w:rPr>
      </w:pPr>
      <w:r>
        <w:rPr>
          <w:b/>
          <w:bCs/>
          <w:color w:val="000000"/>
          <w:sz w:val="20"/>
          <w:szCs w:val="20"/>
        </w:rPr>
        <w:t>Item 2</w:t>
      </w:r>
      <w:r>
        <w:rPr>
          <w:b/>
          <w:bCs/>
          <w:color w:val="000000"/>
          <w:sz w:val="20"/>
          <w:szCs w:val="20"/>
        </w:rPr>
        <w:t>.</w:t>
      </w:r>
      <w:r>
        <w:rPr>
          <w:b/>
          <w:bCs/>
          <w:sz w:val="20"/>
          <w:szCs w:val="20"/>
        </w:rPr>
        <w:t>Unregistered Sales of Securities and Use of Proceeds.</w:t>
      </w:r>
    </w:p>
    <w:p w:rsidR="00000000" w:rsidRDefault="00FF2C06">
      <w:pPr>
        <w:pStyle w:val="a3"/>
        <w:spacing w:before="0" w:beforeAutospacing="0" w:after="0" w:afterAutospacing="0"/>
        <w:ind w:firstLine="547"/>
        <w:divId w:val="94520543"/>
        <w:rPr>
          <w:sz w:val="20"/>
          <w:szCs w:val="20"/>
        </w:rPr>
      </w:pPr>
      <w:r>
        <w:rPr>
          <w:sz w:val="20"/>
          <w:szCs w:val="20"/>
        </w:rPr>
        <w:t>Nothing to report.</w:t>
      </w:r>
    </w:p>
    <w:p w:rsidR="00000000" w:rsidRDefault="00FF2C06">
      <w:pPr>
        <w:pStyle w:val="a3"/>
        <w:spacing w:before="0" w:beforeAutospacing="0" w:after="0" w:afterAutospacing="0"/>
        <w:ind w:firstLine="720"/>
        <w:jc w:val="both"/>
        <w:divId w:val="94520543"/>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1096"/>
        <w:gridCol w:w="2767"/>
      </w:tblGrid>
      <w:tr w:rsidR="00000000">
        <w:trPr>
          <w:divId w:val="94520543"/>
        </w:trPr>
        <w:tc>
          <w:tcPr>
            <w:tcW w:w="1080" w:type="dxa"/>
            <w:noWrap/>
            <w:tcMar>
              <w:top w:w="0" w:type="dxa"/>
              <w:left w:w="0" w:type="dxa"/>
              <w:bottom w:w="0" w:type="dxa"/>
              <w:right w:w="0" w:type="dxa"/>
            </w:tcMar>
            <w:hideMark/>
          </w:tcPr>
          <w:p w:rsidR="00000000" w:rsidRDefault="00FF2C06">
            <w:pPr>
              <w:pStyle w:val="a3"/>
              <w:spacing w:before="0" w:beforeAutospacing="0" w:after="0" w:afterAutospacing="0"/>
              <w:rPr>
                <w:sz w:val="20"/>
                <w:szCs w:val="20"/>
              </w:rPr>
            </w:pPr>
            <w:r>
              <w:rPr>
                <w:b/>
                <w:bCs/>
                <w:sz w:val="20"/>
                <w:szCs w:val="20"/>
              </w:rPr>
              <w:t>Item 3.</w:t>
            </w:r>
          </w:p>
        </w:tc>
        <w:tc>
          <w:tcPr>
            <w:tcW w:w="0" w:type="auto"/>
            <w:tcMar>
              <w:top w:w="0" w:type="dxa"/>
              <w:left w:w="0" w:type="dxa"/>
              <w:bottom w:w="0" w:type="dxa"/>
              <w:right w:w="0" w:type="dxa"/>
            </w:tcMar>
            <w:vAlign w:val="center"/>
            <w:hideMark/>
          </w:tcPr>
          <w:p w:rsidR="00000000" w:rsidRDefault="00FF2C06">
            <w:pPr>
              <w:pStyle w:val="a3"/>
              <w:spacing w:before="0" w:beforeAutospacing="0" w:after="0" w:afterAutospacing="0"/>
              <w:rPr>
                <w:sz w:val="20"/>
                <w:szCs w:val="20"/>
              </w:rPr>
            </w:pPr>
            <w:r>
              <w:rPr>
                <w:b/>
                <w:bCs/>
                <w:sz w:val="20"/>
                <w:szCs w:val="20"/>
              </w:rPr>
              <w:t>Defaults Upon Senior Securities.</w:t>
            </w:r>
          </w:p>
        </w:tc>
      </w:tr>
    </w:tbl>
    <w:p w:rsidR="00000000" w:rsidRDefault="00FF2C06">
      <w:pPr>
        <w:pStyle w:val="a3"/>
        <w:spacing w:before="0" w:beforeAutospacing="0" w:after="0" w:afterAutospacing="0"/>
        <w:jc w:val="both"/>
        <w:divId w:val="94520543"/>
        <w:rPr>
          <w:sz w:val="20"/>
          <w:szCs w:val="20"/>
        </w:rPr>
      </w:pPr>
      <w:r>
        <w:rPr>
          <w:sz w:val="20"/>
          <w:szCs w:val="20"/>
        </w:rPr>
        <w:t>​</w:t>
      </w:r>
    </w:p>
    <w:p w:rsidR="00000000" w:rsidRDefault="00FF2C06">
      <w:pPr>
        <w:pStyle w:val="a3"/>
        <w:spacing w:before="0" w:beforeAutospacing="0" w:after="0" w:afterAutospacing="0"/>
        <w:ind w:firstLine="547"/>
        <w:divId w:val="94520543"/>
        <w:rPr>
          <w:sz w:val="20"/>
          <w:szCs w:val="20"/>
        </w:rPr>
      </w:pPr>
      <w:r>
        <w:rPr>
          <w:sz w:val="20"/>
          <w:szCs w:val="20"/>
        </w:rPr>
        <w:t>Nothing to report.</w:t>
      </w:r>
    </w:p>
    <w:p w:rsidR="00000000" w:rsidRDefault="00FF2C06">
      <w:pPr>
        <w:pStyle w:val="a3"/>
        <w:spacing w:before="0" w:beforeAutospacing="0" w:after="0" w:afterAutospacing="0"/>
        <w:ind w:firstLine="720"/>
        <w:jc w:val="both"/>
        <w:divId w:val="94520543"/>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1096"/>
        <w:gridCol w:w="2045"/>
      </w:tblGrid>
      <w:tr w:rsidR="00000000">
        <w:trPr>
          <w:divId w:val="94520543"/>
        </w:trPr>
        <w:tc>
          <w:tcPr>
            <w:tcW w:w="1080" w:type="dxa"/>
            <w:noWrap/>
            <w:tcMar>
              <w:top w:w="0" w:type="dxa"/>
              <w:left w:w="0" w:type="dxa"/>
              <w:bottom w:w="0" w:type="dxa"/>
              <w:right w:w="0" w:type="dxa"/>
            </w:tcMar>
            <w:hideMark/>
          </w:tcPr>
          <w:p w:rsidR="00000000" w:rsidRDefault="00FF2C06">
            <w:pPr>
              <w:pStyle w:val="a3"/>
              <w:spacing w:before="0" w:beforeAutospacing="0" w:after="200" w:afterAutospacing="0"/>
              <w:rPr>
                <w:sz w:val="20"/>
                <w:szCs w:val="20"/>
              </w:rPr>
            </w:pPr>
            <w:r>
              <w:rPr>
                <w:b/>
                <w:bCs/>
                <w:sz w:val="20"/>
                <w:szCs w:val="20"/>
              </w:rPr>
              <w:t>Item 4.</w:t>
            </w:r>
          </w:p>
        </w:tc>
        <w:tc>
          <w:tcPr>
            <w:tcW w:w="0" w:type="auto"/>
            <w:tcMar>
              <w:top w:w="0" w:type="dxa"/>
              <w:left w:w="0" w:type="dxa"/>
              <w:bottom w:w="0" w:type="dxa"/>
              <w:right w:w="0" w:type="dxa"/>
            </w:tcMar>
            <w:vAlign w:val="center"/>
            <w:hideMark/>
          </w:tcPr>
          <w:p w:rsidR="00000000" w:rsidRDefault="00FF2C06">
            <w:pPr>
              <w:pStyle w:val="a3"/>
              <w:spacing w:before="0" w:beforeAutospacing="0" w:after="200" w:afterAutospacing="0"/>
              <w:rPr>
                <w:sz w:val="20"/>
                <w:szCs w:val="20"/>
              </w:rPr>
            </w:pPr>
            <w:r>
              <w:rPr>
                <w:b/>
                <w:bCs/>
                <w:sz w:val="20"/>
                <w:szCs w:val="20"/>
              </w:rPr>
              <w:t>Mine Safety Disclosures</w:t>
            </w:r>
          </w:p>
        </w:tc>
      </w:tr>
    </w:tbl>
    <w:p w:rsidR="00000000" w:rsidRDefault="00FF2C06">
      <w:pPr>
        <w:pStyle w:val="a3"/>
        <w:spacing w:before="0" w:beforeAutospacing="0" w:after="0" w:afterAutospacing="0"/>
        <w:ind w:firstLine="547"/>
        <w:divId w:val="94520543"/>
        <w:rPr>
          <w:sz w:val="20"/>
          <w:szCs w:val="20"/>
        </w:rPr>
      </w:pPr>
      <w:r>
        <w:rPr>
          <w:sz w:val="20"/>
          <w:szCs w:val="20"/>
        </w:rPr>
        <w:t>Nothing to report.</w:t>
      </w:r>
    </w:p>
    <w:p w:rsidR="00000000" w:rsidRDefault="00FF2C06">
      <w:pPr>
        <w:pStyle w:val="a3"/>
        <w:spacing w:before="0" w:beforeAutospacing="0" w:after="0" w:afterAutospacing="0"/>
        <w:ind w:firstLine="720"/>
        <w:jc w:val="both"/>
        <w:divId w:val="94520543"/>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1096"/>
        <w:gridCol w:w="1656"/>
      </w:tblGrid>
      <w:tr w:rsidR="00000000">
        <w:trPr>
          <w:divId w:val="94520543"/>
        </w:trPr>
        <w:tc>
          <w:tcPr>
            <w:tcW w:w="1080" w:type="dxa"/>
            <w:noWrap/>
            <w:tcMar>
              <w:top w:w="0" w:type="dxa"/>
              <w:left w:w="0" w:type="dxa"/>
              <w:bottom w:w="0" w:type="dxa"/>
              <w:right w:w="0" w:type="dxa"/>
            </w:tcMar>
            <w:hideMark/>
          </w:tcPr>
          <w:p w:rsidR="00000000" w:rsidRDefault="00FF2C06">
            <w:pPr>
              <w:pStyle w:val="a3"/>
              <w:spacing w:before="0" w:beforeAutospacing="0" w:after="200" w:afterAutospacing="0"/>
              <w:rPr>
                <w:sz w:val="20"/>
                <w:szCs w:val="20"/>
              </w:rPr>
            </w:pPr>
            <w:r>
              <w:rPr>
                <w:b/>
                <w:bCs/>
                <w:sz w:val="20"/>
                <w:szCs w:val="20"/>
              </w:rPr>
              <w:t>Item 5.</w:t>
            </w:r>
          </w:p>
        </w:tc>
        <w:tc>
          <w:tcPr>
            <w:tcW w:w="0" w:type="auto"/>
            <w:tcMar>
              <w:top w:w="0" w:type="dxa"/>
              <w:left w:w="0" w:type="dxa"/>
              <w:bottom w:w="0" w:type="dxa"/>
              <w:right w:w="0" w:type="dxa"/>
            </w:tcMar>
            <w:vAlign w:val="center"/>
            <w:hideMark/>
          </w:tcPr>
          <w:p w:rsidR="00000000" w:rsidRDefault="00FF2C06">
            <w:pPr>
              <w:pStyle w:val="a3"/>
              <w:spacing w:before="0" w:beforeAutospacing="0" w:after="200" w:afterAutospacing="0"/>
              <w:rPr>
                <w:sz w:val="20"/>
                <w:szCs w:val="20"/>
              </w:rPr>
            </w:pPr>
            <w:r>
              <w:rPr>
                <w:b/>
                <w:bCs/>
                <w:sz w:val="20"/>
                <w:szCs w:val="20"/>
              </w:rPr>
              <w:t>Other Information.</w:t>
            </w:r>
          </w:p>
        </w:tc>
      </w:tr>
    </w:tbl>
    <w:p w:rsidR="00000000" w:rsidRDefault="00FF2C06">
      <w:pPr>
        <w:pStyle w:val="a3"/>
        <w:spacing w:before="0" w:beforeAutospacing="0" w:after="200" w:afterAutospacing="0"/>
        <w:ind w:firstLine="547"/>
        <w:divId w:val="94520543"/>
        <w:rPr>
          <w:sz w:val="20"/>
          <w:szCs w:val="20"/>
        </w:rPr>
      </w:pPr>
      <w:r>
        <w:rPr>
          <w:sz w:val="20"/>
          <w:szCs w:val="20"/>
        </w:rPr>
        <w:t>In July 2020, we entered into a Severance Agreement and General Release with Timothy Morris, our former Chief Financial Officer, effective as of July 8, 2020, pursuant to which Mr. Morris received the severance payment described in Section 6.2 of his Execu</w:t>
      </w:r>
      <w:r>
        <w:rPr>
          <w:sz w:val="20"/>
          <w:szCs w:val="20"/>
        </w:rPr>
        <w:t>tive Employment Agreement effective August 14, 2017.</w:t>
      </w:r>
      <w:r>
        <w:rPr>
          <w:sz w:val="20"/>
          <w:szCs w:val="20"/>
        </w:rPr>
        <w:t xml:space="preserve"> </w:t>
      </w:r>
    </w:p>
    <w:p w:rsidR="00000000" w:rsidRDefault="00FF2C06">
      <w:pPr>
        <w:pStyle w:val="a3"/>
        <w:spacing w:before="0" w:beforeAutospacing="0" w:after="0" w:afterAutospacing="0"/>
        <w:ind w:firstLine="547"/>
        <w:divId w:val="94520543"/>
        <w:rPr>
          <w:sz w:val="20"/>
          <w:szCs w:val="20"/>
        </w:rPr>
      </w:pPr>
      <w:r>
        <w:rPr>
          <w:sz w:val="20"/>
          <w:szCs w:val="20"/>
        </w:rPr>
        <w:t>​</w:t>
      </w:r>
    </w:p>
    <w:p w:rsidR="00000000" w:rsidRDefault="00FF2C06">
      <w:pPr>
        <w:pStyle w:val="a3"/>
        <w:spacing w:before="0" w:beforeAutospacing="0" w:after="0" w:afterAutospacing="0"/>
        <w:divId w:val="94520543"/>
        <w:rPr>
          <w:sz w:val="20"/>
          <w:szCs w:val="20"/>
        </w:rPr>
      </w:pPr>
      <w:r>
        <w:rPr>
          <w:sz w:val="20"/>
          <w:szCs w:val="20"/>
        </w:rPr>
        <w:t>​</w:t>
      </w:r>
    </w:p>
    <w:p w:rsidR="00000000" w:rsidRDefault="00FF2C06">
      <w:pPr>
        <w:pStyle w:val="a3"/>
        <w:spacing w:before="480" w:beforeAutospacing="0" w:after="0" w:afterAutospacing="0"/>
        <w:jc w:val="center"/>
        <w:divId w:val="1261915459"/>
        <w:rPr>
          <w:sz w:val="20"/>
          <w:szCs w:val="20"/>
        </w:rPr>
      </w:pPr>
      <w:r>
        <w:rPr>
          <w:sz w:val="20"/>
          <w:szCs w:val="20"/>
        </w:rPr>
        <w:t>80</w:t>
      </w:r>
    </w:p>
    <w:p w:rsidR="00000000" w:rsidRDefault="00FF2C06">
      <w:pPr>
        <w:pStyle w:val="a3"/>
        <w:spacing w:before="0" w:beforeAutospacing="0" w:after="600" w:afterAutospacing="0"/>
        <w:divId w:val="585114119"/>
        <w:rPr>
          <w:sz w:val="20"/>
          <w:szCs w:val="20"/>
        </w:rPr>
      </w:pPr>
      <w:hyperlink w:anchor="TOC" w:history="1">
        <w:r>
          <w:rPr>
            <w:rStyle w:val="a4"/>
            <w:sz w:val="20"/>
            <w:szCs w:val="20"/>
          </w:rPr>
          <w:t>Table of Contents</w:t>
        </w:r>
      </w:hyperlink>
    </w:p>
    <w:p w:rsidR="00000000" w:rsidRDefault="00FF2C06">
      <w:pPr>
        <w:pStyle w:val="a3"/>
        <w:spacing w:before="0" w:beforeAutospacing="0" w:after="200" w:afterAutospacing="0"/>
        <w:divId w:val="2140758132"/>
        <w:rPr>
          <w:sz w:val="20"/>
          <w:szCs w:val="20"/>
        </w:rPr>
      </w:pPr>
      <w:r>
        <w:rPr>
          <w:b/>
          <w:bCs/>
          <w:color w:val="000000"/>
          <w:sz w:val="20"/>
          <w:szCs w:val="20"/>
        </w:rPr>
        <w:t>Item 6</w:t>
      </w:r>
      <w:r>
        <w:rPr>
          <w:b/>
          <w:bCs/>
          <w:color w:val="000000"/>
          <w:sz w:val="20"/>
          <w:szCs w:val="20"/>
        </w:rPr>
        <w:t>.</w:t>
      </w:r>
      <w:r>
        <w:rPr>
          <w:b/>
          <w:bCs/>
          <w:sz w:val="20"/>
          <w:szCs w:val="20"/>
        </w:rPr>
        <w:t>Exhibits</w:t>
      </w:r>
    </w:p>
    <w:p w:rsidR="00000000" w:rsidRDefault="00FF2C06">
      <w:pPr>
        <w:pStyle w:val="a3"/>
        <w:spacing w:before="0" w:beforeAutospacing="0" w:after="0" w:afterAutospacing="0"/>
        <w:jc w:val="center"/>
        <w:divId w:val="2140758132"/>
        <w:rPr>
          <w:sz w:val="20"/>
          <w:szCs w:val="20"/>
        </w:rPr>
      </w:pPr>
      <w:r>
        <w:rPr>
          <w:b/>
          <w:bCs/>
          <w:sz w:val="20"/>
          <w:szCs w:val="20"/>
        </w:rPr>
        <w:t>EXHIBIT INDEX</w:t>
      </w:r>
    </w:p>
    <w:p w:rsidR="00000000" w:rsidRDefault="00FF2C06">
      <w:pPr>
        <w:pStyle w:val="a3"/>
        <w:spacing w:before="0" w:beforeAutospacing="0" w:after="0" w:afterAutospacing="0"/>
        <w:divId w:val="214075813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44"/>
        <w:gridCol w:w="200"/>
        <w:gridCol w:w="7462"/>
      </w:tblGrid>
      <w:tr w:rsidR="00000000">
        <w:trPr>
          <w:divId w:val="2140758132"/>
          <w:trHeight w:val="20"/>
        </w:trPr>
        <w:tc>
          <w:tcPr>
            <w:tcW w:w="395" w:type="pct"/>
            <w:tcMar>
              <w:top w:w="0" w:type="dxa"/>
              <w:left w:w="0" w:type="dxa"/>
              <w:bottom w:w="0" w:type="dxa"/>
              <w:right w:w="0" w:type="dxa"/>
            </w:tcMar>
            <w:hideMark/>
          </w:tcPr>
          <w:p w:rsidR="00000000" w:rsidRDefault="00FF2C06">
            <w:pPr>
              <w:rPr>
                <w:sz w:val="20"/>
                <w:szCs w:val="20"/>
              </w:rPr>
            </w:pPr>
          </w:p>
        </w:tc>
        <w:tc>
          <w:tcPr>
            <w:tcW w:w="106" w:type="pct"/>
            <w:tcMar>
              <w:top w:w="0" w:type="dxa"/>
              <w:left w:w="0" w:type="dxa"/>
              <w:bottom w:w="0" w:type="dxa"/>
              <w:right w:w="0" w:type="dxa"/>
            </w:tcMar>
            <w:hideMark/>
          </w:tcPr>
          <w:p w:rsidR="00000000" w:rsidRDefault="00FF2C06">
            <w:pPr>
              <w:rPr>
                <w:rFonts w:eastAsia="Times New Roman"/>
                <w:sz w:val="20"/>
                <w:szCs w:val="20"/>
              </w:rPr>
            </w:pPr>
          </w:p>
        </w:tc>
        <w:tc>
          <w:tcPr>
            <w:tcW w:w="4497" w:type="pct"/>
            <w:tcMar>
              <w:top w:w="0" w:type="dxa"/>
              <w:left w:w="0" w:type="dxa"/>
              <w:bottom w:w="0" w:type="dxa"/>
              <w:right w:w="0" w:type="dxa"/>
            </w:tcMar>
            <w:hideMark/>
          </w:tcPr>
          <w:p w:rsidR="00000000" w:rsidRDefault="00FF2C06">
            <w:pPr>
              <w:rPr>
                <w:rFonts w:eastAsia="Times New Roman"/>
                <w:sz w:val="20"/>
                <w:szCs w:val="20"/>
              </w:rPr>
            </w:pPr>
          </w:p>
        </w:tc>
      </w:tr>
      <w:tr w:rsidR="00000000">
        <w:trPr>
          <w:divId w:val="2140758132"/>
        </w:trPr>
        <w:tc>
          <w:tcPr>
            <w:tcW w:w="395" w:type="pct"/>
            <w:tcBorders>
              <w:bottom w:val="single" w:sz="6" w:space="0" w:color="000000"/>
            </w:tcBorders>
            <w:tcMar>
              <w:top w:w="0" w:type="dxa"/>
              <w:left w:w="0" w:type="dxa"/>
              <w:bottom w:w="0" w:type="dxa"/>
              <w:right w:w="0" w:type="dxa"/>
            </w:tcMar>
            <w:hideMark/>
          </w:tcPr>
          <w:p w:rsidR="00000000" w:rsidRDefault="00FF2C06">
            <w:pPr>
              <w:pStyle w:val="a3"/>
              <w:spacing w:before="0" w:beforeAutospacing="0" w:after="0" w:afterAutospacing="0"/>
              <w:rPr>
                <w:sz w:val="20"/>
                <w:szCs w:val="20"/>
              </w:rPr>
            </w:pPr>
            <w:r>
              <w:rPr>
                <w:sz w:val="20"/>
                <w:szCs w:val="20"/>
              </w:rPr>
              <w:t>Exhibit</w:t>
            </w:r>
          </w:p>
        </w:tc>
        <w:tc>
          <w:tcPr>
            <w:tcW w:w="106" w:type="pct"/>
            <w:tcMar>
              <w:top w:w="0" w:type="dxa"/>
              <w:left w:w="0" w:type="dxa"/>
              <w:bottom w:w="0" w:type="dxa"/>
              <w:right w:w="0" w:type="dxa"/>
            </w:tcMar>
            <w:hideMark/>
          </w:tcPr>
          <w:p w:rsidR="00000000" w:rsidRDefault="00FF2C06">
            <w:pPr>
              <w:pStyle w:val="a3"/>
              <w:spacing w:before="0" w:beforeAutospacing="0" w:after="0" w:afterAutospacing="0"/>
              <w:rPr>
                <w:sz w:val="20"/>
                <w:szCs w:val="20"/>
              </w:rPr>
            </w:pPr>
            <w:r>
              <w:rPr>
                <w:sz w:val="20"/>
                <w:szCs w:val="20"/>
              </w:rPr>
              <w:t>    </w:t>
            </w:r>
          </w:p>
        </w:tc>
        <w:tc>
          <w:tcPr>
            <w:tcW w:w="4497" w:type="pct"/>
            <w:tcBorders>
              <w:bottom w:val="single" w:sz="6" w:space="0" w:color="000000"/>
            </w:tcBorders>
            <w:tcMar>
              <w:top w:w="0" w:type="dxa"/>
              <w:left w:w="0" w:type="dxa"/>
              <w:bottom w:w="0" w:type="dxa"/>
              <w:right w:w="0" w:type="dxa"/>
            </w:tcMar>
            <w:hideMark/>
          </w:tcPr>
          <w:p w:rsidR="00000000" w:rsidRDefault="00FF2C06">
            <w:pPr>
              <w:pStyle w:val="a3"/>
              <w:spacing w:before="0" w:beforeAutospacing="0" w:after="0" w:afterAutospacing="0"/>
              <w:jc w:val="center"/>
              <w:rPr>
                <w:sz w:val="20"/>
                <w:szCs w:val="20"/>
              </w:rPr>
            </w:pPr>
            <w:r>
              <w:rPr>
                <w:sz w:val="20"/>
                <w:szCs w:val="20"/>
              </w:rPr>
              <w:t>Description</w:t>
            </w:r>
          </w:p>
        </w:tc>
      </w:tr>
      <w:tr w:rsidR="00000000">
        <w:trPr>
          <w:divId w:val="2140758132"/>
        </w:trPr>
        <w:tc>
          <w:tcPr>
            <w:tcW w:w="395" w:type="pct"/>
            <w:tcMar>
              <w:top w:w="0" w:type="dxa"/>
              <w:left w:w="0" w:type="dxa"/>
              <w:bottom w:w="0" w:type="dxa"/>
              <w:right w:w="0" w:type="dxa"/>
            </w:tcMar>
            <w:hideMark/>
          </w:tcPr>
          <w:p w:rsidR="00000000" w:rsidRDefault="00FF2C06">
            <w:pPr>
              <w:pStyle w:val="a3"/>
              <w:spacing w:before="0" w:beforeAutospacing="0" w:after="0" w:afterAutospacing="0"/>
              <w:rPr>
                <w:sz w:val="20"/>
                <w:szCs w:val="20"/>
              </w:rPr>
            </w:pPr>
            <w:r>
              <w:rPr>
                <w:sz w:val="20"/>
                <w:szCs w:val="20"/>
              </w:rPr>
              <w:t xml:space="preserve">10.1** </w:t>
            </w:r>
          </w:p>
        </w:tc>
        <w:tc>
          <w:tcPr>
            <w:tcW w:w="106" w:type="pct"/>
            <w:tcMar>
              <w:top w:w="0" w:type="dxa"/>
              <w:left w:w="0" w:type="dxa"/>
              <w:bottom w:w="0" w:type="dxa"/>
              <w:right w:w="0" w:type="dxa"/>
            </w:tcMar>
            <w:hideMark/>
          </w:tcPr>
          <w:p w:rsidR="00000000" w:rsidRDefault="00FF2C06">
            <w:pPr>
              <w:pStyle w:val="a3"/>
              <w:spacing w:before="0" w:beforeAutospacing="0" w:after="0" w:afterAutospacing="0"/>
              <w:rPr>
                <w:sz w:val="20"/>
                <w:szCs w:val="20"/>
              </w:rPr>
            </w:pPr>
            <w:r>
              <w:rPr>
                <w:sz w:val="20"/>
                <w:szCs w:val="20"/>
              </w:rPr>
              <w:t>​</w:t>
            </w:r>
          </w:p>
        </w:tc>
        <w:tc>
          <w:tcPr>
            <w:tcW w:w="4497" w:type="pct"/>
            <w:tcMar>
              <w:top w:w="0" w:type="dxa"/>
              <w:left w:w="0" w:type="dxa"/>
              <w:bottom w:w="0" w:type="dxa"/>
              <w:right w:w="0" w:type="dxa"/>
            </w:tcMar>
            <w:hideMark/>
          </w:tcPr>
          <w:p w:rsidR="00000000" w:rsidRDefault="00FF2C06">
            <w:pPr>
              <w:pStyle w:val="a3"/>
              <w:spacing w:before="0" w:beforeAutospacing="0" w:after="0" w:afterAutospacing="0"/>
              <w:rPr>
                <w:sz w:val="20"/>
                <w:szCs w:val="20"/>
              </w:rPr>
            </w:pPr>
            <w:hyperlink r:id="rId6" w:history="1">
              <w:r>
                <w:rPr>
                  <w:rStyle w:val="a4"/>
                  <w:sz w:val="20"/>
                  <w:szCs w:val="20"/>
                </w:rPr>
                <w:t>Severance Agreement and General Release, effective July 8, 2020, between Iovance Biotherapeutics, Inc. and Timothy Morris (incorporated herein by re</w:t>
              </w:r>
              <w:r>
                <w:rPr>
                  <w:rStyle w:val="a4"/>
                  <w:sz w:val="20"/>
                  <w:szCs w:val="20"/>
                </w:rPr>
                <w:t>ference to Exhibit 10.4 to the Registrants Quarterly Report on Form 10-Q filed with the Commission on August 6, 2020).</w:t>
              </w:r>
            </w:hyperlink>
          </w:p>
        </w:tc>
      </w:tr>
      <w:tr w:rsidR="00000000">
        <w:trPr>
          <w:divId w:val="2140758132"/>
        </w:trPr>
        <w:tc>
          <w:tcPr>
            <w:tcW w:w="395" w:type="pct"/>
            <w:tcMar>
              <w:top w:w="0" w:type="dxa"/>
              <w:left w:w="0" w:type="dxa"/>
              <w:bottom w:w="0" w:type="dxa"/>
              <w:right w:w="0" w:type="dxa"/>
            </w:tcMar>
            <w:hideMark/>
          </w:tcPr>
          <w:p w:rsidR="00000000" w:rsidRDefault="00FF2C06">
            <w:pPr>
              <w:pStyle w:val="a3"/>
              <w:spacing w:before="0" w:beforeAutospacing="0" w:after="0" w:afterAutospacing="0"/>
              <w:rPr>
                <w:sz w:val="20"/>
                <w:szCs w:val="20"/>
              </w:rPr>
            </w:pPr>
            <w:r>
              <w:rPr>
                <w:sz w:val="20"/>
                <w:szCs w:val="20"/>
              </w:rPr>
              <w:t>31.1++</w:t>
            </w:r>
          </w:p>
        </w:tc>
        <w:tc>
          <w:tcPr>
            <w:tcW w:w="106" w:type="pct"/>
            <w:tcMar>
              <w:top w:w="0" w:type="dxa"/>
              <w:left w:w="0" w:type="dxa"/>
              <w:bottom w:w="0" w:type="dxa"/>
              <w:right w:w="0" w:type="dxa"/>
            </w:tcMar>
            <w:hideMark/>
          </w:tcPr>
          <w:p w:rsidR="00000000" w:rsidRDefault="00FF2C06">
            <w:pPr>
              <w:rPr>
                <w:sz w:val="20"/>
                <w:szCs w:val="20"/>
              </w:rPr>
            </w:pPr>
          </w:p>
        </w:tc>
        <w:tc>
          <w:tcPr>
            <w:tcW w:w="4497" w:type="pct"/>
            <w:tcMar>
              <w:top w:w="0" w:type="dxa"/>
              <w:left w:w="0" w:type="dxa"/>
              <w:bottom w:w="0" w:type="dxa"/>
              <w:right w:w="0" w:type="dxa"/>
            </w:tcMar>
            <w:hideMark/>
          </w:tcPr>
          <w:p w:rsidR="00000000" w:rsidRDefault="00FF2C06">
            <w:pPr>
              <w:pStyle w:val="a3"/>
              <w:spacing w:before="0" w:beforeAutospacing="0" w:after="0" w:afterAutospacing="0"/>
              <w:rPr>
                <w:sz w:val="20"/>
                <w:szCs w:val="20"/>
              </w:rPr>
            </w:pPr>
            <w:hyperlink r:id="rId7" w:history="1">
              <w:r>
                <w:rPr>
                  <w:rStyle w:val="a4"/>
                  <w:sz w:val="20"/>
                  <w:szCs w:val="20"/>
                </w:rPr>
                <w:t>Rule 13a-14(a)/15d-14(a) Certification of Chief Executive Officer.</w:t>
              </w:r>
            </w:hyperlink>
          </w:p>
        </w:tc>
      </w:tr>
      <w:tr w:rsidR="00000000">
        <w:trPr>
          <w:divId w:val="2140758132"/>
        </w:trPr>
        <w:tc>
          <w:tcPr>
            <w:tcW w:w="395" w:type="pct"/>
            <w:tcMar>
              <w:top w:w="0" w:type="dxa"/>
              <w:left w:w="0" w:type="dxa"/>
              <w:bottom w:w="0" w:type="dxa"/>
              <w:right w:w="0" w:type="dxa"/>
            </w:tcMar>
            <w:hideMark/>
          </w:tcPr>
          <w:p w:rsidR="00000000" w:rsidRDefault="00FF2C06">
            <w:pPr>
              <w:pStyle w:val="a3"/>
              <w:spacing w:before="0" w:beforeAutospacing="0" w:after="0" w:afterAutospacing="0"/>
              <w:rPr>
                <w:sz w:val="20"/>
                <w:szCs w:val="20"/>
              </w:rPr>
            </w:pPr>
            <w:r>
              <w:rPr>
                <w:sz w:val="20"/>
                <w:szCs w:val="20"/>
              </w:rPr>
              <w:t>31.2++</w:t>
            </w:r>
          </w:p>
        </w:tc>
        <w:tc>
          <w:tcPr>
            <w:tcW w:w="106" w:type="pct"/>
            <w:tcMar>
              <w:top w:w="0" w:type="dxa"/>
              <w:left w:w="0" w:type="dxa"/>
              <w:bottom w:w="0" w:type="dxa"/>
              <w:right w:w="0" w:type="dxa"/>
            </w:tcMar>
            <w:hideMark/>
          </w:tcPr>
          <w:p w:rsidR="00000000" w:rsidRDefault="00FF2C06">
            <w:pPr>
              <w:pStyle w:val="a3"/>
              <w:spacing w:before="0" w:beforeAutospacing="0" w:after="0" w:afterAutospacing="0"/>
              <w:rPr>
                <w:sz w:val="20"/>
                <w:szCs w:val="20"/>
              </w:rPr>
            </w:pPr>
            <w:r>
              <w:rPr>
                <w:sz w:val="20"/>
                <w:szCs w:val="20"/>
              </w:rPr>
              <w:t> </w:t>
            </w:r>
          </w:p>
        </w:tc>
        <w:tc>
          <w:tcPr>
            <w:tcW w:w="4497" w:type="pct"/>
            <w:tcMar>
              <w:top w:w="0" w:type="dxa"/>
              <w:left w:w="0" w:type="dxa"/>
              <w:bottom w:w="0" w:type="dxa"/>
              <w:right w:w="0" w:type="dxa"/>
            </w:tcMar>
            <w:hideMark/>
          </w:tcPr>
          <w:p w:rsidR="00000000" w:rsidRDefault="00FF2C06">
            <w:pPr>
              <w:pStyle w:val="a3"/>
              <w:spacing w:before="0" w:beforeAutospacing="0" w:after="0" w:afterAutospacing="0"/>
              <w:rPr>
                <w:sz w:val="20"/>
                <w:szCs w:val="20"/>
              </w:rPr>
            </w:pPr>
            <w:hyperlink r:id="rId8" w:history="1">
              <w:r>
                <w:rPr>
                  <w:rStyle w:val="a4"/>
                  <w:sz w:val="20"/>
                  <w:szCs w:val="20"/>
                </w:rPr>
                <w:t>Rule 13a-14(a)/15d-14(a) Certification of Chief Financial Officer.</w:t>
              </w:r>
            </w:hyperlink>
          </w:p>
        </w:tc>
      </w:tr>
      <w:tr w:rsidR="00000000">
        <w:trPr>
          <w:divId w:val="2140758132"/>
        </w:trPr>
        <w:tc>
          <w:tcPr>
            <w:tcW w:w="395" w:type="pct"/>
            <w:tcMar>
              <w:top w:w="0" w:type="dxa"/>
              <w:left w:w="0" w:type="dxa"/>
              <w:bottom w:w="0" w:type="dxa"/>
              <w:right w:w="0" w:type="dxa"/>
            </w:tcMar>
            <w:hideMark/>
          </w:tcPr>
          <w:p w:rsidR="00000000" w:rsidRDefault="00FF2C06">
            <w:pPr>
              <w:pStyle w:val="a3"/>
              <w:spacing w:before="0" w:beforeAutospacing="0" w:after="0" w:afterAutospacing="0"/>
              <w:rPr>
                <w:sz w:val="20"/>
                <w:szCs w:val="20"/>
              </w:rPr>
            </w:pPr>
            <w:r>
              <w:rPr>
                <w:sz w:val="20"/>
                <w:szCs w:val="20"/>
              </w:rPr>
              <w:t>32.1++</w:t>
            </w:r>
          </w:p>
        </w:tc>
        <w:tc>
          <w:tcPr>
            <w:tcW w:w="106" w:type="pct"/>
            <w:tcMar>
              <w:top w:w="0" w:type="dxa"/>
              <w:left w:w="0" w:type="dxa"/>
              <w:bottom w:w="0" w:type="dxa"/>
              <w:right w:w="0" w:type="dxa"/>
            </w:tcMar>
            <w:hideMark/>
          </w:tcPr>
          <w:p w:rsidR="00000000" w:rsidRDefault="00FF2C06">
            <w:pPr>
              <w:pStyle w:val="a3"/>
              <w:spacing w:before="0" w:beforeAutospacing="0" w:after="0" w:afterAutospacing="0"/>
              <w:rPr>
                <w:sz w:val="20"/>
                <w:szCs w:val="20"/>
              </w:rPr>
            </w:pPr>
            <w:r>
              <w:rPr>
                <w:sz w:val="20"/>
                <w:szCs w:val="20"/>
              </w:rPr>
              <w:t> </w:t>
            </w:r>
          </w:p>
        </w:tc>
        <w:tc>
          <w:tcPr>
            <w:tcW w:w="4497" w:type="pct"/>
            <w:tcMar>
              <w:top w:w="0" w:type="dxa"/>
              <w:left w:w="0" w:type="dxa"/>
              <w:bottom w:w="0" w:type="dxa"/>
              <w:right w:w="0" w:type="dxa"/>
            </w:tcMar>
            <w:hideMark/>
          </w:tcPr>
          <w:p w:rsidR="00000000" w:rsidRDefault="00FF2C06">
            <w:pPr>
              <w:pStyle w:val="a3"/>
              <w:spacing w:before="0" w:beforeAutospacing="0" w:after="0" w:afterAutospacing="0"/>
              <w:rPr>
                <w:sz w:val="20"/>
                <w:szCs w:val="20"/>
              </w:rPr>
            </w:pPr>
            <w:hyperlink r:id="rId9" w:history="1">
              <w:r>
                <w:rPr>
                  <w:rStyle w:val="a4"/>
                  <w:sz w:val="20"/>
                  <w:szCs w:val="20"/>
                </w:rPr>
                <w:t>Section 1350 Certifi</w:t>
              </w:r>
              <w:r>
                <w:rPr>
                  <w:rStyle w:val="a4"/>
                  <w:sz w:val="20"/>
                  <w:szCs w:val="20"/>
                </w:rPr>
                <w:t>cation of Chief Executive Officer (furnished herewith).</w:t>
              </w:r>
            </w:hyperlink>
          </w:p>
        </w:tc>
      </w:tr>
      <w:tr w:rsidR="00000000">
        <w:trPr>
          <w:divId w:val="2140758132"/>
        </w:trPr>
        <w:tc>
          <w:tcPr>
            <w:tcW w:w="395" w:type="pct"/>
            <w:tcMar>
              <w:top w:w="0" w:type="dxa"/>
              <w:left w:w="0" w:type="dxa"/>
              <w:bottom w:w="0" w:type="dxa"/>
              <w:right w:w="0" w:type="dxa"/>
            </w:tcMar>
            <w:hideMark/>
          </w:tcPr>
          <w:p w:rsidR="00000000" w:rsidRDefault="00FF2C06">
            <w:pPr>
              <w:pStyle w:val="a3"/>
              <w:spacing w:before="0" w:beforeAutospacing="0" w:after="0" w:afterAutospacing="0"/>
              <w:rPr>
                <w:sz w:val="20"/>
                <w:szCs w:val="20"/>
              </w:rPr>
            </w:pPr>
            <w:r>
              <w:rPr>
                <w:sz w:val="20"/>
                <w:szCs w:val="20"/>
              </w:rPr>
              <w:t>32.2++</w:t>
            </w:r>
          </w:p>
        </w:tc>
        <w:tc>
          <w:tcPr>
            <w:tcW w:w="106" w:type="pct"/>
            <w:tcMar>
              <w:top w:w="0" w:type="dxa"/>
              <w:left w:w="0" w:type="dxa"/>
              <w:bottom w:w="0" w:type="dxa"/>
              <w:right w:w="0" w:type="dxa"/>
            </w:tcMar>
            <w:hideMark/>
          </w:tcPr>
          <w:p w:rsidR="00000000" w:rsidRDefault="00FF2C06">
            <w:pPr>
              <w:pStyle w:val="a3"/>
              <w:spacing w:before="0" w:beforeAutospacing="0" w:after="0" w:afterAutospacing="0"/>
              <w:rPr>
                <w:sz w:val="20"/>
                <w:szCs w:val="20"/>
              </w:rPr>
            </w:pPr>
            <w:r>
              <w:rPr>
                <w:sz w:val="20"/>
                <w:szCs w:val="20"/>
              </w:rPr>
              <w:t> </w:t>
            </w:r>
          </w:p>
        </w:tc>
        <w:tc>
          <w:tcPr>
            <w:tcW w:w="4497" w:type="pct"/>
            <w:tcMar>
              <w:top w:w="0" w:type="dxa"/>
              <w:left w:w="0" w:type="dxa"/>
              <w:bottom w:w="0" w:type="dxa"/>
              <w:right w:w="0" w:type="dxa"/>
            </w:tcMar>
            <w:hideMark/>
          </w:tcPr>
          <w:p w:rsidR="00000000" w:rsidRDefault="00FF2C06">
            <w:pPr>
              <w:pStyle w:val="a3"/>
              <w:spacing w:before="0" w:beforeAutospacing="0" w:after="0" w:afterAutospacing="0"/>
              <w:rPr>
                <w:sz w:val="20"/>
                <w:szCs w:val="20"/>
              </w:rPr>
            </w:pPr>
            <w:hyperlink r:id="rId10" w:history="1">
              <w:r>
                <w:rPr>
                  <w:rStyle w:val="a4"/>
                  <w:sz w:val="20"/>
                  <w:szCs w:val="20"/>
                </w:rPr>
                <w:t>Section 1350 Certification of Chief Financial Officer (furnished herewith).</w:t>
              </w:r>
            </w:hyperlink>
          </w:p>
        </w:tc>
      </w:tr>
      <w:tr w:rsidR="00000000">
        <w:trPr>
          <w:divId w:val="2140758132"/>
        </w:trPr>
        <w:tc>
          <w:tcPr>
            <w:tcW w:w="395" w:type="pct"/>
            <w:tcMar>
              <w:top w:w="0" w:type="dxa"/>
              <w:left w:w="0" w:type="dxa"/>
              <w:bottom w:w="0" w:type="dxa"/>
              <w:right w:w="0" w:type="dxa"/>
            </w:tcMar>
            <w:hideMark/>
          </w:tcPr>
          <w:p w:rsidR="00000000" w:rsidRDefault="00FF2C06">
            <w:pPr>
              <w:pStyle w:val="a3"/>
              <w:spacing w:before="0" w:beforeAutospacing="0" w:after="0" w:afterAutospacing="0"/>
              <w:rPr>
                <w:sz w:val="20"/>
                <w:szCs w:val="20"/>
              </w:rPr>
            </w:pPr>
            <w:r>
              <w:rPr>
                <w:sz w:val="20"/>
                <w:szCs w:val="20"/>
              </w:rPr>
              <w:t>101</w:t>
            </w:r>
          </w:p>
        </w:tc>
        <w:tc>
          <w:tcPr>
            <w:tcW w:w="106" w:type="pct"/>
            <w:tcMar>
              <w:top w:w="0" w:type="dxa"/>
              <w:left w:w="0" w:type="dxa"/>
              <w:bottom w:w="0" w:type="dxa"/>
              <w:right w:w="0" w:type="dxa"/>
            </w:tcMar>
            <w:hideMark/>
          </w:tcPr>
          <w:p w:rsidR="00000000" w:rsidRDefault="00FF2C06">
            <w:pPr>
              <w:pStyle w:val="a3"/>
              <w:spacing w:before="0" w:beforeAutospacing="0" w:after="0" w:afterAutospacing="0"/>
              <w:rPr>
                <w:sz w:val="20"/>
                <w:szCs w:val="20"/>
              </w:rPr>
            </w:pPr>
            <w:r>
              <w:rPr>
                <w:sz w:val="20"/>
                <w:szCs w:val="20"/>
              </w:rPr>
              <w:t> </w:t>
            </w:r>
          </w:p>
        </w:tc>
        <w:tc>
          <w:tcPr>
            <w:tcW w:w="4497" w:type="pct"/>
            <w:tcMar>
              <w:top w:w="0" w:type="dxa"/>
              <w:left w:w="0" w:type="dxa"/>
              <w:bottom w:w="0" w:type="dxa"/>
              <w:right w:w="0" w:type="dxa"/>
            </w:tcMar>
            <w:hideMark/>
          </w:tcPr>
          <w:p w:rsidR="00000000" w:rsidRDefault="00FF2C06">
            <w:pPr>
              <w:pStyle w:val="a3"/>
              <w:spacing w:before="0" w:beforeAutospacing="0" w:after="0" w:afterAutospacing="0"/>
              <w:rPr>
                <w:sz w:val="20"/>
                <w:szCs w:val="20"/>
              </w:rPr>
            </w:pPr>
            <w:r>
              <w:rPr>
                <w:sz w:val="20"/>
                <w:szCs w:val="20"/>
              </w:rPr>
              <w:t>The following financial information from the Quarterly Report on Form 10-Q of Iovance Biotherapeutics, Inc. for the quarter ended September 30, 2020, formatted in iXBRL (Inline eXtensible Business Reporting Language): (1) Condensed Consolidated Balance She</w:t>
            </w:r>
            <w:r>
              <w:rPr>
                <w:sz w:val="20"/>
                <w:szCs w:val="20"/>
              </w:rPr>
              <w:t>ets as of September 30, 2020 and December 31, 2019; (2) Condensed Consolidated Statements of Operations for the three and nine months ended September 30, 2020 and 2019; (3) Condensed Consolidated Statements of Comprehensive Loss for the three and nine mont</w:t>
            </w:r>
            <w:r>
              <w:rPr>
                <w:sz w:val="20"/>
                <w:szCs w:val="20"/>
              </w:rPr>
              <w:t>hs ended September 30, 2020 and 2019; (4) Condensed Consolidated Statements of Stockholders’ Equity as of September 30, 2020 and December 31, 2019; (5) Condensed Consolidated Statements of Cash Flows for the nine months ended September 30, 2020 and 2019; a</w:t>
            </w:r>
            <w:r>
              <w:rPr>
                <w:sz w:val="20"/>
                <w:szCs w:val="20"/>
              </w:rPr>
              <w:t>nd (6) Notes to Condensed Consolidated Financial Statements.</w:t>
            </w:r>
          </w:p>
        </w:tc>
      </w:tr>
      <w:tr w:rsidR="00000000">
        <w:trPr>
          <w:divId w:val="2140758132"/>
        </w:trPr>
        <w:tc>
          <w:tcPr>
            <w:tcW w:w="395" w:type="pct"/>
            <w:tcMar>
              <w:top w:w="0" w:type="dxa"/>
              <w:left w:w="0" w:type="dxa"/>
              <w:bottom w:w="0" w:type="dxa"/>
              <w:right w:w="0" w:type="dxa"/>
            </w:tcMar>
            <w:hideMark/>
          </w:tcPr>
          <w:p w:rsidR="00000000" w:rsidRDefault="00FF2C06">
            <w:pPr>
              <w:pStyle w:val="a3"/>
              <w:spacing w:before="0" w:beforeAutospacing="0" w:after="0" w:afterAutospacing="0"/>
              <w:rPr>
                <w:sz w:val="20"/>
                <w:szCs w:val="20"/>
              </w:rPr>
            </w:pPr>
            <w:r>
              <w:rPr>
                <w:sz w:val="20"/>
                <w:szCs w:val="20"/>
              </w:rPr>
              <w:t>104</w:t>
            </w:r>
          </w:p>
        </w:tc>
        <w:tc>
          <w:tcPr>
            <w:tcW w:w="106" w:type="pct"/>
            <w:tcMar>
              <w:top w:w="0" w:type="dxa"/>
              <w:left w:w="0" w:type="dxa"/>
              <w:bottom w:w="0" w:type="dxa"/>
              <w:right w:w="0" w:type="dxa"/>
            </w:tcMar>
            <w:hideMark/>
          </w:tcPr>
          <w:p w:rsidR="00000000" w:rsidRDefault="00FF2C06">
            <w:pPr>
              <w:pStyle w:val="a3"/>
              <w:spacing w:before="0" w:beforeAutospacing="0" w:after="0" w:afterAutospacing="0"/>
              <w:rPr>
                <w:sz w:val="20"/>
                <w:szCs w:val="20"/>
              </w:rPr>
            </w:pPr>
            <w:r>
              <w:rPr>
                <w:sz w:val="20"/>
                <w:szCs w:val="20"/>
              </w:rPr>
              <w:t>​</w:t>
            </w:r>
          </w:p>
        </w:tc>
        <w:tc>
          <w:tcPr>
            <w:tcW w:w="4497" w:type="pct"/>
            <w:tcMar>
              <w:top w:w="0" w:type="dxa"/>
              <w:left w:w="0" w:type="dxa"/>
              <w:bottom w:w="0" w:type="dxa"/>
              <w:right w:w="0" w:type="dxa"/>
            </w:tcMar>
            <w:hideMark/>
          </w:tcPr>
          <w:p w:rsidR="00000000" w:rsidRDefault="00FF2C06">
            <w:pPr>
              <w:pStyle w:val="a3"/>
              <w:spacing w:before="0" w:beforeAutospacing="0" w:after="0" w:afterAutospacing="0"/>
              <w:rPr>
                <w:sz w:val="20"/>
                <w:szCs w:val="20"/>
              </w:rPr>
            </w:pPr>
            <w:r>
              <w:rPr>
                <w:sz w:val="20"/>
                <w:szCs w:val="20"/>
              </w:rPr>
              <w:t>Cover Page Interactive Data File – the cover page interactive date file does not appear in the Interactive Date File because its XBRL tags are embedded within the Inline XBRL document.</w:t>
            </w:r>
          </w:p>
        </w:tc>
      </w:tr>
    </w:tbl>
    <w:p w:rsidR="00000000" w:rsidRDefault="00FF2C06">
      <w:pPr>
        <w:pStyle w:val="a3"/>
        <w:spacing w:before="0" w:beforeAutospacing="0" w:after="0" w:afterAutospacing="0"/>
        <w:divId w:val="2140758132"/>
        <w:rPr>
          <w:sz w:val="20"/>
          <w:szCs w:val="20"/>
        </w:rPr>
      </w:pPr>
      <w:r>
        <w:rPr>
          <w:sz w:val="2"/>
          <w:szCs w:val="2"/>
        </w:rPr>
        <w:t>​</w:t>
      </w:r>
    </w:p>
    <w:p w:rsidR="00000000" w:rsidRDefault="00FF2C06">
      <w:pPr>
        <w:pStyle w:val="a3"/>
        <w:spacing w:before="0" w:beforeAutospacing="0" w:after="0" w:afterAutospacing="0"/>
        <w:divId w:val="214075813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80"/>
        <w:gridCol w:w="7726"/>
      </w:tblGrid>
      <w:tr w:rsidR="00000000">
        <w:trPr>
          <w:divId w:val="2140758132"/>
          <w:trHeight w:val="20"/>
        </w:trPr>
        <w:tc>
          <w:tcPr>
            <w:tcW w:w="349" w:type="pct"/>
            <w:tcMar>
              <w:top w:w="0" w:type="dxa"/>
              <w:left w:w="0" w:type="dxa"/>
              <w:bottom w:w="0" w:type="dxa"/>
              <w:right w:w="0" w:type="dxa"/>
            </w:tcMar>
            <w:hideMark/>
          </w:tcPr>
          <w:p w:rsidR="00000000" w:rsidRDefault="00FF2C06">
            <w:pPr>
              <w:rPr>
                <w:sz w:val="20"/>
                <w:szCs w:val="20"/>
              </w:rPr>
            </w:pPr>
          </w:p>
        </w:tc>
        <w:tc>
          <w:tcPr>
            <w:tcW w:w="4650" w:type="pct"/>
            <w:tcMar>
              <w:top w:w="0" w:type="dxa"/>
              <w:left w:w="0" w:type="dxa"/>
              <w:bottom w:w="0" w:type="dxa"/>
              <w:right w:w="0" w:type="dxa"/>
            </w:tcMar>
            <w:hideMark/>
          </w:tcPr>
          <w:p w:rsidR="00000000" w:rsidRDefault="00FF2C06">
            <w:pPr>
              <w:rPr>
                <w:rFonts w:eastAsia="Times New Roman"/>
                <w:sz w:val="20"/>
                <w:szCs w:val="20"/>
              </w:rPr>
            </w:pPr>
          </w:p>
        </w:tc>
      </w:tr>
      <w:tr w:rsidR="00000000">
        <w:trPr>
          <w:divId w:val="2140758132"/>
        </w:trPr>
        <w:tc>
          <w:tcPr>
            <w:tcW w:w="349" w:type="pct"/>
            <w:tcMar>
              <w:top w:w="0" w:type="dxa"/>
              <w:left w:w="0" w:type="dxa"/>
              <w:bottom w:w="0" w:type="dxa"/>
              <w:right w:w="0" w:type="dxa"/>
            </w:tcMar>
            <w:hideMark/>
          </w:tcPr>
          <w:p w:rsidR="00000000" w:rsidRDefault="00FF2C06">
            <w:pPr>
              <w:pStyle w:val="a3"/>
              <w:spacing w:before="0" w:beforeAutospacing="0" w:after="0" w:afterAutospacing="0"/>
              <w:rPr>
                <w:sz w:val="20"/>
                <w:szCs w:val="20"/>
              </w:rPr>
            </w:pPr>
            <w:r>
              <w:rPr>
                <w:sz w:val="20"/>
                <w:szCs w:val="20"/>
              </w:rPr>
              <w:t>**</w:t>
            </w:r>
          </w:p>
        </w:tc>
        <w:tc>
          <w:tcPr>
            <w:tcW w:w="4650" w:type="pct"/>
            <w:tcMar>
              <w:top w:w="0" w:type="dxa"/>
              <w:left w:w="0" w:type="dxa"/>
              <w:bottom w:w="0" w:type="dxa"/>
              <w:right w:w="0" w:type="dxa"/>
            </w:tcMar>
            <w:hideMark/>
          </w:tcPr>
          <w:p w:rsidR="00000000" w:rsidRDefault="00FF2C06">
            <w:pPr>
              <w:pStyle w:val="a3"/>
              <w:spacing w:before="0" w:beforeAutospacing="0" w:after="0" w:afterAutospacing="0"/>
              <w:rPr>
                <w:sz w:val="20"/>
                <w:szCs w:val="20"/>
              </w:rPr>
            </w:pPr>
            <w:r>
              <w:rPr>
                <w:sz w:val="20"/>
                <w:szCs w:val="20"/>
              </w:rPr>
              <w:t>Certain portions of the Exhibit have been redacted pursuant to Item 601(b)(10)(iv) of Regulation S-K.</w:t>
            </w:r>
          </w:p>
        </w:tc>
      </w:tr>
      <w:tr w:rsidR="00000000">
        <w:trPr>
          <w:divId w:val="2140758132"/>
        </w:trPr>
        <w:tc>
          <w:tcPr>
            <w:tcW w:w="349" w:type="pct"/>
            <w:tcMar>
              <w:top w:w="0" w:type="dxa"/>
              <w:left w:w="0" w:type="dxa"/>
              <w:bottom w:w="0" w:type="dxa"/>
              <w:right w:w="0" w:type="dxa"/>
            </w:tcMar>
            <w:hideMark/>
          </w:tcPr>
          <w:p w:rsidR="00000000" w:rsidRDefault="00FF2C06">
            <w:pPr>
              <w:pStyle w:val="a3"/>
              <w:spacing w:before="0" w:beforeAutospacing="0" w:after="0" w:afterAutospacing="0"/>
              <w:rPr>
                <w:sz w:val="20"/>
                <w:szCs w:val="20"/>
              </w:rPr>
            </w:pPr>
            <w:r>
              <w:rPr>
                <w:sz w:val="20"/>
                <w:szCs w:val="20"/>
              </w:rPr>
              <w:t>#</w:t>
            </w:r>
          </w:p>
        </w:tc>
        <w:tc>
          <w:tcPr>
            <w:tcW w:w="4650" w:type="pct"/>
            <w:tcMar>
              <w:top w:w="0" w:type="dxa"/>
              <w:left w:w="0" w:type="dxa"/>
              <w:bottom w:w="0" w:type="dxa"/>
              <w:right w:w="0" w:type="dxa"/>
            </w:tcMar>
            <w:hideMark/>
          </w:tcPr>
          <w:p w:rsidR="00000000" w:rsidRDefault="00FF2C06">
            <w:pPr>
              <w:pStyle w:val="a3"/>
              <w:spacing w:before="0" w:beforeAutospacing="0" w:after="0" w:afterAutospacing="0"/>
              <w:rPr>
                <w:sz w:val="20"/>
                <w:szCs w:val="20"/>
              </w:rPr>
            </w:pPr>
            <w:r>
              <w:rPr>
                <w:sz w:val="20"/>
                <w:szCs w:val="20"/>
              </w:rPr>
              <w:t>Indicates a management contract or compensatory plan or arrangement.</w:t>
            </w:r>
          </w:p>
        </w:tc>
      </w:tr>
      <w:tr w:rsidR="00000000">
        <w:trPr>
          <w:divId w:val="2140758132"/>
        </w:trPr>
        <w:tc>
          <w:tcPr>
            <w:tcW w:w="349" w:type="pct"/>
            <w:tcMar>
              <w:top w:w="0" w:type="dxa"/>
              <w:left w:w="0" w:type="dxa"/>
              <w:bottom w:w="0" w:type="dxa"/>
              <w:right w:w="0" w:type="dxa"/>
            </w:tcMar>
            <w:hideMark/>
          </w:tcPr>
          <w:p w:rsidR="00000000" w:rsidRDefault="00FF2C06">
            <w:pPr>
              <w:pStyle w:val="a3"/>
              <w:spacing w:before="0" w:beforeAutospacing="0" w:after="0" w:afterAutospacing="0"/>
              <w:rPr>
                <w:sz w:val="20"/>
                <w:szCs w:val="20"/>
              </w:rPr>
            </w:pPr>
            <w:r>
              <w:rPr>
                <w:sz w:val="20"/>
                <w:szCs w:val="20"/>
              </w:rPr>
              <w:t>++</w:t>
            </w:r>
          </w:p>
        </w:tc>
        <w:tc>
          <w:tcPr>
            <w:tcW w:w="4650" w:type="pct"/>
            <w:tcMar>
              <w:top w:w="0" w:type="dxa"/>
              <w:left w:w="0" w:type="dxa"/>
              <w:bottom w:w="0" w:type="dxa"/>
              <w:right w:w="0" w:type="dxa"/>
            </w:tcMar>
            <w:hideMark/>
          </w:tcPr>
          <w:p w:rsidR="00000000" w:rsidRDefault="00FF2C06">
            <w:pPr>
              <w:pStyle w:val="a3"/>
              <w:spacing w:before="0" w:beforeAutospacing="0" w:after="0" w:afterAutospacing="0"/>
              <w:rPr>
                <w:sz w:val="20"/>
                <w:szCs w:val="20"/>
              </w:rPr>
            </w:pPr>
            <w:r>
              <w:rPr>
                <w:sz w:val="20"/>
                <w:szCs w:val="20"/>
              </w:rPr>
              <w:t>Filed herewith.</w:t>
            </w:r>
          </w:p>
        </w:tc>
      </w:tr>
    </w:tbl>
    <w:p w:rsidR="00000000" w:rsidRDefault="00FF2C06">
      <w:pPr>
        <w:pStyle w:val="a3"/>
        <w:spacing w:before="0" w:beforeAutospacing="0" w:after="0" w:afterAutospacing="0"/>
        <w:divId w:val="2140758132"/>
        <w:rPr>
          <w:sz w:val="20"/>
          <w:szCs w:val="20"/>
        </w:rPr>
      </w:pPr>
      <w:r>
        <w:rPr>
          <w:sz w:val="2"/>
          <w:szCs w:val="2"/>
        </w:rPr>
        <w:t>​</w:t>
      </w:r>
    </w:p>
    <w:p w:rsidR="00000000" w:rsidRDefault="00FF2C06">
      <w:pPr>
        <w:pStyle w:val="a3"/>
        <w:spacing w:before="0" w:beforeAutospacing="0" w:after="0" w:afterAutospacing="0"/>
        <w:divId w:val="2140758132"/>
        <w:rPr>
          <w:sz w:val="20"/>
          <w:szCs w:val="20"/>
        </w:rPr>
      </w:pPr>
      <w:r>
        <w:rPr>
          <w:sz w:val="20"/>
          <w:szCs w:val="20"/>
        </w:rPr>
        <w:t>​</w:t>
      </w:r>
    </w:p>
    <w:p w:rsidR="00000000" w:rsidRDefault="00FF2C06">
      <w:pPr>
        <w:pStyle w:val="a3"/>
        <w:spacing w:before="0" w:beforeAutospacing="0" w:after="0" w:afterAutospacing="0"/>
        <w:divId w:val="2140758132"/>
        <w:rPr>
          <w:sz w:val="20"/>
          <w:szCs w:val="20"/>
        </w:rPr>
      </w:pPr>
      <w:r>
        <w:rPr>
          <w:b/>
          <w:bCs/>
          <w:sz w:val="20"/>
          <w:szCs w:val="20"/>
        </w:rPr>
        <w:t>​</w:t>
      </w:r>
    </w:p>
    <w:p w:rsidR="00000000" w:rsidRDefault="00FF2C06">
      <w:pPr>
        <w:pStyle w:val="a3"/>
        <w:spacing w:before="480" w:beforeAutospacing="0" w:after="0" w:afterAutospacing="0"/>
        <w:jc w:val="center"/>
        <w:divId w:val="1658849175"/>
        <w:rPr>
          <w:sz w:val="20"/>
          <w:szCs w:val="20"/>
        </w:rPr>
      </w:pPr>
      <w:r>
        <w:rPr>
          <w:sz w:val="20"/>
          <w:szCs w:val="20"/>
        </w:rPr>
        <w:t>81</w:t>
      </w:r>
    </w:p>
    <w:p w:rsidR="00000000" w:rsidRDefault="00FF2C06">
      <w:pPr>
        <w:pStyle w:val="a3"/>
        <w:spacing w:before="0" w:beforeAutospacing="0" w:after="600" w:afterAutospacing="0"/>
        <w:divId w:val="1892040027"/>
        <w:rPr>
          <w:sz w:val="20"/>
          <w:szCs w:val="20"/>
        </w:rPr>
      </w:pPr>
      <w:hyperlink w:anchor="TOC" w:history="1">
        <w:r>
          <w:rPr>
            <w:rStyle w:val="a4"/>
            <w:sz w:val="20"/>
            <w:szCs w:val="20"/>
          </w:rPr>
          <w:t>Table of Contents</w:t>
        </w:r>
      </w:hyperlink>
    </w:p>
    <w:p w:rsidR="00000000" w:rsidRDefault="00FF2C06">
      <w:pPr>
        <w:pStyle w:val="a3"/>
        <w:spacing w:before="0" w:beforeAutospacing="0" w:after="200" w:afterAutospacing="0"/>
        <w:jc w:val="center"/>
        <w:divId w:val="566646238"/>
        <w:rPr>
          <w:sz w:val="20"/>
          <w:szCs w:val="20"/>
        </w:rPr>
      </w:pPr>
      <w:r>
        <w:rPr>
          <w:b/>
          <w:bCs/>
          <w:sz w:val="20"/>
          <w:szCs w:val="20"/>
        </w:rPr>
        <w:t>SIGNATURES</w:t>
      </w:r>
    </w:p>
    <w:p w:rsidR="00000000" w:rsidRDefault="00FF2C06">
      <w:pPr>
        <w:pStyle w:val="a3"/>
        <w:spacing w:before="0" w:beforeAutospacing="0" w:after="0" w:afterAutospacing="0"/>
        <w:ind w:firstLine="540"/>
        <w:divId w:val="566646238"/>
        <w:rPr>
          <w:sz w:val="20"/>
          <w:szCs w:val="20"/>
        </w:rPr>
      </w:pPr>
      <w:r>
        <w:rPr>
          <w:sz w:val="20"/>
          <w:szCs w:val="20"/>
        </w:rPr>
        <w:t>Pursuant to the requirements of the Securities Exchange Act of 1934, as amended, the registrant has duly caused this report to be signed on its behalf by the undersigned thereunto duly authorized.</w:t>
      </w:r>
    </w:p>
    <w:p w:rsidR="00000000" w:rsidRDefault="00FF2C06">
      <w:pPr>
        <w:pStyle w:val="a3"/>
        <w:spacing w:before="0" w:beforeAutospacing="0" w:after="0" w:afterAutospacing="0"/>
        <w:ind w:firstLine="720"/>
        <w:divId w:val="566646238"/>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134"/>
        <w:gridCol w:w="289"/>
        <w:gridCol w:w="3883"/>
      </w:tblGrid>
      <w:tr w:rsidR="00000000">
        <w:trPr>
          <w:divId w:val="566646238"/>
          <w:trHeight w:val="20"/>
        </w:trPr>
        <w:tc>
          <w:tcPr>
            <w:tcW w:w="2500" w:type="pct"/>
            <w:tcMar>
              <w:top w:w="0" w:type="dxa"/>
              <w:left w:w="0" w:type="dxa"/>
              <w:bottom w:w="0" w:type="dxa"/>
              <w:right w:w="0" w:type="dxa"/>
            </w:tcMar>
            <w:vAlign w:val="bottom"/>
            <w:hideMark/>
          </w:tcPr>
          <w:p w:rsidR="00000000" w:rsidRDefault="00FF2C06">
            <w:pPr>
              <w:rPr>
                <w:sz w:val="20"/>
                <w:szCs w:val="20"/>
              </w:rPr>
            </w:pPr>
          </w:p>
        </w:tc>
        <w:tc>
          <w:tcPr>
            <w:tcW w:w="151" w:type="pct"/>
            <w:tcMar>
              <w:top w:w="0" w:type="dxa"/>
              <w:left w:w="0" w:type="dxa"/>
              <w:bottom w:w="0" w:type="dxa"/>
              <w:right w:w="0" w:type="dxa"/>
            </w:tcMar>
            <w:vAlign w:val="bottom"/>
            <w:hideMark/>
          </w:tcPr>
          <w:p w:rsidR="00000000" w:rsidRDefault="00FF2C06">
            <w:pPr>
              <w:rPr>
                <w:rFonts w:eastAsia="Times New Roman"/>
                <w:sz w:val="20"/>
                <w:szCs w:val="20"/>
              </w:rPr>
            </w:pPr>
          </w:p>
        </w:tc>
        <w:tc>
          <w:tcPr>
            <w:tcW w:w="2348" w:type="pct"/>
            <w:tcMar>
              <w:top w:w="0" w:type="dxa"/>
              <w:left w:w="0" w:type="dxa"/>
              <w:bottom w:w="0" w:type="dxa"/>
              <w:right w:w="0" w:type="dxa"/>
            </w:tcMar>
            <w:vAlign w:val="bottom"/>
            <w:hideMark/>
          </w:tcPr>
          <w:p w:rsidR="00000000" w:rsidRDefault="00FF2C06">
            <w:pPr>
              <w:rPr>
                <w:rFonts w:eastAsia="Times New Roman"/>
                <w:sz w:val="20"/>
                <w:szCs w:val="20"/>
              </w:rPr>
            </w:pPr>
          </w:p>
        </w:tc>
      </w:tr>
      <w:tr w:rsidR="00000000">
        <w:trPr>
          <w:divId w:val="566646238"/>
        </w:trPr>
        <w:tc>
          <w:tcPr>
            <w:tcW w:w="2500" w:type="pct"/>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 </w:t>
            </w:r>
          </w:p>
        </w:tc>
        <w:tc>
          <w:tcPr>
            <w:tcW w:w="2500" w:type="pct"/>
            <w:gridSpan w:val="2"/>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b/>
                <w:bCs/>
                <w:sz w:val="20"/>
                <w:szCs w:val="20"/>
                <w:u w:val="single"/>
              </w:rPr>
              <w:t>Iovance Biotherapeutic</w:t>
            </w:r>
            <w:r>
              <w:rPr>
                <w:b/>
                <w:bCs/>
                <w:sz w:val="20"/>
                <w:szCs w:val="20"/>
                <w:u w:val="single"/>
              </w:rPr>
              <w:t>s, Inc.</w:t>
            </w:r>
          </w:p>
        </w:tc>
      </w:tr>
      <w:tr w:rsidR="00000000">
        <w:trPr>
          <w:divId w:val="566646238"/>
        </w:trPr>
        <w:tc>
          <w:tcPr>
            <w:tcW w:w="2500" w:type="pct"/>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 </w:t>
            </w:r>
          </w:p>
        </w:tc>
        <w:tc>
          <w:tcPr>
            <w:tcW w:w="151" w:type="pct"/>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 </w:t>
            </w:r>
          </w:p>
        </w:tc>
        <w:tc>
          <w:tcPr>
            <w:tcW w:w="2348" w:type="pct"/>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 </w:t>
            </w:r>
          </w:p>
        </w:tc>
      </w:tr>
      <w:tr w:rsidR="00000000">
        <w:trPr>
          <w:divId w:val="566646238"/>
        </w:trPr>
        <w:tc>
          <w:tcPr>
            <w:tcW w:w="2500" w:type="pct"/>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November 5, 2020</w:t>
            </w:r>
          </w:p>
        </w:tc>
        <w:tc>
          <w:tcPr>
            <w:tcW w:w="151" w:type="pct"/>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By:</w:t>
            </w:r>
          </w:p>
        </w:tc>
        <w:tc>
          <w:tcPr>
            <w:tcW w:w="2348" w:type="pct"/>
            <w:tcBorders>
              <w:bottom w:val="single" w:sz="8" w:space="0" w:color="000000"/>
            </w:tcBorders>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/s/ Maria Fardis, Ph.D., M.B.A.</w:t>
            </w:r>
          </w:p>
        </w:tc>
      </w:tr>
      <w:tr w:rsidR="00000000">
        <w:trPr>
          <w:divId w:val="566646238"/>
        </w:trPr>
        <w:tc>
          <w:tcPr>
            <w:tcW w:w="2500" w:type="pct"/>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 </w:t>
            </w:r>
          </w:p>
        </w:tc>
        <w:tc>
          <w:tcPr>
            <w:tcW w:w="151" w:type="pct"/>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 </w:t>
            </w:r>
          </w:p>
        </w:tc>
        <w:tc>
          <w:tcPr>
            <w:tcW w:w="2348" w:type="pct"/>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Maria Fardis, Ph.D., M.B.A.</w:t>
            </w:r>
          </w:p>
        </w:tc>
      </w:tr>
      <w:tr w:rsidR="00000000">
        <w:trPr>
          <w:divId w:val="566646238"/>
        </w:trPr>
        <w:tc>
          <w:tcPr>
            <w:tcW w:w="2500" w:type="pct"/>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 </w:t>
            </w:r>
          </w:p>
        </w:tc>
        <w:tc>
          <w:tcPr>
            <w:tcW w:w="151" w:type="pct"/>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 </w:t>
            </w:r>
          </w:p>
        </w:tc>
        <w:tc>
          <w:tcPr>
            <w:tcW w:w="2348" w:type="pct"/>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Chief Executive Officer (Principal Executive Officer)</w:t>
            </w:r>
          </w:p>
        </w:tc>
      </w:tr>
      <w:tr w:rsidR="00000000">
        <w:trPr>
          <w:divId w:val="566646238"/>
        </w:trPr>
        <w:tc>
          <w:tcPr>
            <w:tcW w:w="2500" w:type="pct"/>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 </w:t>
            </w:r>
          </w:p>
        </w:tc>
        <w:tc>
          <w:tcPr>
            <w:tcW w:w="151" w:type="pct"/>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 </w:t>
            </w:r>
          </w:p>
        </w:tc>
        <w:tc>
          <w:tcPr>
            <w:tcW w:w="2348" w:type="pct"/>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 </w:t>
            </w:r>
          </w:p>
        </w:tc>
      </w:tr>
      <w:tr w:rsidR="00000000">
        <w:trPr>
          <w:divId w:val="566646238"/>
        </w:trPr>
        <w:tc>
          <w:tcPr>
            <w:tcW w:w="2500" w:type="pct"/>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November 5, 2020</w:t>
            </w:r>
          </w:p>
        </w:tc>
        <w:tc>
          <w:tcPr>
            <w:tcW w:w="151" w:type="pct"/>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By:</w:t>
            </w:r>
          </w:p>
        </w:tc>
        <w:tc>
          <w:tcPr>
            <w:tcW w:w="2348" w:type="pct"/>
            <w:tcBorders>
              <w:bottom w:val="single" w:sz="8" w:space="0" w:color="000000"/>
            </w:tcBorders>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/s/ Michael C. Swartzburg</w:t>
            </w:r>
          </w:p>
        </w:tc>
      </w:tr>
      <w:tr w:rsidR="00000000">
        <w:trPr>
          <w:divId w:val="566646238"/>
        </w:trPr>
        <w:tc>
          <w:tcPr>
            <w:tcW w:w="2500" w:type="pct"/>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 </w:t>
            </w:r>
          </w:p>
        </w:tc>
        <w:tc>
          <w:tcPr>
            <w:tcW w:w="151" w:type="pct"/>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 </w:t>
            </w:r>
          </w:p>
        </w:tc>
        <w:tc>
          <w:tcPr>
            <w:tcW w:w="2348" w:type="pct"/>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Michael C. Swartzburg</w:t>
            </w:r>
          </w:p>
        </w:tc>
      </w:tr>
      <w:tr w:rsidR="00000000">
        <w:trPr>
          <w:divId w:val="566646238"/>
        </w:trPr>
        <w:tc>
          <w:tcPr>
            <w:tcW w:w="2500" w:type="pct"/>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 </w:t>
            </w:r>
          </w:p>
        </w:tc>
        <w:tc>
          <w:tcPr>
            <w:tcW w:w="151" w:type="pct"/>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 </w:t>
            </w:r>
          </w:p>
        </w:tc>
        <w:tc>
          <w:tcPr>
            <w:tcW w:w="2348" w:type="pct"/>
            <w:tcMar>
              <w:top w:w="0" w:type="dxa"/>
              <w:left w:w="0" w:type="dxa"/>
              <w:bottom w:w="0" w:type="dxa"/>
              <w:right w:w="0" w:type="dxa"/>
            </w:tcMar>
            <w:vAlign w:val="bottom"/>
            <w:hideMark/>
          </w:tcPr>
          <w:p w:rsidR="00000000" w:rsidRDefault="00FF2C06">
            <w:pPr>
              <w:pStyle w:val="a3"/>
              <w:spacing w:before="0" w:beforeAutospacing="0" w:after="0" w:afterAutospacing="0"/>
              <w:rPr>
                <w:sz w:val="20"/>
                <w:szCs w:val="20"/>
              </w:rPr>
            </w:pPr>
            <w:r>
              <w:rPr>
                <w:sz w:val="20"/>
                <w:szCs w:val="20"/>
              </w:rPr>
              <w:t>VP, Finance (Interim Principal Financial Officer)</w:t>
            </w:r>
          </w:p>
        </w:tc>
      </w:tr>
    </w:tbl>
    <w:p w:rsidR="00000000" w:rsidRDefault="00FF2C06">
      <w:pPr>
        <w:pStyle w:val="a3"/>
        <w:spacing w:before="0" w:beforeAutospacing="0" w:after="0" w:afterAutospacing="0"/>
        <w:divId w:val="566646238"/>
        <w:rPr>
          <w:sz w:val="20"/>
          <w:szCs w:val="20"/>
        </w:rPr>
      </w:pPr>
      <w:r>
        <w:rPr>
          <w:sz w:val="2"/>
          <w:szCs w:val="2"/>
        </w:rPr>
        <w:t>​</w:t>
      </w:r>
    </w:p>
    <w:p w:rsidR="00000000" w:rsidRDefault="00FF2C06">
      <w:pPr>
        <w:pStyle w:val="a3"/>
        <w:spacing w:before="0" w:beforeAutospacing="0" w:after="0" w:afterAutospacing="0"/>
        <w:divId w:val="566646238"/>
        <w:rPr>
          <w:sz w:val="20"/>
          <w:szCs w:val="20"/>
        </w:rPr>
      </w:pPr>
      <w:r>
        <w:rPr>
          <w:sz w:val="20"/>
          <w:szCs w:val="20"/>
        </w:rPr>
        <w:t>​</w:t>
      </w:r>
    </w:p>
    <w:p w:rsidR="00FF2C06" w:rsidRDefault="00FF2C06">
      <w:pPr>
        <w:pStyle w:val="a3"/>
        <w:spacing w:before="480" w:beforeAutospacing="0" w:after="0" w:afterAutospacing="0"/>
        <w:jc w:val="center"/>
        <w:divId w:val="1159419060"/>
        <w:rPr>
          <w:sz w:val="20"/>
          <w:szCs w:val="20"/>
        </w:rPr>
      </w:pPr>
      <w:r>
        <w:rPr>
          <w:sz w:val="20"/>
          <w:szCs w:val="20"/>
        </w:rPr>
        <w:t>82</w:t>
      </w:r>
    </w:p>
    <w:sectPr w:rsidR="00FF2C06">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F2C06"/>
    <w:rsid w:val="00FF2C06"/>
  </w:rsids>
  <m:mathPr>
    <m:mathFont m:val="Cambria Math"/>
    <m:brkBin m:val="before"/>
    <m:brkBinSub m:val="--"/>
    <m:smallFrac m:val="0"/>
    <m:dispDef/>
    <m:lMargin m:val="0"/>
    <m:rMargin m:val="0"/>
    <m:defJc m:val="centerGroup"/>
    <m:wrapIndent m:val="1440"/>
    <m:intLim m:val="subSup"/>
    <m:naryLim m:val="undOvr"/>
  </m:mathPr>
  <w:attachedSchema w:val="http://xbrl.sec.gov/stpr/2018-01-31"/>
  <w:attachedSchema w:val="http://fasb.org/us-gaap/2020-01-31"/>
  <w:attachedSchema w:val="http://www.xbrl.org/2003/linkbase"/>
  <w:attachedSchema w:val="http://xbrl.org/2005/xbrldt"/>
  <w:attachedSchema w:val="http://www.sec.gov/inlineXBRL/transformation/2015-08-31"/>
  <w:attachedSchema w:val="http://fasb.org/srt/2020-01-31"/>
  <w:attachedSchema w:val="http://www.xbrl.org/2013/inlineXBRL"/>
  <w:attachedSchema w:val="http://www.xbrl.org/2006/ref"/>
  <w:attachedSchema w:val="http://www.xbrl.org/2009/utr"/>
  <w:attachedSchema w:val="http://www.xbrl.org/2003/instance"/>
  <w:attachedSchema w:val="http://xbrl.sec.gov/dei/2020-01-31"/>
  <w:attachedSchema w:val="http://www.xbrl.org/2003/iso4217"/>
  <w:attachedSchema w:val="http://lbio.com/20200930"/>
  <w:attachedSchema w:val="http://www.w3.org/1999/xlink"/>
  <w:attachedSchema w:val="http://www.xbrl.org/inlineXBRL/transformation/2015-02-26"/>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7502">
      <w:marLeft w:val="0"/>
      <w:marRight w:val="0"/>
      <w:marTop w:val="0"/>
      <w:marBottom w:val="0"/>
      <w:divBdr>
        <w:top w:val="none" w:sz="0" w:space="0" w:color="auto"/>
        <w:left w:val="none" w:sz="0" w:space="0" w:color="auto"/>
        <w:bottom w:val="none" w:sz="0" w:space="0" w:color="auto"/>
        <w:right w:val="none" w:sz="0" w:space="0" w:color="auto"/>
      </w:divBdr>
      <w:divsChild>
        <w:div w:id="342830290">
          <w:marLeft w:val="0"/>
          <w:marRight w:val="0"/>
          <w:marTop w:val="600"/>
          <w:marBottom w:val="0"/>
          <w:divBdr>
            <w:top w:val="none" w:sz="0" w:space="0" w:color="auto"/>
            <w:left w:val="none" w:sz="0" w:space="0" w:color="auto"/>
            <w:bottom w:val="none" w:sz="0" w:space="0" w:color="auto"/>
            <w:right w:val="none" w:sz="0" w:space="0" w:color="auto"/>
          </w:divBdr>
        </w:div>
        <w:div w:id="1815289574">
          <w:marLeft w:val="0"/>
          <w:marRight w:val="0"/>
          <w:marTop w:val="0"/>
          <w:marBottom w:val="0"/>
          <w:divBdr>
            <w:top w:val="none" w:sz="0" w:space="0" w:color="auto"/>
            <w:left w:val="none" w:sz="0" w:space="0" w:color="auto"/>
            <w:bottom w:val="none" w:sz="0" w:space="0" w:color="auto"/>
            <w:right w:val="none" w:sz="0" w:space="0" w:color="auto"/>
          </w:divBdr>
          <w:divsChild>
            <w:div w:id="1215695951">
              <w:marLeft w:val="0"/>
              <w:marRight w:val="0"/>
              <w:marTop w:val="0"/>
              <w:marBottom w:val="0"/>
              <w:divBdr>
                <w:top w:val="none" w:sz="0" w:space="0" w:color="auto"/>
                <w:left w:val="none" w:sz="0" w:space="0" w:color="auto"/>
                <w:bottom w:val="none" w:sz="0" w:space="0" w:color="auto"/>
                <w:right w:val="none" w:sz="0" w:space="0" w:color="auto"/>
              </w:divBdr>
              <w:divsChild>
                <w:div w:id="186606114">
                  <w:marLeft w:val="0"/>
                  <w:marRight w:val="0"/>
                  <w:marTop w:val="0"/>
                  <w:marBottom w:val="0"/>
                  <w:divBdr>
                    <w:top w:val="none" w:sz="0" w:space="0" w:color="auto"/>
                    <w:left w:val="none" w:sz="0" w:space="0" w:color="auto"/>
                    <w:bottom w:val="none" w:sz="0" w:space="0" w:color="auto"/>
                    <w:right w:val="none" w:sz="0" w:space="0" w:color="auto"/>
                  </w:divBdr>
                </w:div>
              </w:divsChild>
            </w:div>
            <w:div w:id="1895043042">
              <w:marLeft w:val="0"/>
              <w:marRight w:val="0"/>
              <w:marTop w:val="0"/>
              <w:marBottom w:val="0"/>
              <w:divBdr>
                <w:top w:val="none" w:sz="0" w:space="0" w:color="auto"/>
                <w:left w:val="none" w:sz="0" w:space="0" w:color="auto"/>
                <w:bottom w:val="none" w:sz="0" w:space="0" w:color="auto"/>
                <w:right w:val="none" w:sz="0" w:space="0" w:color="auto"/>
              </w:divBdr>
              <w:divsChild>
                <w:div w:id="860126500">
                  <w:marLeft w:val="0"/>
                  <w:marRight w:val="0"/>
                  <w:marTop w:val="0"/>
                  <w:marBottom w:val="0"/>
                  <w:divBdr>
                    <w:top w:val="none" w:sz="0" w:space="0" w:color="auto"/>
                    <w:left w:val="none" w:sz="0" w:space="0" w:color="auto"/>
                    <w:bottom w:val="none" w:sz="0" w:space="0" w:color="auto"/>
                    <w:right w:val="none" w:sz="0" w:space="0" w:color="auto"/>
                  </w:divBdr>
                </w:div>
              </w:divsChild>
            </w:div>
            <w:div w:id="1377662950">
              <w:marLeft w:val="0"/>
              <w:marRight w:val="0"/>
              <w:marTop w:val="0"/>
              <w:marBottom w:val="0"/>
              <w:divBdr>
                <w:top w:val="none" w:sz="0" w:space="0" w:color="auto"/>
                <w:left w:val="none" w:sz="0" w:space="0" w:color="auto"/>
                <w:bottom w:val="none" w:sz="0" w:space="0" w:color="auto"/>
                <w:right w:val="none" w:sz="0" w:space="0" w:color="auto"/>
              </w:divBdr>
              <w:divsChild>
                <w:div w:id="1876497999">
                  <w:marLeft w:val="0"/>
                  <w:marRight w:val="0"/>
                  <w:marTop w:val="0"/>
                  <w:marBottom w:val="0"/>
                  <w:divBdr>
                    <w:top w:val="none" w:sz="0" w:space="0" w:color="auto"/>
                    <w:left w:val="none" w:sz="0" w:space="0" w:color="auto"/>
                    <w:bottom w:val="none" w:sz="0" w:space="0" w:color="auto"/>
                    <w:right w:val="none" w:sz="0" w:space="0" w:color="auto"/>
                  </w:divBdr>
                </w:div>
              </w:divsChild>
            </w:div>
            <w:div w:id="1281256855">
              <w:marLeft w:val="0"/>
              <w:marRight w:val="0"/>
              <w:marTop w:val="0"/>
              <w:marBottom w:val="0"/>
              <w:divBdr>
                <w:top w:val="none" w:sz="0" w:space="0" w:color="auto"/>
                <w:left w:val="none" w:sz="0" w:space="0" w:color="auto"/>
                <w:bottom w:val="none" w:sz="0" w:space="0" w:color="auto"/>
                <w:right w:val="none" w:sz="0" w:space="0" w:color="auto"/>
              </w:divBdr>
              <w:divsChild>
                <w:div w:id="1698266566">
                  <w:marLeft w:val="0"/>
                  <w:marRight w:val="0"/>
                  <w:marTop w:val="0"/>
                  <w:marBottom w:val="0"/>
                  <w:divBdr>
                    <w:top w:val="none" w:sz="0" w:space="0" w:color="auto"/>
                    <w:left w:val="none" w:sz="0" w:space="0" w:color="auto"/>
                    <w:bottom w:val="none" w:sz="0" w:space="0" w:color="auto"/>
                    <w:right w:val="none" w:sz="0" w:space="0" w:color="auto"/>
                  </w:divBdr>
                </w:div>
              </w:divsChild>
            </w:div>
            <w:div w:id="1600331578">
              <w:marLeft w:val="0"/>
              <w:marRight w:val="0"/>
              <w:marTop w:val="0"/>
              <w:marBottom w:val="0"/>
              <w:divBdr>
                <w:top w:val="none" w:sz="0" w:space="0" w:color="auto"/>
                <w:left w:val="none" w:sz="0" w:space="0" w:color="auto"/>
                <w:bottom w:val="none" w:sz="0" w:space="0" w:color="auto"/>
                <w:right w:val="none" w:sz="0" w:space="0" w:color="auto"/>
              </w:divBdr>
              <w:divsChild>
                <w:div w:id="1889485267">
                  <w:marLeft w:val="0"/>
                  <w:marRight w:val="0"/>
                  <w:marTop w:val="0"/>
                  <w:marBottom w:val="0"/>
                  <w:divBdr>
                    <w:top w:val="none" w:sz="0" w:space="0" w:color="auto"/>
                    <w:left w:val="none" w:sz="0" w:space="0" w:color="auto"/>
                    <w:bottom w:val="none" w:sz="0" w:space="0" w:color="auto"/>
                    <w:right w:val="none" w:sz="0" w:space="0" w:color="auto"/>
                  </w:divBdr>
                </w:div>
              </w:divsChild>
            </w:div>
            <w:div w:id="1485705521">
              <w:marLeft w:val="0"/>
              <w:marRight w:val="0"/>
              <w:marTop w:val="0"/>
              <w:marBottom w:val="0"/>
              <w:divBdr>
                <w:top w:val="none" w:sz="0" w:space="0" w:color="auto"/>
                <w:left w:val="none" w:sz="0" w:space="0" w:color="auto"/>
                <w:bottom w:val="none" w:sz="0" w:space="0" w:color="auto"/>
                <w:right w:val="none" w:sz="0" w:space="0" w:color="auto"/>
              </w:divBdr>
              <w:divsChild>
                <w:div w:id="1938555896">
                  <w:marLeft w:val="0"/>
                  <w:marRight w:val="0"/>
                  <w:marTop w:val="0"/>
                  <w:marBottom w:val="0"/>
                  <w:divBdr>
                    <w:top w:val="none" w:sz="0" w:space="0" w:color="auto"/>
                    <w:left w:val="none" w:sz="0" w:space="0" w:color="auto"/>
                    <w:bottom w:val="none" w:sz="0" w:space="0" w:color="auto"/>
                    <w:right w:val="none" w:sz="0" w:space="0" w:color="auto"/>
                  </w:divBdr>
                </w:div>
              </w:divsChild>
            </w:div>
            <w:div w:id="547954941">
              <w:marLeft w:val="0"/>
              <w:marRight w:val="0"/>
              <w:marTop w:val="0"/>
              <w:marBottom w:val="0"/>
              <w:divBdr>
                <w:top w:val="none" w:sz="0" w:space="0" w:color="auto"/>
                <w:left w:val="none" w:sz="0" w:space="0" w:color="auto"/>
                <w:bottom w:val="none" w:sz="0" w:space="0" w:color="auto"/>
                <w:right w:val="none" w:sz="0" w:space="0" w:color="auto"/>
              </w:divBdr>
              <w:divsChild>
                <w:div w:id="114905648">
                  <w:marLeft w:val="0"/>
                  <w:marRight w:val="0"/>
                  <w:marTop w:val="0"/>
                  <w:marBottom w:val="0"/>
                  <w:divBdr>
                    <w:top w:val="none" w:sz="0" w:space="0" w:color="auto"/>
                    <w:left w:val="none" w:sz="0" w:space="0" w:color="auto"/>
                    <w:bottom w:val="none" w:sz="0" w:space="0" w:color="auto"/>
                    <w:right w:val="none" w:sz="0" w:space="0" w:color="auto"/>
                  </w:divBdr>
                </w:div>
              </w:divsChild>
            </w:div>
            <w:div w:id="1447116201">
              <w:marLeft w:val="0"/>
              <w:marRight w:val="0"/>
              <w:marTop w:val="0"/>
              <w:marBottom w:val="0"/>
              <w:divBdr>
                <w:top w:val="none" w:sz="0" w:space="0" w:color="auto"/>
                <w:left w:val="none" w:sz="0" w:space="0" w:color="auto"/>
                <w:bottom w:val="none" w:sz="0" w:space="0" w:color="auto"/>
                <w:right w:val="none" w:sz="0" w:space="0" w:color="auto"/>
              </w:divBdr>
              <w:divsChild>
                <w:div w:id="482893472">
                  <w:marLeft w:val="0"/>
                  <w:marRight w:val="0"/>
                  <w:marTop w:val="0"/>
                  <w:marBottom w:val="0"/>
                  <w:divBdr>
                    <w:top w:val="none" w:sz="0" w:space="0" w:color="auto"/>
                    <w:left w:val="none" w:sz="0" w:space="0" w:color="auto"/>
                    <w:bottom w:val="none" w:sz="0" w:space="0" w:color="auto"/>
                    <w:right w:val="none" w:sz="0" w:space="0" w:color="auto"/>
                  </w:divBdr>
                </w:div>
              </w:divsChild>
            </w:div>
            <w:div w:id="2018992507">
              <w:marLeft w:val="0"/>
              <w:marRight w:val="0"/>
              <w:marTop w:val="0"/>
              <w:marBottom w:val="0"/>
              <w:divBdr>
                <w:top w:val="none" w:sz="0" w:space="0" w:color="auto"/>
                <w:left w:val="none" w:sz="0" w:space="0" w:color="auto"/>
                <w:bottom w:val="none" w:sz="0" w:space="0" w:color="auto"/>
                <w:right w:val="none" w:sz="0" w:space="0" w:color="auto"/>
              </w:divBdr>
              <w:divsChild>
                <w:div w:id="1983197150">
                  <w:marLeft w:val="0"/>
                  <w:marRight w:val="0"/>
                  <w:marTop w:val="0"/>
                  <w:marBottom w:val="0"/>
                  <w:divBdr>
                    <w:top w:val="none" w:sz="0" w:space="0" w:color="auto"/>
                    <w:left w:val="none" w:sz="0" w:space="0" w:color="auto"/>
                    <w:bottom w:val="none" w:sz="0" w:space="0" w:color="auto"/>
                    <w:right w:val="none" w:sz="0" w:space="0" w:color="auto"/>
                  </w:divBdr>
                </w:div>
              </w:divsChild>
            </w:div>
            <w:div w:id="1080639647">
              <w:marLeft w:val="0"/>
              <w:marRight w:val="0"/>
              <w:marTop w:val="0"/>
              <w:marBottom w:val="0"/>
              <w:divBdr>
                <w:top w:val="none" w:sz="0" w:space="0" w:color="auto"/>
                <w:left w:val="none" w:sz="0" w:space="0" w:color="auto"/>
                <w:bottom w:val="none" w:sz="0" w:space="0" w:color="auto"/>
                <w:right w:val="none" w:sz="0" w:space="0" w:color="auto"/>
              </w:divBdr>
              <w:divsChild>
                <w:div w:id="1584950058">
                  <w:marLeft w:val="0"/>
                  <w:marRight w:val="0"/>
                  <w:marTop w:val="0"/>
                  <w:marBottom w:val="0"/>
                  <w:divBdr>
                    <w:top w:val="none" w:sz="0" w:space="0" w:color="auto"/>
                    <w:left w:val="none" w:sz="0" w:space="0" w:color="auto"/>
                    <w:bottom w:val="none" w:sz="0" w:space="0" w:color="auto"/>
                    <w:right w:val="none" w:sz="0" w:space="0" w:color="auto"/>
                  </w:divBdr>
                </w:div>
              </w:divsChild>
            </w:div>
            <w:div w:id="1926300676">
              <w:marLeft w:val="0"/>
              <w:marRight w:val="0"/>
              <w:marTop w:val="0"/>
              <w:marBottom w:val="0"/>
              <w:divBdr>
                <w:top w:val="none" w:sz="0" w:space="0" w:color="auto"/>
                <w:left w:val="none" w:sz="0" w:space="0" w:color="auto"/>
                <w:bottom w:val="none" w:sz="0" w:space="0" w:color="auto"/>
                <w:right w:val="none" w:sz="0" w:space="0" w:color="auto"/>
              </w:divBdr>
              <w:divsChild>
                <w:div w:id="1041200012">
                  <w:marLeft w:val="0"/>
                  <w:marRight w:val="0"/>
                  <w:marTop w:val="0"/>
                  <w:marBottom w:val="0"/>
                  <w:divBdr>
                    <w:top w:val="none" w:sz="0" w:space="0" w:color="auto"/>
                    <w:left w:val="none" w:sz="0" w:space="0" w:color="auto"/>
                    <w:bottom w:val="none" w:sz="0" w:space="0" w:color="auto"/>
                    <w:right w:val="none" w:sz="0" w:space="0" w:color="auto"/>
                  </w:divBdr>
                </w:div>
              </w:divsChild>
            </w:div>
            <w:div w:id="1702054693">
              <w:marLeft w:val="0"/>
              <w:marRight w:val="0"/>
              <w:marTop w:val="0"/>
              <w:marBottom w:val="0"/>
              <w:divBdr>
                <w:top w:val="none" w:sz="0" w:space="0" w:color="auto"/>
                <w:left w:val="none" w:sz="0" w:space="0" w:color="auto"/>
                <w:bottom w:val="none" w:sz="0" w:space="0" w:color="auto"/>
                <w:right w:val="none" w:sz="0" w:space="0" w:color="auto"/>
              </w:divBdr>
              <w:divsChild>
                <w:div w:id="248589051">
                  <w:marLeft w:val="0"/>
                  <w:marRight w:val="0"/>
                  <w:marTop w:val="0"/>
                  <w:marBottom w:val="0"/>
                  <w:divBdr>
                    <w:top w:val="none" w:sz="0" w:space="0" w:color="auto"/>
                    <w:left w:val="none" w:sz="0" w:space="0" w:color="auto"/>
                    <w:bottom w:val="none" w:sz="0" w:space="0" w:color="auto"/>
                    <w:right w:val="none" w:sz="0" w:space="0" w:color="auto"/>
                  </w:divBdr>
                </w:div>
              </w:divsChild>
            </w:div>
            <w:div w:id="1305811429">
              <w:marLeft w:val="0"/>
              <w:marRight w:val="0"/>
              <w:marTop w:val="0"/>
              <w:marBottom w:val="0"/>
              <w:divBdr>
                <w:top w:val="none" w:sz="0" w:space="0" w:color="auto"/>
                <w:left w:val="none" w:sz="0" w:space="0" w:color="auto"/>
                <w:bottom w:val="none" w:sz="0" w:space="0" w:color="auto"/>
                <w:right w:val="none" w:sz="0" w:space="0" w:color="auto"/>
              </w:divBdr>
              <w:divsChild>
                <w:div w:id="1609585902">
                  <w:marLeft w:val="0"/>
                  <w:marRight w:val="0"/>
                  <w:marTop w:val="0"/>
                  <w:marBottom w:val="0"/>
                  <w:divBdr>
                    <w:top w:val="none" w:sz="0" w:space="0" w:color="auto"/>
                    <w:left w:val="none" w:sz="0" w:space="0" w:color="auto"/>
                    <w:bottom w:val="none" w:sz="0" w:space="0" w:color="auto"/>
                    <w:right w:val="none" w:sz="0" w:space="0" w:color="auto"/>
                  </w:divBdr>
                </w:div>
              </w:divsChild>
            </w:div>
            <w:div w:id="2078164204">
              <w:marLeft w:val="0"/>
              <w:marRight w:val="0"/>
              <w:marTop w:val="0"/>
              <w:marBottom w:val="0"/>
              <w:divBdr>
                <w:top w:val="none" w:sz="0" w:space="0" w:color="auto"/>
                <w:left w:val="none" w:sz="0" w:space="0" w:color="auto"/>
                <w:bottom w:val="none" w:sz="0" w:space="0" w:color="auto"/>
                <w:right w:val="none" w:sz="0" w:space="0" w:color="auto"/>
              </w:divBdr>
              <w:divsChild>
                <w:div w:id="1667174474">
                  <w:marLeft w:val="0"/>
                  <w:marRight w:val="0"/>
                  <w:marTop w:val="0"/>
                  <w:marBottom w:val="0"/>
                  <w:divBdr>
                    <w:top w:val="none" w:sz="0" w:space="0" w:color="auto"/>
                    <w:left w:val="none" w:sz="0" w:space="0" w:color="auto"/>
                    <w:bottom w:val="none" w:sz="0" w:space="0" w:color="auto"/>
                    <w:right w:val="none" w:sz="0" w:space="0" w:color="auto"/>
                  </w:divBdr>
                </w:div>
              </w:divsChild>
            </w:div>
            <w:div w:id="1069620368">
              <w:marLeft w:val="0"/>
              <w:marRight w:val="0"/>
              <w:marTop w:val="0"/>
              <w:marBottom w:val="0"/>
              <w:divBdr>
                <w:top w:val="none" w:sz="0" w:space="0" w:color="auto"/>
                <w:left w:val="none" w:sz="0" w:space="0" w:color="auto"/>
                <w:bottom w:val="none" w:sz="0" w:space="0" w:color="auto"/>
                <w:right w:val="none" w:sz="0" w:space="0" w:color="auto"/>
              </w:divBdr>
              <w:divsChild>
                <w:div w:id="683172155">
                  <w:marLeft w:val="0"/>
                  <w:marRight w:val="0"/>
                  <w:marTop w:val="0"/>
                  <w:marBottom w:val="0"/>
                  <w:divBdr>
                    <w:top w:val="none" w:sz="0" w:space="0" w:color="auto"/>
                    <w:left w:val="none" w:sz="0" w:space="0" w:color="auto"/>
                    <w:bottom w:val="none" w:sz="0" w:space="0" w:color="auto"/>
                    <w:right w:val="none" w:sz="0" w:space="0" w:color="auto"/>
                  </w:divBdr>
                </w:div>
              </w:divsChild>
            </w:div>
            <w:div w:id="288901053">
              <w:marLeft w:val="0"/>
              <w:marRight w:val="0"/>
              <w:marTop w:val="0"/>
              <w:marBottom w:val="0"/>
              <w:divBdr>
                <w:top w:val="none" w:sz="0" w:space="0" w:color="auto"/>
                <w:left w:val="none" w:sz="0" w:space="0" w:color="auto"/>
                <w:bottom w:val="none" w:sz="0" w:space="0" w:color="auto"/>
                <w:right w:val="none" w:sz="0" w:space="0" w:color="auto"/>
              </w:divBdr>
              <w:divsChild>
                <w:div w:id="1098334593">
                  <w:marLeft w:val="0"/>
                  <w:marRight w:val="0"/>
                  <w:marTop w:val="0"/>
                  <w:marBottom w:val="0"/>
                  <w:divBdr>
                    <w:top w:val="none" w:sz="0" w:space="0" w:color="auto"/>
                    <w:left w:val="none" w:sz="0" w:space="0" w:color="auto"/>
                    <w:bottom w:val="none" w:sz="0" w:space="0" w:color="auto"/>
                    <w:right w:val="none" w:sz="0" w:space="0" w:color="auto"/>
                  </w:divBdr>
                </w:div>
              </w:divsChild>
            </w:div>
            <w:div w:id="583957359">
              <w:marLeft w:val="0"/>
              <w:marRight w:val="0"/>
              <w:marTop w:val="0"/>
              <w:marBottom w:val="0"/>
              <w:divBdr>
                <w:top w:val="none" w:sz="0" w:space="0" w:color="auto"/>
                <w:left w:val="none" w:sz="0" w:space="0" w:color="auto"/>
                <w:bottom w:val="none" w:sz="0" w:space="0" w:color="auto"/>
                <w:right w:val="none" w:sz="0" w:space="0" w:color="auto"/>
              </w:divBdr>
              <w:divsChild>
                <w:div w:id="684870332">
                  <w:marLeft w:val="0"/>
                  <w:marRight w:val="0"/>
                  <w:marTop w:val="0"/>
                  <w:marBottom w:val="0"/>
                  <w:divBdr>
                    <w:top w:val="none" w:sz="0" w:space="0" w:color="auto"/>
                    <w:left w:val="none" w:sz="0" w:space="0" w:color="auto"/>
                    <w:bottom w:val="none" w:sz="0" w:space="0" w:color="auto"/>
                    <w:right w:val="none" w:sz="0" w:space="0" w:color="auto"/>
                  </w:divBdr>
                </w:div>
              </w:divsChild>
            </w:div>
            <w:div w:id="1756777887">
              <w:marLeft w:val="0"/>
              <w:marRight w:val="0"/>
              <w:marTop w:val="0"/>
              <w:marBottom w:val="0"/>
              <w:divBdr>
                <w:top w:val="none" w:sz="0" w:space="0" w:color="auto"/>
                <w:left w:val="none" w:sz="0" w:space="0" w:color="auto"/>
                <w:bottom w:val="none" w:sz="0" w:space="0" w:color="auto"/>
                <w:right w:val="none" w:sz="0" w:space="0" w:color="auto"/>
              </w:divBdr>
              <w:divsChild>
                <w:div w:id="73405864">
                  <w:marLeft w:val="0"/>
                  <w:marRight w:val="0"/>
                  <w:marTop w:val="0"/>
                  <w:marBottom w:val="0"/>
                  <w:divBdr>
                    <w:top w:val="none" w:sz="0" w:space="0" w:color="auto"/>
                    <w:left w:val="none" w:sz="0" w:space="0" w:color="auto"/>
                    <w:bottom w:val="none" w:sz="0" w:space="0" w:color="auto"/>
                    <w:right w:val="none" w:sz="0" w:space="0" w:color="auto"/>
                  </w:divBdr>
                </w:div>
              </w:divsChild>
            </w:div>
            <w:div w:id="2129664547">
              <w:marLeft w:val="0"/>
              <w:marRight w:val="0"/>
              <w:marTop w:val="0"/>
              <w:marBottom w:val="0"/>
              <w:divBdr>
                <w:top w:val="none" w:sz="0" w:space="0" w:color="auto"/>
                <w:left w:val="none" w:sz="0" w:space="0" w:color="auto"/>
                <w:bottom w:val="none" w:sz="0" w:space="0" w:color="auto"/>
                <w:right w:val="none" w:sz="0" w:space="0" w:color="auto"/>
              </w:divBdr>
              <w:divsChild>
                <w:div w:id="2106727072">
                  <w:marLeft w:val="0"/>
                  <w:marRight w:val="0"/>
                  <w:marTop w:val="0"/>
                  <w:marBottom w:val="0"/>
                  <w:divBdr>
                    <w:top w:val="none" w:sz="0" w:space="0" w:color="auto"/>
                    <w:left w:val="none" w:sz="0" w:space="0" w:color="auto"/>
                    <w:bottom w:val="none" w:sz="0" w:space="0" w:color="auto"/>
                    <w:right w:val="none" w:sz="0" w:space="0" w:color="auto"/>
                  </w:divBdr>
                </w:div>
              </w:divsChild>
            </w:div>
            <w:div w:id="132451792">
              <w:marLeft w:val="0"/>
              <w:marRight w:val="0"/>
              <w:marTop w:val="0"/>
              <w:marBottom w:val="0"/>
              <w:divBdr>
                <w:top w:val="none" w:sz="0" w:space="0" w:color="auto"/>
                <w:left w:val="none" w:sz="0" w:space="0" w:color="auto"/>
                <w:bottom w:val="none" w:sz="0" w:space="0" w:color="auto"/>
                <w:right w:val="none" w:sz="0" w:space="0" w:color="auto"/>
              </w:divBdr>
              <w:divsChild>
                <w:div w:id="1124467218">
                  <w:marLeft w:val="0"/>
                  <w:marRight w:val="0"/>
                  <w:marTop w:val="0"/>
                  <w:marBottom w:val="0"/>
                  <w:divBdr>
                    <w:top w:val="none" w:sz="0" w:space="0" w:color="auto"/>
                    <w:left w:val="none" w:sz="0" w:space="0" w:color="auto"/>
                    <w:bottom w:val="none" w:sz="0" w:space="0" w:color="auto"/>
                    <w:right w:val="none" w:sz="0" w:space="0" w:color="auto"/>
                  </w:divBdr>
                </w:div>
              </w:divsChild>
            </w:div>
            <w:div w:id="1089960169">
              <w:marLeft w:val="0"/>
              <w:marRight w:val="0"/>
              <w:marTop w:val="0"/>
              <w:marBottom w:val="0"/>
              <w:divBdr>
                <w:top w:val="none" w:sz="0" w:space="0" w:color="auto"/>
                <w:left w:val="none" w:sz="0" w:space="0" w:color="auto"/>
                <w:bottom w:val="none" w:sz="0" w:space="0" w:color="auto"/>
                <w:right w:val="none" w:sz="0" w:space="0" w:color="auto"/>
              </w:divBdr>
              <w:divsChild>
                <w:div w:id="1638874295">
                  <w:marLeft w:val="0"/>
                  <w:marRight w:val="0"/>
                  <w:marTop w:val="0"/>
                  <w:marBottom w:val="0"/>
                  <w:divBdr>
                    <w:top w:val="none" w:sz="0" w:space="0" w:color="auto"/>
                    <w:left w:val="none" w:sz="0" w:space="0" w:color="auto"/>
                    <w:bottom w:val="none" w:sz="0" w:space="0" w:color="auto"/>
                    <w:right w:val="none" w:sz="0" w:space="0" w:color="auto"/>
                  </w:divBdr>
                </w:div>
              </w:divsChild>
            </w:div>
            <w:div w:id="350373021">
              <w:marLeft w:val="0"/>
              <w:marRight w:val="0"/>
              <w:marTop w:val="0"/>
              <w:marBottom w:val="0"/>
              <w:divBdr>
                <w:top w:val="none" w:sz="0" w:space="0" w:color="auto"/>
                <w:left w:val="none" w:sz="0" w:space="0" w:color="auto"/>
                <w:bottom w:val="none" w:sz="0" w:space="0" w:color="auto"/>
                <w:right w:val="none" w:sz="0" w:space="0" w:color="auto"/>
              </w:divBdr>
              <w:divsChild>
                <w:div w:id="63853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651">
          <w:marLeft w:val="0"/>
          <w:marRight w:val="0"/>
          <w:marTop w:val="0"/>
          <w:marBottom w:val="600"/>
          <w:divBdr>
            <w:top w:val="none" w:sz="0" w:space="0" w:color="auto"/>
            <w:left w:val="none" w:sz="0" w:space="0" w:color="auto"/>
            <w:bottom w:val="none" w:sz="0" w:space="0" w:color="auto"/>
            <w:right w:val="none" w:sz="0" w:space="0" w:color="auto"/>
          </w:divBdr>
        </w:div>
      </w:divsChild>
    </w:div>
    <w:div w:id="28998403">
      <w:marLeft w:val="0"/>
      <w:marRight w:val="0"/>
      <w:marTop w:val="0"/>
      <w:marBottom w:val="0"/>
      <w:divBdr>
        <w:top w:val="none" w:sz="0" w:space="0" w:color="auto"/>
        <w:left w:val="none" w:sz="0" w:space="0" w:color="auto"/>
        <w:bottom w:val="none" w:sz="0" w:space="0" w:color="auto"/>
        <w:right w:val="none" w:sz="0" w:space="0" w:color="auto"/>
      </w:divBdr>
      <w:divsChild>
        <w:div w:id="1923175100">
          <w:marLeft w:val="0"/>
          <w:marRight w:val="0"/>
          <w:marTop w:val="600"/>
          <w:marBottom w:val="0"/>
          <w:divBdr>
            <w:top w:val="none" w:sz="0" w:space="0" w:color="auto"/>
            <w:left w:val="none" w:sz="0" w:space="0" w:color="auto"/>
            <w:bottom w:val="none" w:sz="0" w:space="0" w:color="auto"/>
            <w:right w:val="none" w:sz="0" w:space="0" w:color="auto"/>
          </w:divBdr>
        </w:div>
        <w:div w:id="2118018205">
          <w:marLeft w:val="0"/>
          <w:marRight w:val="0"/>
          <w:marTop w:val="0"/>
          <w:marBottom w:val="0"/>
          <w:divBdr>
            <w:top w:val="none" w:sz="0" w:space="0" w:color="auto"/>
            <w:left w:val="none" w:sz="0" w:space="0" w:color="auto"/>
            <w:bottom w:val="none" w:sz="0" w:space="0" w:color="auto"/>
            <w:right w:val="none" w:sz="0" w:space="0" w:color="auto"/>
          </w:divBdr>
          <w:divsChild>
            <w:div w:id="258948146">
              <w:marLeft w:val="547"/>
              <w:marRight w:val="0"/>
              <w:marTop w:val="0"/>
              <w:marBottom w:val="0"/>
              <w:divBdr>
                <w:top w:val="none" w:sz="0" w:space="0" w:color="auto"/>
                <w:left w:val="none" w:sz="0" w:space="0" w:color="auto"/>
                <w:bottom w:val="none" w:sz="0" w:space="0" w:color="auto"/>
                <w:right w:val="none" w:sz="0" w:space="0" w:color="auto"/>
              </w:divBdr>
            </w:div>
            <w:div w:id="1903174555">
              <w:marLeft w:val="547"/>
              <w:marRight w:val="0"/>
              <w:marTop w:val="0"/>
              <w:marBottom w:val="0"/>
              <w:divBdr>
                <w:top w:val="none" w:sz="0" w:space="0" w:color="auto"/>
                <w:left w:val="none" w:sz="0" w:space="0" w:color="auto"/>
                <w:bottom w:val="none" w:sz="0" w:space="0" w:color="auto"/>
                <w:right w:val="none" w:sz="0" w:space="0" w:color="auto"/>
              </w:divBdr>
            </w:div>
            <w:div w:id="165484742">
              <w:marLeft w:val="547"/>
              <w:marRight w:val="0"/>
              <w:marTop w:val="0"/>
              <w:marBottom w:val="0"/>
              <w:divBdr>
                <w:top w:val="none" w:sz="0" w:space="0" w:color="auto"/>
                <w:left w:val="none" w:sz="0" w:space="0" w:color="auto"/>
                <w:bottom w:val="none" w:sz="0" w:space="0" w:color="auto"/>
                <w:right w:val="none" w:sz="0" w:space="0" w:color="auto"/>
              </w:divBdr>
            </w:div>
            <w:div w:id="1702045809">
              <w:marLeft w:val="547"/>
              <w:marRight w:val="0"/>
              <w:marTop w:val="0"/>
              <w:marBottom w:val="0"/>
              <w:divBdr>
                <w:top w:val="none" w:sz="0" w:space="0" w:color="auto"/>
                <w:left w:val="none" w:sz="0" w:space="0" w:color="auto"/>
                <w:bottom w:val="none" w:sz="0" w:space="0" w:color="auto"/>
                <w:right w:val="none" w:sz="0" w:space="0" w:color="auto"/>
              </w:divBdr>
            </w:div>
            <w:div w:id="304315584">
              <w:marLeft w:val="547"/>
              <w:marRight w:val="0"/>
              <w:marTop w:val="0"/>
              <w:marBottom w:val="0"/>
              <w:divBdr>
                <w:top w:val="none" w:sz="0" w:space="0" w:color="auto"/>
                <w:left w:val="none" w:sz="0" w:space="0" w:color="auto"/>
                <w:bottom w:val="none" w:sz="0" w:space="0" w:color="auto"/>
                <w:right w:val="none" w:sz="0" w:space="0" w:color="auto"/>
              </w:divBdr>
            </w:div>
          </w:divsChild>
        </w:div>
        <w:div w:id="302010407">
          <w:marLeft w:val="0"/>
          <w:marRight w:val="0"/>
          <w:marTop w:val="0"/>
          <w:marBottom w:val="600"/>
          <w:divBdr>
            <w:top w:val="none" w:sz="0" w:space="0" w:color="auto"/>
            <w:left w:val="none" w:sz="0" w:space="0" w:color="auto"/>
            <w:bottom w:val="none" w:sz="0" w:space="0" w:color="auto"/>
            <w:right w:val="none" w:sz="0" w:space="0" w:color="auto"/>
          </w:divBdr>
        </w:div>
      </w:divsChild>
    </w:div>
    <w:div w:id="54204838">
      <w:marLeft w:val="0"/>
      <w:marRight w:val="0"/>
      <w:marTop w:val="0"/>
      <w:marBottom w:val="0"/>
      <w:divBdr>
        <w:top w:val="none" w:sz="0" w:space="0" w:color="auto"/>
        <w:left w:val="none" w:sz="0" w:space="0" w:color="auto"/>
        <w:bottom w:val="none" w:sz="0" w:space="0" w:color="auto"/>
        <w:right w:val="none" w:sz="0" w:space="0" w:color="auto"/>
      </w:divBdr>
      <w:divsChild>
        <w:div w:id="445468999">
          <w:marLeft w:val="0"/>
          <w:marRight w:val="0"/>
          <w:marTop w:val="600"/>
          <w:marBottom w:val="0"/>
          <w:divBdr>
            <w:top w:val="none" w:sz="0" w:space="0" w:color="auto"/>
            <w:left w:val="none" w:sz="0" w:space="0" w:color="auto"/>
            <w:bottom w:val="none" w:sz="0" w:space="0" w:color="auto"/>
            <w:right w:val="none" w:sz="0" w:space="0" w:color="auto"/>
          </w:divBdr>
        </w:div>
        <w:div w:id="1571385587">
          <w:marLeft w:val="0"/>
          <w:marRight w:val="0"/>
          <w:marTop w:val="0"/>
          <w:marBottom w:val="0"/>
          <w:divBdr>
            <w:top w:val="none" w:sz="0" w:space="0" w:color="auto"/>
            <w:left w:val="none" w:sz="0" w:space="0" w:color="auto"/>
            <w:bottom w:val="none" w:sz="0" w:space="0" w:color="auto"/>
            <w:right w:val="none" w:sz="0" w:space="0" w:color="auto"/>
          </w:divBdr>
          <w:divsChild>
            <w:div w:id="526530549">
              <w:marLeft w:val="0"/>
              <w:marRight w:val="0"/>
              <w:marTop w:val="0"/>
              <w:marBottom w:val="0"/>
              <w:divBdr>
                <w:top w:val="none" w:sz="0" w:space="0" w:color="auto"/>
                <w:left w:val="none" w:sz="0" w:space="0" w:color="auto"/>
                <w:bottom w:val="none" w:sz="0" w:space="0" w:color="auto"/>
                <w:right w:val="none" w:sz="0" w:space="0" w:color="auto"/>
              </w:divBdr>
              <w:divsChild>
                <w:div w:id="503279971">
                  <w:marLeft w:val="0"/>
                  <w:marRight w:val="0"/>
                  <w:marTop w:val="0"/>
                  <w:marBottom w:val="0"/>
                  <w:divBdr>
                    <w:top w:val="none" w:sz="0" w:space="0" w:color="auto"/>
                    <w:left w:val="none" w:sz="0" w:space="0" w:color="auto"/>
                    <w:bottom w:val="none" w:sz="0" w:space="0" w:color="auto"/>
                    <w:right w:val="none" w:sz="0" w:space="0" w:color="auto"/>
                  </w:divBdr>
                </w:div>
              </w:divsChild>
            </w:div>
            <w:div w:id="1160120440">
              <w:marLeft w:val="0"/>
              <w:marRight w:val="0"/>
              <w:marTop w:val="0"/>
              <w:marBottom w:val="0"/>
              <w:divBdr>
                <w:top w:val="none" w:sz="0" w:space="0" w:color="auto"/>
                <w:left w:val="none" w:sz="0" w:space="0" w:color="auto"/>
                <w:bottom w:val="none" w:sz="0" w:space="0" w:color="auto"/>
                <w:right w:val="none" w:sz="0" w:space="0" w:color="auto"/>
              </w:divBdr>
              <w:divsChild>
                <w:div w:id="1056245445">
                  <w:marLeft w:val="0"/>
                  <w:marRight w:val="0"/>
                  <w:marTop w:val="0"/>
                  <w:marBottom w:val="0"/>
                  <w:divBdr>
                    <w:top w:val="none" w:sz="0" w:space="0" w:color="auto"/>
                    <w:left w:val="none" w:sz="0" w:space="0" w:color="auto"/>
                    <w:bottom w:val="none" w:sz="0" w:space="0" w:color="auto"/>
                    <w:right w:val="none" w:sz="0" w:space="0" w:color="auto"/>
                  </w:divBdr>
                </w:div>
              </w:divsChild>
            </w:div>
            <w:div w:id="1352687007">
              <w:marLeft w:val="0"/>
              <w:marRight w:val="0"/>
              <w:marTop w:val="0"/>
              <w:marBottom w:val="0"/>
              <w:divBdr>
                <w:top w:val="none" w:sz="0" w:space="0" w:color="auto"/>
                <w:left w:val="none" w:sz="0" w:space="0" w:color="auto"/>
                <w:bottom w:val="none" w:sz="0" w:space="0" w:color="auto"/>
                <w:right w:val="none" w:sz="0" w:space="0" w:color="auto"/>
              </w:divBdr>
              <w:divsChild>
                <w:div w:id="1727803758">
                  <w:marLeft w:val="0"/>
                  <w:marRight w:val="0"/>
                  <w:marTop w:val="0"/>
                  <w:marBottom w:val="0"/>
                  <w:divBdr>
                    <w:top w:val="none" w:sz="0" w:space="0" w:color="auto"/>
                    <w:left w:val="none" w:sz="0" w:space="0" w:color="auto"/>
                    <w:bottom w:val="none" w:sz="0" w:space="0" w:color="auto"/>
                    <w:right w:val="none" w:sz="0" w:space="0" w:color="auto"/>
                  </w:divBdr>
                </w:div>
              </w:divsChild>
            </w:div>
            <w:div w:id="2014409524">
              <w:marLeft w:val="0"/>
              <w:marRight w:val="0"/>
              <w:marTop w:val="0"/>
              <w:marBottom w:val="0"/>
              <w:divBdr>
                <w:top w:val="none" w:sz="0" w:space="0" w:color="auto"/>
                <w:left w:val="none" w:sz="0" w:space="0" w:color="auto"/>
                <w:bottom w:val="none" w:sz="0" w:space="0" w:color="auto"/>
                <w:right w:val="none" w:sz="0" w:space="0" w:color="auto"/>
              </w:divBdr>
              <w:divsChild>
                <w:div w:id="1298686903">
                  <w:marLeft w:val="0"/>
                  <w:marRight w:val="0"/>
                  <w:marTop w:val="0"/>
                  <w:marBottom w:val="0"/>
                  <w:divBdr>
                    <w:top w:val="none" w:sz="0" w:space="0" w:color="auto"/>
                    <w:left w:val="none" w:sz="0" w:space="0" w:color="auto"/>
                    <w:bottom w:val="none" w:sz="0" w:space="0" w:color="auto"/>
                    <w:right w:val="none" w:sz="0" w:space="0" w:color="auto"/>
                  </w:divBdr>
                </w:div>
              </w:divsChild>
            </w:div>
            <w:div w:id="820855661">
              <w:marLeft w:val="0"/>
              <w:marRight w:val="0"/>
              <w:marTop w:val="0"/>
              <w:marBottom w:val="0"/>
              <w:divBdr>
                <w:top w:val="none" w:sz="0" w:space="0" w:color="auto"/>
                <w:left w:val="none" w:sz="0" w:space="0" w:color="auto"/>
                <w:bottom w:val="none" w:sz="0" w:space="0" w:color="auto"/>
                <w:right w:val="none" w:sz="0" w:space="0" w:color="auto"/>
              </w:divBdr>
              <w:divsChild>
                <w:div w:id="1186140229">
                  <w:marLeft w:val="0"/>
                  <w:marRight w:val="0"/>
                  <w:marTop w:val="0"/>
                  <w:marBottom w:val="0"/>
                  <w:divBdr>
                    <w:top w:val="none" w:sz="0" w:space="0" w:color="auto"/>
                    <w:left w:val="none" w:sz="0" w:space="0" w:color="auto"/>
                    <w:bottom w:val="none" w:sz="0" w:space="0" w:color="auto"/>
                    <w:right w:val="none" w:sz="0" w:space="0" w:color="auto"/>
                  </w:divBdr>
                </w:div>
              </w:divsChild>
            </w:div>
            <w:div w:id="179660206">
              <w:marLeft w:val="0"/>
              <w:marRight w:val="0"/>
              <w:marTop w:val="0"/>
              <w:marBottom w:val="0"/>
              <w:divBdr>
                <w:top w:val="none" w:sz="0" w:space="0" w:color="auto"/>
                <w:left w:val="none" w:sz="0" w:space="0" w:color="auto"/>
                <w:bottom w:val="none" w:sz="0" w:space="0" w:color="auto"/>
                <w:right w:val="none" w:sz="0" w:space="0" w:color="auto"/>
              </w:divBdr>
              <w:divsChild>
                <w:div w:id="1196388810">
                  <w:marLeft w:val="0"/>
                  <w:marRight w:val="0"/>
                  <w:marTop w:val="0"/>
                  <w:marBottom w:val="0"/>
                  <w:divBdr>
                    <w:top w:val="none" w:sz="0" w:space="0" w:color="auto"/>
                    <w:left w:val="none" w:sz="0" w:space="0" w:color="auto"/>
                    <w:bottom w:val="none" w:sz="0" w:space="0" w:color="auto"/>
                    <w:right w:val="none" w:sz="0" w:space="0" w:color="auto"/>
                  </w:divBdr>
                </w:div>
              </w:divsChild>
            </w:div>
            <w:div w:id="1422024452">
              <w:marLeft w:val="0"/>
              <w:marRight w:val="0"/>
              <w:marTop w:val="0"/>
              <w:marBottom w:val="0"/>
              <w:divBdr>
                <w:top w:val="none" w:sz="0" w:space="0" w:color="auto"/>
                <w:left w:val="none" w:sz="0" w:space="0" w:color="auto"/>
                <w:bottom w:val="none" w:sz="0" w:space="0" w:color="auto"/>
                <w:right w:val="none" w:sz="0" w:space="0" w:color="auto"/>
              </w:divBdr>
              <w:divsChild>
                <w:div w:id="2068071247">
                  <w:marLeft w:val="0"/>
                  <w:marRight w:val="0"/>
                  <w:marTop w:val="0"/>
                  <w:marBottom w:val="0"/>
                  <w:divBdr>
                    <w:top w:val="none" w:sz="0" w:space="0" w:color="auto"/>
                    <w:left w:val="none" w:sz="0" w:space="0" w:color="auto"/>
                    <w:bottom w:val="none" w:sz="0" w:space="0" w:color="auto"/>
                    <w:right w:val="none" w:sz="0" w:space="0" w:color="auto"/>
                  </w:divBdr>
                </w:div>
              </w:divsChild>
            </w:div>
            <w:div w:id="2066756481">
              <w:marLeft w:val="0"/>
              <w:marRight w:val="0"/>
              <w:marTop w:val="0"/>
              <w:marBottom w:val="0"/>
              <w:divBdr>
                <w:top w:val="none" w:sz="0" w:space="0" w:color="auto"/>
                <w:left w:val="none" w:sz="0" w:space="0" w:color="auto"/>
                <w:bottom w:val="none" w:sz="0" w:space="0" w:color="auto"/>
                <w:right w:val="none" w:sz="0" w:space="0" w:color="auto"/>
              </w:divBdr>
              <w:divsChild>
                <w:div w:id="99984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89940">
          <w:marLeft w:val="0"/>
          <w:marRight w:val="0"/>
          <w:marTop w:val="0"/>
          <w:marBottom w:val="600"/>
          <w:divBdr>
            <w:top w:val="none" w:sz="0" w:space="0" w:color="auto"/>
            <w:left w:val="none" w:sz="0" w:space="0" w:color="auto"/>
            <w:bottom w:val="none" w:sz="0" w:space="0" w:color="auto"/>
            <w:right w:val="none" w:sz="0" w:space="0" w:color="auto"/>
          </w:divBdr>
        </w:div>
      </w:divsChild>
    </w:div>
    <w:div w:id="119685816">
      <w:marLeft w:val="0"/>
      <w:marRight w:val="0"/>
      <w:marTop w:val="0"/>
      <w:marBottom w:val="0"/>
      <w:divBdr>
        <w:top w:val="none" w:sz="0" w:space="0" w:color="auto"/>
        <w:left w:val="none" w:sz="0" w:space="0" w:color="auto"/>
        <w:bottom w:val="none" w:sz="0" w:space="0" w:color="auto"/>
        <w:right w:val="none" w:sz="0" w:space="0" w:color="auto"/>
      </w:divBdr>
      <w:divsChild>
        <w:div w:id="1540511474">
          <w:marLeft w:val="0"/>
          <w:marRight w:val="0"/>
          <w:marTop w:val="600"/>
          <w:marBottom w:val="0"/>
          <w:divBdr>
            <w:top w:val="none" w:sz="0" w:space="0" w:color="auto"/>
            <w:left w:val="none" w:sz="0" w:space="0" w:color="auto"/>
            <w:bottom w:val="none" w:sz="0" w:space="0" w:color="auto"/>
            <w:right w:val="none" w:sz="0" w:space="0" w:color="auto"/>
          </w:divBdr>
        </w:div>
        <w:div w:id="295992806">
          <w:marLeft w:val="0"/>
          <w:marRight w:val="0"/>
          <w:marTop w:val="0"/>
          <w:marBottom w:val="0"/>
          <w:divBdr>
            <w:top w:val="none" w:sz="0" w:space="0" w:color="auto"/>
            <w:left w:val="none" w:sz="0" w:space="0" w:color="auto"/>
            <w:bottom w:val="none" w:sz="0" w:space="0" w:color="auto"/>
            <w:right w:val="none" w:sz="0" w:space="0" w:color="auto"/>
          </w:divBdr>
        </w:div>
        <w:div w:id="2142190493">
          <w:marLeft w:val="0"/>
          <w:marRight w:val="0"/>
          <w:marTop w:val="0"/>
          <w:marBottom w:val="600"/>
          <w:divBdr>
            <w:top w:val="none" w:sz="0" w:space="0" w:color="auto"/>
            <w:left w:val="none" w:sz="0" w:space="0" w:color="auto"/>
            <w:bottom w:val="none" w:sz="0" w:space="0" w:color="auto"/>
            <w:right w:val="none" w:sz="0" w:space="0" w:color="auto"/>
          </w:divBdr>
        </w:div>
      </w:divsChild>
    </w:div>
    <w:div w:id="150407786">
      <w:marLeft w:val="0"/>
      <w:marRight w:val="0"/>
      <w:marTop w:val="0"/>
      <w:marBottom w:val="0"/>
      <w:divBdr>
        <w:top w:val="none" w:sz="0" w:space="0" w:color="auto"/>
        <w:left w:val="none" w:sz="0" w:space="0" w:color="auto"/>
        <w:bottom w:val="none" w:sz="0" w:space="0" w:color="auto"/>
        <w:right w:val="none" w:sz="0" w:space="0" w:color="auto"/>
      </w:divBdr>
      <w:divsChild>
        <w:div w:id="736971813">
          <w:marLeft w:val="0"/>
          <w:marRight w:val="0"/>
          <w:marTop w:val="600"/>
          <w:marBottom w:val="0"/>
          <w:divBdr>
            <w:top w:val="none" w:sz="0" w:space="0" w:color="auto"/>
            <w:left w:val="none" w:sz="0" w:space="0" w:color="auto"/>
            <w:bottom w:val="none" w:sz="0" w:space="0" w:color="auto"/>
            <w:right w:val="none" w:sz="0" w:space="0" w:color="auto"/>
          </w:divBdr>
        </w:div>
        <w:div w:id="276523775">
          <w:marLeft w:val="0"/>
          <w:marRight w:val="0"/>
          <w:marTop w:val="0"/>
          <w:marBottom w:val="0"/>
          <w:divBdr>
            <w:top w:val="none" w:sz="0" w:space="0" w:color="auto"/>
            <w:left w:val="none" w:sz="0" w:space="0" w:color="auto"/>
            <w:bottom w:val="none" w:sz="0" w:space="0" w:color="auto"/>
            <w:right w:val="none" w:sz="0" w:space="0" w:color="auto"/>
          </w:divBdr>
          <w:divsChild>
            <w:div w:id="1192298892">
              <w:marLeft w:val="0"/>
              <w:marRight w:val="0"/>
              <w:marTop w:val="0"/>
              <w:marBottom w:val="0"/>
              <w:divBdr>
                <w:top w:val="none" w:sz="0" w:space="0" w:color="auto"/>
                <w:left w:val="none" w:sz="0" w:space="0" w:color="auto"/>
                <w:bottom w:val="none" w:sz="0" w:space="0" w:color="auto"/>
                <w:right w:val="none" w:sz="0" w:space="0" w:color="auto"/>
              </w:divBdr>
              <w:divsChild>
                <w:div w:id="1210410540">
                  <w:marLeft w:val="0"/>
                  <w:marRight w:val="0"/>
                  <w:marTop w:val="0"/>
                  <w:marBottom w:val="0"/>
                  <w:divBdr>
                    <w:top w:val="none" w:sz="0" w:space="0" w:color="auto"/>
                    <w:left w:val="none" w:sz="0" w:space="0" w:color="auto"/>
                    <w:bottom w:val="none" w:sz="0" w:space="0" w:color="auto"/>
                    <w:right w:val="none" w:sz="0" w:space="0" w:color="auto"/>
                  </w:divBdr>
                </w:div>
              </w:divsChild>
            </w:div>
            <w:div w:id="2022125070">
              <w:marLeft w:val="0"/>
              <w:marRight w:val="0"/>
              <w:marTop w:val="0"/>
              <w:marBottom w:val="0"/>
              <w:divBdr>
                <w:top w:val="none" w:sz="0" w:space="0" w:color="auto"/>
                <w:left w:val="none" w:sz="0" w:space="0" w:color="auto"/>
                <w:bottom w:val="none" w:sz="0" w:space="0" w:color="auto"/>
                <w:right w:val="none" w:sz="0" w:space="0" w:color="auto"/>
              </w:divBdr>
              <w:divsChild>
                <w:div w:id="1204637604">
                  <w:marLeft w:val="0"/>
                  <w:marRight w:val="0"/>
                  <w:marTop w:val="0"/>
                  <w:marBottom w:val="0"/>
                  <w:divBdr>
                    <w:top w:val="none" w:sz="0" w:space="0" w:color="auto"/>
                    <w:left w:val="none" w:sz="0" w:space="0" w:color="auto"/>
                    <w:bottom w:val="none" w:sz="0" w:space="0" w:color="auto"/>
                    <w:right w:val="none" w:sz="0" w:space="0" w:color="auto"/>
                  </w:divBdr>
                </w:div>
              </w:divsChild>
            </w:div>
            <w:div w:id="759066148">
              <w:marLeft w:val="0"/>
              <w:marRight w:val="0"/>
              <w:marTop w:val="0"/>
              <w:marBottom w:val="0"/>
              <w:divBdr>
                <w:top w:val="none" w:sz="0" w:space="0" w:color="auto"/>
                <w:left w:val="none" w:sz="0" w:space="0" w:color="auto"/>
                <w:bottom w:val="none" w:sz="0" w:space="0" w:color="auto"/>
                <w:right w:val="none" w:sz="0" w:space="0" w:color="auto"/>
              </w:divBdr>
              <w:divsChild>
                <w:div w:id="1990204806">
                  <w:marLeft w:val="0"/>
                  <w:marRight w:val="0"/>
                  <w:marTop w:val="0"/>
                  <w:marBottom w:val="0"/>
                  <w:divBdr>
                    <w:top w:val="none" w:sz="0" w:space="0" w:color="auto"/>
                    <w:left w:val="none" w:sz="0" w:space="0" w:color="auto"/>
                    <w:bottom w:val="none" w:sz="0" w:space="0" w:color="auto"/>
                    <w:right w:val="none" w:sz="0" w:space="0" w:color="auto"/>
                  </w:divBdr>
                </w:div>
              </w:divsChild>
            </w:div>
            <w:div w:id="1389650117">
              <w:marLeft w:val="0"/>
              <w:marRight w:val="0"/>
              <w:marTop w:val="0"/>
              <w:marBottom w:val="0"/>
              <w:divBdr>
                <w:top w:val="none" w:sz="0" w:space="0" w:color="auto"/>
                <w:left w:val="none" w:sz="0" w:space="0" w:color="auto"/>
                <w:bottom w:val="none" w:sz="0" w:space="0" w:color="auto"/>
                <w:right w:val="none" w:sz="0" w:space="0" w:color="auto"/>
              </w:divBdr>
              <w:divsChild>
                <w:div w:id="2062316571">
                  <w:marLeft w:val="0"/>
                  <w:marRight w:val="0"/>
                  <w:marTop w:val="0"/>
                  <w:marBottom w:val="0"/>
                  <w:divBdr>
                    <w:top w:val="none" w:sz="0" w:space="0" w:color="auto"/>
                    <w:left w:val="none" w:sz="0" w:space="0" w:color="auto"/>
                    <w:bottom w:val="none" w:sz="0" w:space="0" w:color="auto"/>
                    <w:right w:val="none" w:sz="0" w:space="0" w:color="auto"/>
                  </w:divBdr>
                </w:div>
              </w:divsChild>
            </w:div>
            <w:div w:id="1265454417">
              <w:marLeft w:val="0"/>
              <w:marRight w:val="0"/>
              <w:marTop w:val="0"/>
              <w:marBottom w:val="0"/>
              <w:divBdr>
                <w:top w:val="none" w:sz="0" w:space="0" w:color="auto"/>
                <w:left w:val="none" w:sz="0" w:space="0" w:color="auto"/>
                <w:bottom w:val="none" w:sz="0" w:space="0" w:color="auto"/>
                <w:right w:val="none" w:sz="0" w:space="0" w:color="auto"/>
              </w:divBdr>
              <w:divsChild>
                <w:div w:id="249436053">
                  <w:marLeft w:val="0"/>
                  <w:marRight w:val="0"/>
                  <w:marTop w:val="0"/>
                  <w:marBottom w:val="0"/>
                  <w:divBdr>
                    <w:top w:val="none" w:sz="0" w:space="0" w:color="auto"/>
                    <w:left w:val="none" w:sz="0" w:space="0" w:color="auto"/>
                    <w:bottom w:val="none" w:sz="0" w:space="0" w:color="auto"/>
                    <w:right w:val="none" w:sz="0" w:space="0" w:color="auto"/>
                  </w:divBdr>
                </w:div>
              </w:divsChild>
            </w:div>
            <w:div w:id="1429497788">
              <w:marLeft w:val="0"/>
              <w:marRight w:val="0"/>
              <w:marTop w:val="0"/>
              <w:marBottom w:val="0"/>
              <w:divBdr>
                <w:top w:val="none" w:sz="0" w:space="0" w:color="auto"/>
                <w:left w:val="none" w:sz="0" w:space="0" w:color="auto"/>
                <w:bottom w:val="none" w:sz="0" w:space="0" w:color="auto"/>
                <w:right w:val="none" w:sz="0" w:space="0" w:color="auto"/>
              </w:divBdr>
              <w:divsChild>
                <w:div w:id="808791159">
                  <w:marLeft w:val="0"/>
                  <w:marRight w:val="0"/>
                  <w:marTop w:val="0"/>
                  <w:marBottom w:val="0"/>
                  <w:divBdr>
                    <w:top w:val="none" w:sz="0" w:space="0" w:color="auto"/>
                    <w:left w:val="none" w:sz="0" w:space="0" w:color="auto"/>
                    <w:bottom w:val="none" w:sz="0" w:space="0" w:color="auto"/>
                    <w:right w:val="none" w:sz="0" w:space="0" w:color="auto"/>
                  </w:divBdr>
                </w:div>
              </w:divsChild>
            </w:div>
            <w:div w:id="400830271">
              <w:marLeft w:val="0"/>
              <w:marRight w:val="0"/>
              <w:marTop w:val="0"/>
              <w:marBottom w:val="0"/>
              <w:divBdr>
                <w:top w:val="none" w:sz="0" w:space="0" w:color="auto"/>
                <w:left w:val="none" w:sz="0" w:space="0" w:color="auto"/>
                <w:bottom w:val="none" w:sz="0" w:space="0" w:color="auto"/>
                <w:right w:val="none" w:sz="0" w:space="0" w:color="auto"/>
              </w:divBdr>
              <w:divsChild>
                <w:div w:id="807894849">
                  <w:marLeft w:val="0"/>
                  <w:marRight w:val="0"/>
                  <w:marTop w:val="0"/>
                  <w:marBottom w:val="0"/>
                  <w:divBdr>
                    <w:top w:val="none" w:sz="0" w:space="0" w:color="auto"/>
                    <w:left w:val="none" w:sz="0" w:space="0" w:color="auto"/>
                    <w:bottom w:val="none" w:sz="0" w:space="0" w:color="auto"/>
                    <w:right w:val="none" w:sz="0" w:space="0" w:color="auto"/>
                  </w:divBdr>
                </w:div>
              </w:divsChild>
            </w:div>
            <w:div w:id="427237188">
              <w:marLeft w:val="0"/>
              <w:marRight w:val="0"/>
              <w:marTop w:val="0"/>
              <w:marBottom w:val="0"/>
              <w:divBdr>
                <w:top w:val="none" w:sz="0" w:space="0" w:color="auto"/>
                <w:left w:val="none" w:sz="0" w:space="0" w:color="auto"/>
                <w:bottom w:val="none" w:sz="0" w:space="0" w:color="auto"/>
                <w:right w:val="none" w:sz="0" w:space="0" w:color="auto"/>
              </w:divBdr>
              <w:divsChild>
                <w:div w:id="551187038">
                  <w:marLeft w:val="0"/>
                  <w:marRight w:val="0"/>
                  <w:marTop w:val="0"/>
                  <w:marBottom w:val="0"/>
                  <w:divBdr>
                    <w:top w:val="none" w:sz="0" w:space="0" w:color="auto"/>
                    <w:left w:val="none" w:sz="0" w:space="0" w:color="auto"/>
                    <w:bottom w:val="none" w:sz="0" w:space="0" w:color="auto"/>
                    <w:right w:val="none" w:sz="0" w:space="0" w:color="auto"/>
                  </w:divBdr>
                </w:div>
              </w:divsChild>
            </w:div>
            <w:div w:id="823593931">
              <w:marLeft w:val="0"/>
              <w:marRight w:val="0"/>
              <w:marTop w:val="0"/>
              <w:marBottom w:val="0"/>
              <w:divBdr>
                <w:top w:val="none" w:sz="0" w:space="0" w:color="auto"/>
                <w:left w:val="none" w:sz="0" w:space="0" w:color="auto"/>
                <w:bottom w:val="none" w:sz="0" w:space="0" w:color="auto"/>
                <w:right w:val="none" w:sz="0" w:space="0" w:color="auto"/>
              </w:divBdr>
              <w:divsChild>
                <w:div w:id="350956074">
                  <w:marLeft w:val="0"/>
                  <w:marRight w:val="0"/>
                  <w:marTop w:val="0"/>
                  <w:marBottom w:val="0"/>
                  <w:divBdr>
                    <w:top w:val="none" w:sz="0" w:space="0" w:color="auto"/>
                    <w:left w:val="none" w:sz="0" w:space="0" w:color="auto"/>
                    <w:bottom w:val="none" w:sz="0" w:space="0" w:color="auto"/>
                    <w:right w:val="none" w:sz="0" w:space="0" w:color="auto"/>
                  </w:divBdr>
                </w:div>
              </w:divsChild>
            </w:div>
            <w:div w:id="498810145">
              <w:marLeft w:val="0"/>
              <w:marRight w:val="0"/>
              <w:marTop w:val="0"/>
              <w:marBottom w:val="0"/>
              <w:divBdr>
                <w:top w:val="none" w:sz="0" w:space="0" w:color="auto"/>
                <w:left w:val="none" w:sz="0" w:space="0" w:color="auto"/>
                <w:bottom w:val="none" w:sz="0" w:space="0" w:color="auto"/>
                <w:right w:val="none" w:sz="0" w:space="0" w:color="auto"/>
              </w:divBdr>
              <w:divsChild>
                <w:div w:id="1748186383">
                  <w:marLeft w:val="0"/>
                  <w:marRight w:val="0"/>
                  <w:marTop w:val="0"/>
                  <w:marBottom w:val="0"/>
                  <w:divBdr>
                    <w:top w:val="none" w:sz="0" w:space="0" w:color="auto"/>
                    <w:left w:val="none" w:sz="0" w:space="0" w:color="auto"/>
                    <w:bottom w:val="none" w:sz="0" w:space="0" w:color="auto"/>
                    <w:right w:val="none" w:sz="0" w:space="0" w:color="auto"/>
                  </w:divBdr>
                </w:div>
              </w:divsChild>
            </w:div>
            <w:div w:id="1312708930">
              <w:marLeft w:val="0"/>
              <w:marRight w:val="0"/>
              <w:marTop w:val="0"/>
              <w:marBottom w:val="0"/>
              <w:divBdr>
                <w:top w:val="none" w:sz="0" w:space="0" w:color="auto"/>
                <w:left w:val="none" w:sz="0" w:space="0" w:color="auto"/>
                <w:bottom w:val="none" w:sz="0" w:space="0" w:color="auto"/>
                <w:right w:val="none" w:sz="0" w:space="0" w:color="auto"/>
              </w:divBdr>
              <w:divsChild>
                <w:div w:id="638416830">
                  <w:marLeft w:val="0"/>
                  <w:marRight w:val="0"/>
                  <w:marTop w:val="0"/>
                  <w:marBottom w:val="0"/>
                  <w:divBdr>
                    <w:top w:val="none" w:sz="0" w:space="0" w:color="auto"/>
                    <w:left w:val="none" w:sz="0" w:space="0" w:color="auto"/>
                    <w:bottom w:val="none" w:sz="0" w:space="0" w:color="auto"/>
                    <w:right w:val="none" w:sz="0" w:space="0" w:color="auto"/>
                  </w:divBdr>
                </w:div>
              </w:divsChild>
            </w:div>
            <w:div w:id="1529903141">
              <w:marLeft w:val="0"/>
              <w:marRight w:val="0"/>
              <w:marTop w:val="0"/>
              <w:marBottom w:val="0"/>
              <w:divBdr>
                <w:top w:val="none" w:sz="0" w:space="0" w:color="auto"/>
                <w:left w:val="none" w:sz="0" w:space="0" w:color="auto"/>
                <w:bottom w:val="none" w:sz="0" w:space="0" w:color="auto"/>
                <w:right w:val="none" w:sz="0" w:space="0" w:color="auto"/>
              </w:divBdr>
              <w:divsChild>
                <w:div w:id="1274169758">
                  <w:marLeft w:val="0"/>
                  <w:marRight w:val="0"/>
                  <w:marTop w:val="0"/>
                  <w:marBottom w:val="0"/>
                  <w:divBdr>
                    <w:top w:val="none" w:sz="0" w:space="0" w:color="auto"/>
                    <w:left w:val="none" w:sz="0" w:space="0" w:color="auto"/>
                    <w:bottom w:val="none" w:sz="0" w:space="0" w:color="auto"/>
                    <w:right w:val="none" w:sz="0" w:space="0" w:color="auto"/>
                  </w:divBdr>
                </w:div>
              </w:divsChild>
            </w:div>
            <w:div w:id="331299036">
              <w:marLeft w:val="0"/>
              <w:marRight w:val="0"/>
              <w:marTop w:val="0"/>
              <w:marBottom w:val="0"/>
              <w:divBdr>
                <w:top w:val="none" w:sz="0" w:space="0" w:color="auto"/>
                <w:left w:val="none" w:sz="0" w:space="0" w:color="auto"/>
                <w:bottom w:val="none" w:sz="0" w:space="0" w:color="auto"/>
                <w:right w:val="none" w:sz="0" w:space="0" w:color="auto"/>
              </w:divBdr>
              <w:divsChild>
                <w:div w:id="1288439115">
                  <w:marLeft w:val="0"/>
                  <w:marRight w:val="0"/>
                  <w:marTop w:val="0"/>
                  <w:marBottom w:val="0"/>
                  <w:divBdr>
                    <w:top w:val="none" w:sz="0" w:space="0" w:color="auto"/>
                    <w:left w:val="none" w:sz="0" w:space="0" w:color="auto"/>
                    <w:bottom w:val="none" w:sz="0" w:space="0" w:color="auto"/>
                    <w:right w:val="none" w:sz="0" w:space="0" w:color="auto"/>
                  </w:divBdr>
                </w:div>
              </w:divsChild>
            </w:div>
            <w:div w:id="1904365388">
              <w:marLeft w:val="0"/>
              <w:marRight w:val="0"/>
              <w:marTop w:val="0"/>
              <w:marBottom w:val="0"/>
              <w:divBdr>
                <w:top w:val="none" w:sz="0" w:space="0" w:color="auto"/>
                <w:left w:val="none" w:sz="0" w:space="0" w:color="auto"/>
                <w:bottom w:val="none" w:sz="0" w:space="0" w:color="auto"/>
                <w:right w:val="none" w:sz="0" w:space="0" w:color="auto"/>
              </w:divBdr>
              <w:divsChild>
                <w:div w:id="1473059564">
                  <w:marLeft w:val="0"/>
                  <w:marRight w:val="0"/>
                  <w:marTop w:val="0"/>
                  <w:marBottom w:val="0"/>
                  <w:divBdr>
                    <w:top w:val="none" w:sz="0" w:space="0" w:color="auto"/>
                    <w:left w:val="none" w:sz="0" w:space="0" w:color="auto"/>
                    <w:bottom w:val="none" w:sz="0" w:space="0" w:color="auto"/>
                    <w:right w:val="none" w:sz="0" w:space="0" w:color="auto"/>
                  </w:divBdr>
                </w:div>
              </w:divsChild>
            </w:div>
            <w:div w:id="867371107">
              <w:marLeft w:val="0"/>
              <w:marRight w:val="0"/>
              <w:marTop w:val="0"/>
              <w:marBottom w:val="0"/>
              <w:divBdr>
                <w:top w:val="none" w:sz="0" w:space="0" w:color="auto"/>
                <w:left w:val="none" w:sz="0" w:space="0" w:color="auto"/>
                <w:bottom w:val="none" w:sz="0" w:space="0" w:color="auto"/>
                <w:right w:val="none" w:sz="0" w:space="0" w:color="auto"/>
              </w:divBdr>
              <w:divsChild>
                <w:div w:id="1038702533">
                  <w:marLeft w:val="0"/>
                  <w:marRight w:val="0"/>
                  <w:marTop w:val="0"/>
                  <w:marBottom w:val="0"/>
                  <w:divBdr>
                    <w:top w:val="none" w:sz="0" w:space="0" w:color="auto"/>
                    <w:left w:val="none" w:sz="0" w:space="0" w:color="auto"/>
                    <w:bottom w:val="none" w:sz="0" w:space="0" w:color="auto"/>
                    <w:right w:val="none" w:sz="0" w:space="0" w:color="auto"/>
                  </w:divBdr>
                </w:div>
              </w:divsChild>
            </w:div>
            <w:div w:id="1629822756">
              <w:marLeft w:val="0"/>
              <w:marRight w:val="0"/>
              <w:marTop w:val="0"/>
              <w:marBottom w:val="0"/>
              <w:divBdr>
                <w:top w:val="none" w:sz="0" w:space="0" w:color="auto"/>
                <w:left w:val="none" w:sz="0" w:space="0" w:color="auto"/>
                <w:bottom w:val="none" w:sz="0" w:space="0" w:color="auto"/>
                <w:right w:val="none" w:sz="0" w:space="0" w:color="auto"/>
              </w:divBdr>
              <w:divsChild>
                <w:div w:id="1388264218">
                  <w:marLeft w:val="0"/>
                  <w:marRight w:val="0"/>
                  <w:marTop w:val="0"/>
                  <w:marBottom w:val="0"/>
                  <w:divBdr>
                    <w:top w:val="none" w:sz="0" w:space="0" w:color="auto"/>
                    <w:left w:val="none" w:sz="0" w:space="0" w:color="auto"/>
                    <w:bottom w:val="none" w:sz="0" w:space="0" w:color="auto"/>
                    <w:right w:val="none" w:sz="0" w:space="0" w:color="auto"/>
                  </w:divBdr>
                </w:div>
              </w:divsChild>
            </w:div>
            <w:div w:id="1289166053">
              <w:marLeft w:val="0"/>
              <w:marRight w:val="0"/>
              <w:marTop w:val="0"/>
              <w:marBottom w:val="0"/>
              <w:divBdr>
                <w:top w:val="none" w:sz="0" w:space="0" w:color="auto"/>
                <w:left w:val="none" w:sz="0" w:space="0" w:color="auto"/>
                <w:bottom w:val="none" w:sz="0" w:space="0" w:color="auto"/>
                <w:right w:val="none" w:sz="0" w:space="0" w:color="auto"/>
              </w:divBdr>
              <w:divsChild>
                <w:div w:id="1278098842">
                  <w:marLeft w:val="0"/>
                  <w:marRight w:val="0"/>
                  <w:marTop w:val="0"/>
                  <w:marBottom w:val="0"/>
                  <w:divBdr>
                    <w:top w:val="none" w:sz="0" w:space="0" w:color="auto"/>
                    <w:left w:val="none" w:sz="0" w:space="0" w:color="auto"/>
                    <w:bottom w:val="none" w:sz="0" w:space="0" w:color="auto"/>
                    <w:right w:val="none" w:sz="0" w:space="0" w:color="auto"/>
                  </w:divBdr>
                </w:div>
              </w:divsChild>
            </w:div>
            <w:div w:id="1009482353">
              <w:marLeft w:val="0"/>
              <w:marRight w:val="0"/>
              <w:marTop w:val="0"/>
              <w:marBottom w:val="0"/>
              <w:divBdr>
                <w:top w:val="none" w:sz="0" w:space="0" w:color="auto"/>
                <w:left w:val="none" w:sz="0" w:space="0" w:color="auto"/>
                <w:bottom w:val="none" w:sz="0" w:space="0" w:color="auto"/>
                <w:right w:val="none" w:sz="0" w:space="0" w:color="auto"/>
              </w:divBdr>
              <w:divsChild>
                <w:div w:id="83428100">
                  <w:marLeft w:val="0"/>
                  <w:marRight w:val="0"/>
                  <w:marTop w:val="0"/>
                  <w:marBottom w:val="0"/>
                  <w:divBdr>
                    <w:top w:val="none" w:sz="0" w:space="0" w:color="auto"/>
                    <w:left w:val="none" w:sz="0" w:space="0" w:color="auto"/>
                    <w:bottom w:val="none" w:sz="0" w:space="0" w:color="auto"/>
                    <w:right w:val="none" w:sz="0" w:space="0" w:color="auto"/>
                  </w:divBdr>
                </w:div>
              </w:divsChild>
            </w:div>
            <w:div w:id="1860855707">
              <w:marLeft w:val="0"/>
              <w:marRight w:val="0"/>
              <w:marTop w:val="0"/>
              <w:marBottom w:val="0"/>
              <w:divBdr>
                <w:top w:val="none" w:sz="0" w:space="0" w:color="auto"/>
                <w:left w:val="none" w:sz="0" w:space="0" w:color="auto"/>
                <w:bottom w:val="none" w:sz="0" w:space="0" w:color="auto"/>
                <w:right w:val="none" w:sz="0" w:space="0" w:color="auto"/>
              </w:divBdr>
              <w:divsChild>
                <w:div w:id="1771123705">
                  <w:marLeft w:val="0"/>
                  <w:marRight w:val="0"/>
                  <w:marTop w:val="0"/>
                  <w:marBottom w:val="0"/>
                  <w:divBdr>
                    <w:top w:val="none" w:sz="0" w:space="0" w:color="auto"/>
                    <w:left w:val="none" w:sz="0" w:space="0" w:color="auto"/>
                    <w:bottom w:val="none" w:sz="0" w:space="0" w:color="auto"/>
                    <w:right w:val="none" w:sz="0" w:space="0" w:color="auto"/>
                  </w:divBdr>
                </w:div>
              </w:divsChild>
            </w:div>
            <w:div w:id="1516576028">
              <w:marLeft w:val="0"/>
              <w:marRight w:val="0"/>
              <w:marTop w:val="0"/>
              <w:marBottom w:val="0"/>
              <w:divBdr>
                <w:top w:val="none" w:sz="0" w:space="0" w:color="auto"/>
                <w:left w:val="none" w:sz="0" w:space="0" w:color="auto"/>
                <w:bottom w:val="none" w:sz="0" w:space="0" w:color="auto"/>
                <w:right w:val="none" w:sz="0" w:space="0" w:color="auto"/>
              </w:divBdr>
              <w:divsChild>
                <w:div w:id="1417288364">
                  <w:marLeft w:val="0"/>
                  <w:marRight w:val="0"/>
                  <w:marTop w:val="0"/>
                  <w:marBottom w:val="0"/>
                  <w:divBdr>
                    <w:top w:val="none" w:sz="0" w:space="0" w:color="auto"/>
                    <w:left w:val="none" w:sz="0" w:space="0" w:color="auto"/>
                    <w:bottom w:val="none" w:sz="0" w:space="0" w:color="auto"/>
                    <w:right w:val="none" w:sz="0" w:space="0" w:color="auto"/>
                  </w:divBdr>
                </w:div>
              </w:divsChild>
            </w:div>
            <w:div w:id="1319841385">
              <w:marLeft w:val="0"/>
              <w:marRight w:val="0"/>
              <w:marTop w:val="0"/>
              <w:marBottom w:val="0"/>
              <w:divBdr>
                <w:top w:val="none" w:sz="0" w:space="0" w:color="auto"/>
                <w:left w:val="none" w:sz="0" w:space="0" w:color="auto"/>
                <w:bottom w:val="none" w:sz="0" w:space="0" w:color="auto"/>
                <w:right w:val="none" w:sz="0" w:space="0" w:color="auto"/>
              </w:divBdr>
              <w:divsChild>
                <w:div w:id="1590625596">
                  <w:marLeft w:val="0"/>
                  <w:marRight w:val="0"/>
                  <w:marTop w:val="0"/>
                  <w:marBottom w:val="0"/>
                  <w:divBdr>
                    <w:top w:val="none" w:sz="0" w:space="0" w:color="auto"/>
                    <w:left w:val="none" w:sz="0" w:space="0" w:color="auto"/>
                    <w:bottom w:val="none" w:sz="0" w:space="0" w:color="auto"/>
                    <w:right w:val="none" w:sz="0" w:space="0" w:color="auto"/>
                  </w:divBdr>
                </w:div>
              </w:divsChild>
            </w:div>
            <w:div w:id="1813401284">
              <w:marLeft w:val="0"/>
              <w:marRight w:val="0"/>
              <w:marTop w:val="0"/>
              <w:marBottom w:val="0"/>
              <w:divBdr>
                <w:top w:val="none" w:sz="0" w:space="0" w:color="auto"/>
                <w:left w:val="none" w:sz="0" w:space="0" w:color="auto"/>
                <w:bottom w:val="none" w:sz="0" w:space="0" w:color="auto"/>
                <w:right w:val="none" w:sz="0" w:space="0" w:color="auto"/>
              </w:divBdr>
              <w:divsChild>
                <w:div w:id="75174662">
                  <w:marLeft w:val="0"/>
                  <w:marRight w:val="0"/>
                  <w:marTop w:val="0"/>
                  <w:marBottom w:val="0"/>
                  <w:divBdr>
                    <w:top w:val="none" w:sz="0" w:space="0" w:color="auto"/>
                    <w:left w:val="none" w:sz="0" w:space="0" w:color="auto"/>
                    <w:bottom w:val="none" w:sz="0" w:space="0" w:color="auto"/>
                    <w:right w:val="none" w:sz="0" w:space="0" w:color="auto"/>
                  </w:divBdr>
                </w:div>
              </w:divsChild>
            </w:div>
            <w:div w:id="1356032006">
              <w:marLeft w:val="0"/>
              <w:marRight w:val="0"/>
              <w:marTop w:val="0"/>
              <w:marBottom w:val="0"/>
              <w:divBdr>
                <w:top w:val="none" w:sz="0" w:space="0" w:color="auto"/>
                <w:left w:val="none" w:sz="0" w:space="0" w:color="auto"/>
                <w:bottom w:val="none" w:sz="0" w:space="0" w:color="auto"/>
                <w:right w:val="none" w:sz="0" w:space="0" w:color="auto"/>
              </w:divBdr>
              <w:divsChild>
                <w:div w:id="1724988048">
                  <w:marLeft w:val="0"/>
                  <w:marRight w:val="0"/>
                  <w:marTop w:val="0"/>
                  <w:marBottom w:val="0"/>
                  <w:divBdr>
                    <w:top w:val="none" w:sz="0" w:space="0" w:color="auto"/>
                    <w:left w:val="none" w:sz="0" w:space="0" w:color="auto"/>
                    <w:bottom w:val="none" w:sz="0" w:space="0" w:color="auto"/>
                    <w:right w:val="none" w:sz="0" w:space="0" w:color="auto"/>
                  </w:divBdr>
                </w:div>
              </w:divsChild>
            </w:div>
            <w:div w:id="1390229360">
              <w:marLeft w:val="0"/>
              <w:marRight w:val="0"/>
              <w:marTop w:val="0"/>
              <w:marBottom w:val="0"/>
              <w:divBdr>
                <w:top w:val="none" w:sz="0" w:space="0" w:color="auto"/>
                <w:left w:val="none" w:sz="0" w:space="0" w:color="auto"/>
                <w:bottom w:val="none" w:sz="0" w:space="0" w:color="auto"/>
                <w:right w:val="none" w:sz="0" w:space="0" w:color="auto"/>
              </w:divBdr>
              <w:divsChild>
                <w:div w:id="1556308914">
                  <w:marLeft w:val="0"/>
                  <w:marRight w:val="0"/>
                  <w:marTop w:val="0"/>
                  <w:marBottom w:val="0"/>
                  <w:divBdr>
                    <w:top w:val="none" w:sz="0" w:space="0" w:color="auto"/>
                    <w:left w:val="none" w:sz="0" w:space="0" w:color="auto"/>
                    <w:bottom w:val="none" w:sz="0" w:space="0" w:color="auto"/>
                    <w:right w:val="none" w:sz="0" w:space="0" w:color="auto"/>
                  </w:divBdr>
                </w:div>
              </w:divsChild>
            </w:div>
            <w:div w:id="766080572">
              <w:marLeft w:val="0"/>
              <w:marRight w:val="0"/>
              <w:marTop w:val="0"/>
              <w:marBottom w:val="0"/>
              <w:divBdr>
                <w:top w:val="none" w:sz="0" w:space="0" w:color="auto"/>
                <w:left w:val="none" w:sz="0" w:space="0" w:color="auto"/>
                <w:bottom w:val="none" w:sz="0" w:space="0" w:color="auto"/>
                <w:right w:val="none" w:sz="0" w:space="0" w:color="auto"/>
              </w:divBdr>
              <w:divsChild>
                <w:div w:id="1483160061">
                  <w:marLeft w:val="0"/>
                  <w:marRight w:val="0"/>
                  <w:marTop w:val="0"/>
                  <w:marBottom w:val="0"/>
                  <w:divBdr>
                    <w:top w:val="none" w:sz="0" w:space="0" w:color="auto"/>
                    <w:left w:val="none" w:sz="0" w:space="0" w:color="auto"/>
                    <w:bottom w:val="none" w:sz="0" w:space="0" w:color="auto"/>
                    <w:right w:val="none" w:sz="0" w:space="0" w:color="auto"/>
                  </w:divBdr>
                </w:div>
              </w:divsChild>
            </w:div>
            <w:div w:id="1008748672">
              <w:marLeft w:val="0"/>
              <w:marRight w:val="0"/>
              <w:marTop w:val="0"/>
              <w:marBottom w:val="0"/>
              <w:divBdr>
                <w:top w:val="none" w:sz="0" w:space="0" w:color="auto"/>
                <w:left w:val="none" w:sz="0" w:space="0" w:color="auto"/>
                <w:bottom w:val="none" w:sz="0" w:space="0" w:color="auto"/>
                <w:right w:val="none" w:sz="0" w:space="0" w:color="auto"/>
              </w:divBdr>
              <w:divsChild>
                <w:div w:id="114832099">
                  <w:marLeft w:val="0"/>
                  <w:marRight w:val="0"/>
                  <w:marTop w:val="0"/>
                  <w:marBottom w:val="0"/>
                  <w:divBdr>
                    <w:top w:val="none" w:sz="0" w:space="0" w:color="auto"/>
                    <w:left w:val="none" w:sz="0" w:space="0" w:color="auto"/>
                    <w:bottom w:val="none" w:sz="0" w:space="0" w:color="auto"/>
                    <w:right w:val="none" w:sz="0" w:space="0" w:color="auto"/>
                  </w:divBdr>
                </w:div>
              </w:divsChild>
            </w:div>
            <w:div w:id="734621737">
              <w:marLeft w:val="0"/>
              <w:marRight w:val="0"/>
              <w:marTop w:val="0"/>
              <w:marBottom w:val="0"/>
              <w:divBdr>
                <w:top w:val="none" w:sz="0" w:space="0" w:color="auto"/>
                <w:left w:val="none" w:sz="0" w:space="0" w:color="auto"/>
                <w:bottom w:val="none" w:sz="0" w:space="0" w:color="auto"/>
                <w:right w:val="none" w:sz="0" w:space="0" w:color="auto"/>
              </w:divBdr>
              <w:divsChild>
                <w:div w:id="1884364716">
                  <w:marLeft w:val="0"/>
                  <w:marRight w:val="0"/>
                  <w:marTop w:val="0"/>
                  <w:marBottom w:val="0"/>
                  <w:divBdr>
                    <w:top w:val="none" w:sz="0" w:space="0" w:color="auto"/>
                    <w:left w:val="none" w:sz="0" w:space="0" w:color="auto"/>
                    <w:bottom w:val="none" w:sz="0" w:space="0" w:color="auto"/>
                    <w:right w:val="none" w:sz="0" w:space="0" w:color="auto"/>
                  </w:divBdr>
                </w:div>
              </w:divsChild>
            </w:div>
            <w:div w:id="1030881314">
              <w:marLeft w:val="0"/>
              <w:marRight w:val="0"/>
              <w:marTop w:val="0"/>
              <w:marBottom w:val="0"/>
              <w:divBdr>
                <w:top w:val="none" w:sz="0" w:space="0" w:color="auto"/>
                <w:left w:val="none" w:sz="0" w:space="0" w:color="auto"/>
                <w:bottom w:val="none" w:sz="0" w:space="0" w:color="auto"/>
                <w:right w:val="none" w:sz="0" w:space="0" w:color="auto"/>
              </w:divBdr>
              <w:divsChild>
                <w:div w:id="195960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12249">
          <w:marLeft w:val="0"/>
          <w:marRight w:val="0"/>
          <w:marTop w:val="0"/>
          <w:marBottom w:val="600"/>
          <w:divBdr>
            <w:top w:val="none" w:sz="0" w:space="0" w:color="auto"/>
            <w:left w:val="none" w:sz="0" w:space="0" w:color="auto"/>
            <w:bottom w:val="none" w:sz="0" w:space="0" w:color="auto"/>
            <w:right w:val="none" w:sz="0" w:space="0" w:color="auto"/>
          </w:divBdr>
        </w:div>
      </w:divsChild>
    </w:div>
    <w:div w:id="165901326">
      <w:marLeft w:val="0"/>
      <w:marRight w:val="0"/>
      <w:marTop w:val="0"/>
      <w:marBottom w:val="0"/>
      <w:divBdr>
        <w:top w:val="none" w:sz="0" w:space="0" w:color="auto"/>
        <w:left w:val="none" w:sz="0" w:space="0" w:color="auto"/>
        <w:bottom w:val="none" w:sz="0" w:space="0" w:color="auto"/>
        <w:right w:val="none" w:sz="0" w:space="0" w:color="auto"/>
      </w:divBdr>
      <w:divsChild>
        <w:div w:id="754470581">
          <w:marLeft w:val="0"/>
          <w:marRight w:val="0"/>
          <w:marTop w:val="600"/>
          <w:marBottom w:val="0"/>
          <w:divBdr>
            <w:top w:val="none" w:sz="0" w:space="0" w:color="auto"/>
            <w:left w:val="none" w:sz="0" w:space="0" w:color="auto"/>
            <w:bottom w:val="none" w:sz="0" w:space="0" w:color="auto"/>
            <w:right w:val="none" w:sz="0" w:space="0" w:color="auto"/>
          </w:divBdr>
        </w:div>
        <w:div w:id="60763052">
          <w:marLeft w:val="0"/>
          <w:marRight w:val="0"/>
          <w:marTop w:val="0"/>
          <w:marBottom w:val="0"/>
          <w:divBdr>
            <w:top w:val="none" w:sz="0" w:space="0" w:color="auto"/>
            <w:left w:val="none" w:sz="0" w:space="0" w:color="auto"/>
            <w:bottom w:val="none" w:sz="0" w:space="0" w:color="auto"/>
            <w:right w:val="none" w:sz="0" w:space="0" w:color="auto"/>
          </w:divBdr>
          <w:divsChild>
            <w:div w:id="308486603">
              <w:marLeft w:val="547"/>
              <w:marRight w:val="0"/>
              <w:marTop w:val="0"/>
              <w:marBottom w:val="0"/>
              <w:divBdr>
                <w:top w:val="none" w:sz="0" w:space="0" w:color="auto"/>
                <w:left w:val="none" w:sz="0" w:space="0" w:color="auto"/>
                <w:bottom w:val="none" w:sz="0" w:space="0" w:color="auto"/>
                <w:right w:val="none" w:sz="0" w:space="0" w:color="auto"/>
              </w:divBdr>
            </w:div>
            <w:div w:id="121729566">
              <w:marLeft w:val="547"/>
              <w:marRight w:val="0"/>
              <w:marTop w:val="0"/>
              <w:marBottom w:val="0"/>
              <w:divBdr>
                <w:top w:val="none" w:sz="0" w:space="0" w:color="auto"/>
                <w:left w:val="none" w:sz="0" w:space="0" w:color="auto"/>
                <w:bottom w:val="none" w:sz="0" w:space="0" w:color="auto"/>
                <w:right w:val="none" w:sz="0" w:space="0" w:color="auto"/>
              </w:divBdr>
            </w:div>
            <w:div w:id="360202723">
              <w:marLeft w:val="547"/>
              <w:marRight w:val="0"/>
              <w:marTop w:val="0"/>
              <w:marBottom w:val="0"/>
              <w:divBdr>
                <w:top w:val="none" w:sz="0" w:space="0" w:color="auto"/>
                <w:left w:val="none" w:sz="0" w:space="0" w:color="auto"/>
                <w:bottom w:val="none" w:sz="0" w:space="0" w:color="auto"/>
                <w:right w:val="none" w:sz="0" w:space="0" w:color="auto"/>
              </w:divBdr>
            </w:div>
            <w:div w:id="895162136">
              <w:marLeft w:val="547"/>
              <w:marRight w:val="0"/>
              <w:marTop w:val="0"/>
              <w:marBottom w:val="0"/>
              <w:divBdr>
                <w:top w:val="none" w:sz="0" w:space="0" w:color="auto"/>
                <w:left w:val="none" w:sz="0" w:space="0" w:color="auto"/>
                <w:bottom w:val="none" w:sz="0" w:space="0" w:color="auto"/>
                <w:right w:val="none" w:sz="0" w:space="0" w:color="auto"/>
              </w:divBdr>
            </w:div>
            <w:div w:id="349572287">
              <w:marLeft w:val="547"/>
              <w:marRight w:val="0"/>
              <w:marTop w:val="0"/>
              <w:marBottom w:val="0"/>
              <w:divBdr>
                <w:top w:val="none" w:sz="0" w:space="0" w:color="auto"/>
                <w:left w:val="none" w:sz="0" w:space="0" w:color="auto"/>
                <w:bottom w:val="none" w:sz="0" w:space="0" w:color="auto"/>
                <w:right w:val="none" w:sz="0" w:space="0" w:color="auto"/>
              </w:divBdr>
            </w:div>
          </w:divsChild>
        </w:div>
        <w:div w:id="1772823815">
          <w:marLeft w:val="0"/>
          <w:marRight w:val="0"/>
          <w:marTop w:val="0"/>
          <w:marBottom w:val="600"/>
          <w:divBdr>
            <w:top w:val="none" w:sz="0" w:space="0" w:color="auto"/>
            <w:left w:val="none" w:sz="0" w:space="0" w:color="auto"/>
            <w:bottom w:val="none" w:sz="0" w:space="0" w:color="auto"/>
            <w:right w:val="none" w:sz="0" w:space="0" w:color="auto"/>
          </w:divBdr>
        </w:div>
      </w:divsChild>
    </w:div>
    <w:div w:id="204679280">
      <w:marLeft w:val="0"/>
      <w:marRight w:val="0"/>
      <w:marTop w:val="0"/>
      <w:marBottom w:val="0"/>
      <w:divBdr>
        <w:top w:val="none" w:sz="0" w:space="0" w:color="auto"/>
        <w:left w:val="none" w:sz="0" w:space="0" w:color="auto"/>
        <w:bottom w:val="none" w:sz="0" w:space="0" w:color="auto"/>
        <w:right w:val="none" w:sz="0" w:space="0" w:color="auto"/>
      </w:divBdr>
      <w:divsChild>
        <w:div w:id="329404238">
          <w:marLeft w:val="0"/>
          <w:marRight w:val="0"/>
          <w:marTop w:val="600"/>
          <w:marBottom w:val="0"/>
          <w:divBdr>
            <w:top w:val="none" w:sz="0" w:space="0" w:color="auto"/>
            <w:left w:val="none" w:sz="0" w:space="0" w:color="auto"/>
            <w:bottom w:val="none" w:sz="0" w:space="0" w:color="auto"/>
            <w:right w:val="none" w:sz="0" w:space="0" w:color="auto"/>
          </w:divBdr>
        </w:div>
        <w:div w:id="332414450">
          <w:marLeft w:val="0"/>
          <w:marRight w:val="0"/>
          <w:marTop w:val="0"/>
          <w:marBottom w:val="0"/>
          <w:divBdr>
            <w:top w:val="none" w:sz="0" w:space="0" w:color="auto"/>
            <w:left w:val="none" w:sz="0" w:space="0" w:color="auto"/>
            <w:bottom w:val="none" w:sz="0" w:space="0" w:color="auto"/>
            <w:right w:val="none" w:sz="0" w:space="0" w:color="auto"/>
          </w:divBdr>
          <w:divsChild>
            <w:div w:id="1785005076">
              <w:marLeft w:val="0"/>
              <w:marRight w:val="0"/>
              <w:marTop w:val="0"/>
              <w:marBottom w:val="0"/>
              <w:divBdr>
                <w:top w:val="none" w:sz="0" w:space="0" w:color="auto"/>
                <w:left w:val="none" w:sz="0" w:space="0" w:color="auto"/>
                <w:bottom w:val="none" w:sz="0" w:space="0" w:color="auto"/>
                <w:right w:val="none" w:sz="0" w:space="0" w:color="auto"/>
              </w:divBdr>
              <w:divsChild>
                <w:div w:id="1896310464">
                  <w:marLeft w:val="0"/>
                  <w:marRight w:val="0"/>
                  <w:marTop w:val="0"/>
                  <w:marBottom w:val="0"/>
                  <w:divBdr>
                    <w:top w:val="none" w:sz="0" w:space="0" w:color="auto"/>
                    <w:left w:val="none" w:sz="0" w:space="0" w:color="auto"/>
                    <w:bottom w:val="none" w:sz="0" w:space="0" w:color="auto"/>
                    <w:right w:val="none" w:sz="0" w:space="0" w:color="auto"/>
                  </w:divBdr>
                </w:div>
              </w:divsChild>
            </w:div>
            <w:div w:id="989407177">
              <w:marLeft w:val="0"/>
              <w:marRight w:val="0"/>
              <w:marTop w:val="0"/>
              <w:marBottom w:val="0"/>
              <w:divBdr>
                <w:top w:val="none" w:sz="0" w:space="0" w:color="auto"/>
                <w:left w:val="none" w:sz="0" w:space="0" w:color="auto"/>
                <w:bottom w:val="none" w:sz="0" w:space="0" w:color="auto"/>
                <w:right w:val="none" w:sz="0" w:space="0" w:color="auto"/>
              </w:divBdr>
              <w:divsChild>
                <w:div w:id="54280225">
                  <w:marLeft w:val="0"/>
                  <w:marRight w:val="0"/>
                  <w:marTop w:val="0"/>
                  <w:marBottom w:val="0"/>
                  <w:divBdr>
                    <w:top w:val="none" w:sz="0" w:space="0" w:color="auto"/>
                    <w:left w:val="none" w:sz="0" w:space="0" w:color="auto"/>
                    <w:bottom w:val="none" w:sz="0" w:space="0" w:color="auto"/>
                    <w:right w:val="none" w:sz="0" w:space="0" w:color="auto"/>
                  </w:divBdr>
                </w:div>
              </w:divsChild>
            </w:div>
            <w:div w:id="1632397422">
              <w:marLeft w:val="0"/>
              <w:marRight w:val="0"/>
              <w:marTop w:val="0"/>
              <w:marBottom w:val="0"/>
              <w:divBdr>
                <w:top w:val="none" w:sz="0" w:space="0" w:color="auto"/>
                <w:left w:val="none" w:sz="0" w:space="0" w:color="auto"/>
                <w:bottom w:val="none" w:sz="0" w:space="0" w:color="auto"/>
                <w:right w:val="none" w:sz="0" w:space="0" w:color="auto"/>
              </w:divBdr>
              <w:divsChild>
                <w:div w:id="1875119581">
                  <w:marLeft w:val="0"/>
                  <w:marRight w:val="0"/>
                  <w:marTop w:val="0"/>
                  <w:marBottom w:val="0"/>
                  <w:divBdr>
                    <w:top w:val="none" w:sz="0" w:space="0" w:color="auto"/>
                    <w:left w:val="none" w:sz="0" w:space="0" w:color="auto"/>
                    <w:bottom w:val="none" w:sz="0" w:space="0" w:color="auto"/>
                    <w:right w:val="none" w:sz="0" w:space="0" w:color="auto"/>
                  </w:divBdr>
                </w:div>
              </w:divsChild>
            </w:div>
            <w:div w:id="603808088">
              <w:marLeft w:val="0"/>
              <w:marRight w:val="0"/>
              <w:marTop w:val="0"/>
              <w:marBottom w:val="0"/>
              <w:divBdr>
                <w:top w:val="none" w:sz="0" w:space="0" w:color="auto"/>
                <w:left w:val="none" w:sz="0" w:space="0" w:color="auto"/>
                <w:bottom w:val="none" w:sz="0" w:space="0" w:color="auto"/>
                <w:right w:val="none" w:sz="0" w:space="0" w:color="auto"/>
              </w:divBdr>
              <w:divsChild>
                <w:div w:id="2005937543">
                  <w:marLeft w:val="0"/>
                  <w:marRight w:val="0"/>
                  <w:marTop w:val="0"/>
                  <w:marBottom w:val="0"/>
                  <w:divBdr>
                    <w:top w:val="none" w:sz="0" w:space="0" w:color="auto"/>
                    <w:left w:val="none" w:sz="0" w:space="0" w:color="auto"/>
                    <w:bottom w:val="none" w:sz="0" w:space="0" w:color="auto"/>
                    <w:right w:val="none" w:sz="0" w:space="0" w:color="auto"/>
                  </w:divBdr>
                </w:div>
              </w:divsChild>
            </w:div>
            <w:div w:id="622419388">
              <w:marLeft w:val="0"/>
              <w:marRight w:val="0"/>
              <w:marTop w:val="0"/>
              <w:marBottom w:val="0"/>
              <w:divBdr>
                <w:top w:val="none" w:sz="0" w:space="0" w:color="auto"/>
                <w:left w:val="none" w:sz="0" w:space="0" w:color="auto"/>
                <w:bottom w:val="none" w:sz="0" w:space="0" w:color="auto"/>
                <w:right w:val="none" w:sz="0" w:space="0" w:color="auto"/>
              </w:divBdr>
              <w:divsChild>
                <w:div w:id="414933266">
                  <w:marLeft w:val="0"/>
                  <w:marRight w:val="0"/>
                  <w:marTop w:val="0"/>
                  <w:marBottom w:val="0"/>
                  <w:divBdr>
                    <w:top w:val="none" w:sz="0" w:space="0" w:color="auto"/>
                    <w:left w:val="none" w:sz="0" w:space="0" w:color="auto"/>
                    <w:bottom w:val="none" w:sz="0" w:space="0" w:color="auto"/>
                    <w:right w:val="none" w:sz="0" w:space="0" w:color="auto"/>
                  </w:divBdr>
                </w:div>
              </w:divsChild>
            </w:div>
            <w:div w:id="922030743">
              <w:marLeft w:val="0"/>
              <w:marRight w:val="0"/>
              <w:marTop w:val="0"/>
              <w:marBottom w:val="0"/>
              <w:divBdr>
                <w:top w:val="none" w:sz="0" w:space="0" w:color="auto"/>
                <w:left w:val="none" w:sz="0" w:space="0" w:color="auto"/>
                <w:bottom w:val="none" w:sz="0" w:space="0" w:color="auto"/>
                <w:right w:val="none" w:sz="0" w:space="0" w:color="auto"/>
              </w:divBdr>
              <w:divsChild>
                <w:div w:id="384763575">
                  <w:marLeft w:val="0"/>
                  <w:marRight w:val="0"/>
                  <w:marTop w:val="0"/>
                  <w:marBottom w:val="0"/>
                  <w:divBdr>
                    <w:top w:val="none" w:sz="0" w:space="0" w:color="auto"/>
                    <w:left w:val="none" w:sz="0" w:space="0" w:color="auto"/>
                    <w:bottom w:val="none" w:sz="0" w:space="0" w:color="auto"/>
                    <w:right w:val="none" w:sz="0" w:space="0" w:color="auto"/>
                  </w:divBdr>
                </w:div>
              </w:divsChild>
            </w:div>
            <w:div w:id="632714112">
              <w:marLeft w:val="0"/>
              <w:marRight w:val="0"/>
              <w:marTop w:val="0"/>
              <w:marBottom w:val="0"/>
              <w:divBdr>
                <w:top w:val="none" w:sz="0" w:space="0" w:color="auto"/>
                <w:left w:val="none" w:sz="0" w:space="0" w:color="auto"/>
                <w:bottom w:val="none" w:sz="0" w:space="0" w:color="auto"/>
                <w:right w:val="none" w:sz="0" w:space="0" w:color="auto"/>
              </w:divBdr>
              <w:divsChild>
                <w:div w:id="896626610">
                  <w:marLeft w:val="0"/>
                  <w:marRight w:val="0"/>
                  <w:marTop w:val="0"/>
                  <w:marBottom w:val="0"/>
                  <w:divBdr>
                    <w:top w:val="none" w:sz="0" w:space="0" w:color="auto"/>
                    <w:left w:val="none" w:sz="0" w:space="0" w:color="auto"/>
                    <w:bottom w:val="none" w:sz="0" w:space="0" w:color="auto"/>
                    <w:right w:val="none" w:sz="0" w:space="0" w:color="auto"/>
                  </w:divBdr>
                </w:div>
              </w:divsChild>
            </w:div>
            <w:div w:id="735474531">
              <w:marLeft w:val="0"/>
              <w:marRight w:val="0"/>
              <w:marTop w:val="0"/>
              <w:marBottom w:val="0"/>
              <w:divBdr>
                <w:top w:val="none" w:sz="0" w:space="0" w:color="auto"/>
                <w:left w:val="none" w:sz="0" w:space="0" w:color="auto"/>
                <w:bottom w:val="none" w:sz="0" w:space="0" w:color="auto"/>
                <w:right w:val="none" w:sz="0" w:space="0" w:color="auto"/>
              </w:divBdr>
              <w:divsChild>
                <w:div w:id="558707443">
                  <w:marLeft w:val="0"/>
                  <w:marRight w:val="0"/>
                  <w:marTop w:val="0"/>
                  <w:marBottom w:val="0"/>
                  <w:divBdr>
                    <w:top w:val="none" w:sz="0" w:space="0" w:color="auto"/>
                    <w:left w:val="none" w:sz="0" w:space="0" w:color="auto"/>
                    <w:bottom w:val="none" w:sz="0" w:space="0" w:color="auto"/>
                    <w:right w:val="none" w:sz="0" w:space="0" w:color="auto"/>
                  </w:divBdr>
                </w:div>
              </w:divsChild>
            </w:div>
            <w:div w:id="20591401">
              <w:marLeft w:val="0"/>
              <w:marRight w:val="0"/>
              <w:marTop w:val="0"/>
              <w:marBottom w:val="0"/>
              <w:divBdr>
                <w:top w:val="none" w:sz="0" w:space="0" w:color="auto"/>
                <w:left w:val="none" w:sz="0" w:space="0" w:color="auto"/>
                <w:bottom w:val="none" w:sz="0" w:space="0" w:color="auto"/>
                <w:right w:val="none" w:sz="0" w:space="0" w:color="auto"/>
              </w:divBdr>
              <w:divsChild>
                <w:div w:id="1259170853">
                  <w:marLeft w:val="0"/>
                  <w:marRight w:val="0"/>
                  <w:marTop w:val="0"/>
                  <w:marBottom w:val="0"/>
                  <w:divBdr>
                    <w:top w:val="none" w:sz="0" w:space="0" w:color="auto"/>
                    <w:left w:val="none" w:sz="0" w:space="0" w:color="auto"/>
                    <w:bottom w:val="none" w:sz="0" w:space="0" w:color="auto"/>
                    <w:right w:val="none" w:sz="0" w:space="0" w:color="auto"/>
                  </w:divBdr>
                </w:div>
              </w:divsChild>
            </w:div>
            <w:div w:id="1330325969">
              <w:marLeft w:val="0"/>
              <w:marRight w:val="0"/>
              <w:marTop w:val="0"/>
              <w:marBottom w:val="0"/>
              <w:divBdr>
                <w:top w:val="none" w:sz="0" w:space="0" w:color="auto"/>
                <w:left w:val="none" w:sz="0" w:space="0" w:color="auto"/>
                <w:bottom w:val="none" w:sz="0" w:space="0" w:color="auto"/>
                <w:right w:val="none" w:sz="0" w:space="0" w:color="auto"/>
              </w:divBdr>
              <w:divsChild>
                <w:div w:id="1290362018">
                  <w:marLeft w:val="0"/>
                  <w:marRight w:val="0"/>
                  <w:marTop w:val="0"/>
                  <w:marBottom w:val="0"/>
                  <w:divBdr>
                    <w:top w:val="none" w:sz="0" w:space="0" w:color="auto"/>
                    <w:left w:val="none" w:sz="0" w:space="0" w:color="auto"/>
                    <w:bottom w:val="none" w:sz="0" w:space="0" w:color="auto"/>
                    <w:right w:val="none" w:sz="0" w:space="0" w:color="auto"/>
                  </w:divBdr>
                </w:div>
              </w:divsChild>
            </w:div>
            <w:div w:id="1512793471">
              <w:marLeft w:val="0"/>
              <w:marRight w:val="0"/>
              <w:marTop w:val="0"/>
              <w:marBottom w:val="0"/>
              <w:divBdr>
                <w:top w:val="none" w:sz="0" w:space="0" w:color="auto"/>
                <w:left w:val="none" w:sz="0" w:space="0" w:color="auto"/>
                <w:bottom w:val="none" w:sz="0" w:space="0" w:color="auto"/>
                <w:right w:val="none" w:sz="0" w:space="0" w:color="auto"/>
              </w:divBdr>
              <w:divsChild>
                <w:div w:id="1156800407">
                  <w:marLeft w:val="0"/>
                  <w:marRight w:val="0"/>
                  <w:marTop w:val="0"/>
                  <w:marBottom w:val="0"/>
                  <w:divBdr>
                    <w:top w:val="none" w:sz="0" w:space="0" w:color="auto"/>
                    <w:left w:val="none" w:sz="0" w:space="0" w:color="auto"/>
                    <w:bottom w:val="none" w:sz="0" w:space="0" w:color="auto"/>
                    <w:right w:val="none" w:sz="0" w:space="0" w:color="auto"/>
                  </w:divBdr>
                </w:div>
              </w:divsChild>
            </w:div>
            <w:div w:id="1142694266">
              <w:marLeft w:val="0"/>
              <w:marRight w:val="0"/>
              <w:marTop w:val="0"/>
              <w:marBottom w:val="0"/>
              <w:divBdr>
                <w:top w:val="none" w:sz="0" w:space="0" w:color="auto"/>
                <w:left w:val="none" w:sz="0" w:space="0" w:color="auto"/>
                <w:bottom w:val="none" w:sz="0" w:space="0" w:color="auto"/>
                <w:right w:val="none" w:sz="0" w:space="0" w:color="auto"/>
              </w:divBdr>
              <w:divsChild>
                <w:div w:id="1746879414">
                  <w:marLeft w:val="0"/>
                  <w:marRight w:val="0"/>
                  <w:marTop w:val="0"/>
                  <w:marBottom w:val="0"/>
                  <w:divBdr>
                    <w:top w:val="none" w:sz="0" w:space="0" w:color="auto"/>
                    <w:left w:val="none" w:sz="0" w:space="0" w:color="auto"/>
                    <w:bottom w:val="none" w:sz="0" w:space="0" w:color="auto"/>
                    <w:right w:val="none" w:sz="0" w:space="0" w:color="auto"/>
                  </w:divBdr>
                </w:div>
              </w:divsChild>
            </w:div>
            <w:div w:id="531385666">
              <w:marLeft w:val="0"/>
              <w:marRight w:val="0"/>
              <w:marTop w:val="0"/>
              <w:marBottom w:val="0"/>
              <w:divBdr>
                <w:top w:val="none" w:sz="0" w:space="0" w:color="auto"/>
                <w:left w:val="none" w:sz="0" w:space="0" w:color="auto"/>
                <w:bottom w:val="none" w:sz="0" w:space="0" w:color="auto"/>
                <w:right w:val="none" w:sz="0" w:space="0" w:color="auto"/>
              </w:divBdr>
              <w:divsChild>
                <w:div w:id="1403799418">
                  <w:marLeft w:val="0"/>
                  <w:marRight w:val="0"/>
                  <w:marTop w:val="0"/>
                  <w:marBottom w:val="0"/>
                  <w:divBdr>
                    <w:top w:val="none" w:sz="0" w:space="0" w:color="auto"/>
                    <w:left w:val="none" w:sz="0" w:space="0" w:color="auto"/>
                    <w:bottom w:val="none" w:sz="0" w:space="0" w:color="auto"/>
                    <w:right w:val="none" w:sz="0" w:space="0" w:color="auto"/>
                  </w:divBdr>
                </w:div>
              </w:divsChild>
            </w:div>
            <w:div w:id="84303533">
              <w:marLeft w:val="0"/>
              <w:marRight w:val="0"/>
              <w:marTop w:val="0"/>
              <w:marBottom w:val="0"/>
              <w:divBdr>
                <w:top w:val="none" w:sz="0" w:space="0" w:color="auto"/>
                <w:left w:val="none" w:sz="0" w:space="0" w:color="auto"/>
                <w:bottom w:val="none" w:sz="0" w:space="0" w:color="auto"/>
                <w:right w:val="none" w:sz="0" w:space="0" w:color="auto"/>
              </w:divBdr>
              <w:divsChild>
                <w:div w:id="206263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8192">
          <w:marLeft w:val="0"/>
          <w:marRight w:val="0"/>
          <w:marTop w:val="0"/>
          <w:marBottom w:val="600"/>
          <w:divBdr>
            <w:top w:val="none" w:sz="0" w:space="0" w:color="auto"/>
            <w:left w:val="none" w:sz="0" w:space="0" w:color="auto"/>
            <w:bottom w:val="none" w:sz="0" w:space="0" w:color="auto"/>
            <w:right w:val="none" w:sz="0" w:space="0" w:color="auto"/>
          </w:divBdr>
        </w:div>
      </w:divsChild>
    </w:div>
    <w:div w:id="245461867">
      <w:marLeft w:val="0"/>
      <w:marRight w:val="0"/>
      <w:marTop w:val="0"/>
      <w:marBottom w:val="0"/>
      <w:divBdr>
        <w:top w:val="none" w:sz="0" w:space="0" w:color="auto"/>
        <w:left w:val="none" w:sz="0" w:space="0" w:color="auto"/>
        <w:bottom w:val="none" w:sz="0" w:space="0" w:color="auto"/>
        <w:right w:val="none" w:sz="0" w:space="0" w:color="auto"/>
      </w:divBdr>
      <w:divsChild>
        <w:div w:id="1738361743">
          <w:marLeft w:val="0"/>
          <w:marRight w:val="0"/>
          <w:marTop w:val="600"/>
          <w:marBottom w:val="0"/>
          <w:divBdr>
            <w:top w:val="none" w:sz="0" w:space="0" w:color="auto"/>
            <w:left w:val="none" w:sz="0" w:space="0" w:color="auto"/>
            <w:bottom w:val="none" w:sz="0" w:space="0" w:color="auto"/>
            <w:right w:val="none" w:sz="0" w:space="0" w:color="auto"/>
          </w:divBdr>
        </w:div>
        <w:div w:id="1439452522">
          <w:marLeft w:val="0"/>
          <w:marRight w:val="0"/>
          <w:marTop w:val="0"/>
          <w:marBottom w:val="0"/>
          <w:divBdr>
            <w:top w:val="none" w:sz="0" w:space="0" w:color="auto"/>
            <w:left w:val="none" w:sz="0" w:space="0" w:color="auto"/>
            <w:bottom w:val="none" w:sz="0" w:space="0" w:color="auto"/>
            <w:right w:val="none" w:sz="0" w:space="0" w:color="auto"/>
          </w:divBdr>
        </w:div>
        <w:div w:id="1780876225">
          <w:marLeft w:val="0"/>
          <w:marRight w:val="0"/>
          <w:marTop w:val="0"/>
          <w:marBottom w:val="600"/>
          <w:divBdr>
            <w:top w:val="none" w:sz="0" w:space="0" w:color="auto"/>
            <w:left w:val="none" w:sz="0" w:space="0" w:color="auto"/>
            <w:bottom w:val="none" w:sz="0" w:space="0" w:color="auto"/>
            <w:right w:val="none" w:sz="0" w:space="0" w:color="auto"/>
          </w:divBdr>
        </w:div>
      </w:divsChild>
    </w:div>
    <w:div w:id="259458636">
      <w:marLeft w:val="0"/>
      <w:marRight w:val="0"/>
      <w:marTop w:val="0"/>
      <w:marBottom w:val="0"/>
      <w:divBdr>
        <w:top w:val="none" w:sz="0" w:space="0" w:color="auto"/>
        <w:left w:val="none" w:sz="0" w:space="0" w:color="auto"/>
        <w:bottom w:val="none" w:sz="0" w:space="0" w:color="auto"/>
        <w:right w:val="none" w:sz="0" w:space="0" w:color="auto"/>
      </w:divBdr>
      <w:divsChild>
        <w:div w:id="546340149">
          <w:marLeft w:val="0"/>
          <w:marRight w:val="0"/>
          <w:marTop w:val="600"/>
          <w:marBottom w:val="0"/>
          <w:divBdr>
            <w:top w:val="none" w:sz="0" w:space="0" w:color="auto"/>
            <w:left w:val="none" w:sz="0" w:space="0" w:color="auto"/>
            <w:bottom w:val="none" w:sz="0" w:space="0" w:color="auto"/>
            <w:right w:val="none" w:sz="0" w:space="0" w:color="auto"/>
          </w:divBdr>
        </w:div>
        <w:div w:id="1151167840">
          <w:marLeft w:val="0"/>
          <w:marRight w:val="0"/>
          <w:marTop w:val="0"/>
          <w:marBottom w:val="0"/>
          <w:divBdr>
            <w:top w:val="none" w:sz="0" w:space="0" w:color="auto"/>
            <w:left w:val="none" w:sz="0" w:space="0" w:color="auto"/>
            <w:bottom w:val="none" w:sz="0" w:space="0" w:color="auto"/>
            <w:right w:val="none" w:sz="0" w:space="0" w:color="auto"/>
          </w:divBdr>
          <w:divsChild>
            <w:div w:id="977345633">
              <w:marLeft w:val="0"/>
              <w:marRight w:val="0"/>
              <w:marTop w:val="0"/>
              <w:marBottom w:val="0"/>
              <w:divBdr>
                <w:top w:val="none" w:sz="0" w:space="0" w:color="auto"/>
                <w:left w:val="none" w:sz="0" w:space="0" w:color="auto"/>
                <w:bottom w:val="none" w:sz="0" w:space="0" w:color="auto"/>
                <w:right w:val="none" w:sz="0" w:space="0" w:color="auto"/>
              </w:divBdr>
              <w:divsChild>
                <w:div w:id="1092778911">
                  <w:marLeft w:val="0"/>
                  <w:marRight w:val="0"/>
                  <w:marTop w:val="0"/>
                  <w:marBottom w:val="0"/>
                  <w:divBdr>
                    <w:top w:val="none" w:sz="0" w:space="0" w:color="auto"/>
                    <w:left w:val="none" w:sz="0" w:space="0" w:color="auto"/>
                    <w:bottom w:val="none" w:sz="0" w:space="0" w:color="auto"/>
                    <w:right w:val="none" w:sz="0" w:space="0" w:color="auto"/>
                  </w:divBdr>
                </w:div>
              </w:divsChild>
            </w:div>
            <w:div w:id="674309822">
              <w:marLeft w:val="0"/>
              <w:marRight w:val="0"/>
              <w:marTop w:val="0"/>
              <w:marBottom w:val="0"/>
              <w:divBdr>
                <w:top w:val="none" w:sz="0" w:space="0" w:color="auto"/>
                <w:left w:val="none" w:sz="0" w:space="0" w:color="auto"/>
                <w:bottom w:val="none" w:sz="0" w:space="0" w:color="auto"/>
                <w:right w:val="none" w:sz="0" w:space="0" w:color="auto"/>
              </w:divBdr>
              <w:divsChild>
                <w:div w:id="1285576931">
                  <w:marLeft w:val="0"/>
                  <w:marRight w:val="0"/>
                  <w:marTop w:val="0"/>
                  <w:marBottom w:val="0"/>
                  <w:divBdr>
                    <w:top w:val="none" w:sz="0" w:space="0" w:color="auto"/>
                    <w:left w:val="none" w:sz="0" w:space="0" w:color="auto"/>
                    <w:bottom w:val="none" w:sz="0" w:space="0" w:color="auto"/>
                    <w:right w:val="none" w:sz="0" w:space="0" w:color="auto"/>
                  </w:divBdr>
                </w:div>
              </w:divsChild>
            </w:div>
            <w:div w:id="1013651921">
              <w:marLeft w:val="0"/>
              <w:marRight w:val="0"/>
              <w:marTop w:val="0"/>
              <w:marBottom w:val="0"/>
              <w:divBdr>
                <w:top w:val="none" w:sz="0" w:space="0" w:color="auto"/>
                <w:left w:val="none" w:sz="0" w:space="0" w:color="auto"/>
                <w:bottom w:val="none" w:sz="0" w:space="0" w:color="auto"/>
                <w:right w:val="none" w:sz="0" w:space="0" w:color="auto"/>
              </w:divBdr>
              <w:divsChild>
                <w:div w:id="1477529680">
                  <w:marLeft w:val="0"/>
                  <w:marRight w:val="0"/>
                  <w:marTop w:val="0"/>
                  <w:marBottom w:val="0"/>
                  <w:divBdr>
                    <w:top w:val="none" w:sz="0" w:space="0" w:color="auto"/>
                    <w:left w:val="none" w:sz="0" w:space="0" w:color="auto"/>
                    <w:bottom w:val="none" w:sz="0" w:space="0" w:color="auto"/>
                    <w:right w:val="none" w:sz="0" w:space="0" w:color="auto"/>
                  </w:divBdr>
                </w:div>
              </w:divsChild>
            </w:div>
            <w:div w:id="854613543">
              <w:marLeft w:val="0"/>
              <w:marRight w:val="0"/>
              <w:marTop w:val="0"/>
              <w:marBottom w:val="0"/>
              <w:divBdr>
                <w:top w:val="none" w:sz="0" w:space="0" w:color="auto"/>
                <w:left w:val="none" w:sz="0" w:space="0" w:color="auto"/>
                <w:bottom w:val="none" w:sz="0" w:space="0" w:color="auto"/>
                <w:right w:val="none" w:sz="0" w:space="0" w:color="auto"/>
              </w:divBdr>
              <w:divsChild>
                <w:div w:id="2102947425">
                  <w:marLeft w:val="0"/>
                  <w:marRight w:val="0"/>
                  <w:marTop w:val="0"/>
                  <w:marBottom w:val="0"/>
                  <w:divBdr>
                    <w:top w:val="none" w:sz="0" w:space="0" w:color="auto"/>
                    <w:left w:val="none" w:sz="0" w:space="0" w:color="auto"/>
                    <w:bottom w:val="none" w:sz="0" w:space="0" w:color="auto"/>
                    <w:right w:val="none" w:sz="0" w:space="0" w:color="auto"/>
                  </w:divBdr>
                </w:div>
              </w:divsChild>
            </w:div>
            <w:div w:id="371736264">
              <w:marLeft w:val="0"/>
              <w:marRight w:val="0"/>
              <w:marTop w:val="0"/>
              <w:marBottom w:val="0"/>
              <w:divBdr>
                <w:top w:val="none" w:sz="0" w:space="0" w:color="auto"/>
                <w:left w:val="none" w:sz="0" w:space="0" w:color="auto"/>
                <w:bottom w:val="none" w:sz="0" w:space="0" w:color="auto"/>
                <w:right w:val="none" w:sz="0" w:space="0" w:color="auto"/>
              </w:divBdr>
              <w:divsChild>
                <w:div w:id="620574060">
                  <w:marLeft w:val="0"/>
                  <w:marRight w:val="0"/>
                  <w:marTop w:val="0"/>
                  <w:marBottom w:val="0"/>
                  <w:divBdr>
                    <w:top w:val="none" w:sz="0" w:space="0" w:color="auto"/>
                    <w:left w:val="none" w:sz="0" w:space="0" w:color="auto"/>
                    <w:bottom w:val="none" w:sz="0" w:space="0" w:color="auto"/>
                    <w:right w:val="none" w:sz="0" w:space="0" w:color="auto"/>
                  </w:divBdr>
                </w:div>
              </w:divsChild>
            </w:div>
            <w:div w:id="209923764">
              <w:marLeft w:val="0"/>
              <w:marRight w:val="0"/>
              <w:marTop w:val="0"/>
              <w:marBottom w:val="0"/>
              <w:divBdr>
                <w:top w:val="none" w:sz="0" w:space="0" w:color="auto"/>
                <w:left w:val="none" w:sz="0" w:space="0" w:color="auto"/>
                <w:bottom w:val="none" w:sz="0" w:space="0" w:color="auto"/>
                <w:right w:val="none" w:sz="0" w:space="0" w:color="auto"/>
              </w:divBdr>
              <w:divsChild>
                <w:div w:id="128399538">
                  <w:marLeft w:val="0"/>
                  <w:marRight w:val="0"/>
                  <w:marTop w:val="0"/>
                  <w:marBottom w:val="0"/>
                  <w:divBdr>
                    <w:top w:val="none" w:sz="0" w:space="0" w:color="auto"/>
                    <w:left w:val="none" w:sz="0" w:space="0" w:color="auto"/>
                    <w:bottom w:val="none" w:sz="0" w:space="0" w:color="auto"/>
                    <w:right w:val="none" w:sz="0" w:space="0" w:color="auto"/>
                  </w:divBdr>
                </w:div>
              </w:divsChild>
            </w:div>
            <w:div w:id="208347837">
              <w:marLeft w:val="0"/>
              <w:marRight w:val="0"/>
              <w:marTop w:val="0"/>
              <w:marBottom w:val="0"/>
              <w:divBdr>
                <w:top w:val="none" w:sz="0" w:space="0" w:color="auto"/>
                <w:left w:val="none" w:sz="0" w:space="0" w:color="auto"/>
                <w:bottom w:val="none" w:sz="0" w:space="0" w:color="auto"/>
                <w:right w:val="none" w:sz="0" w:space="0" w:color="auto"/>
              </w:divBdr>
              <w:divsChild>
                <w:div w:id="140214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1208">
          <w:marLeft w:val="0"/>
          <w:marRight w:val="0"/>
          <w:marTop w:val="0"/>
          <w:marBottom w:val="600"/>
          <w:divBdr>
            <w:top w:val="none" w:sz="0" w:space="0" w:color="auto"/>
            <w:left w:val="none" w:sz="0" w:space="0" w:color="auto"/>
            <w:bottom w:val="none" w:sz="0" w:space="0" w:color="auto"/>
            <w:right w:val="none" w:sz="0" w:space="0" w:color="auto"/>
          </w:divBdr>
        </w:div>
      </w:divsChild>
    </w:div>
    <w:div w:id="266936089">
      <w:marLeft w:val="0"/>
      <w:marRight w:val="0"/>
      <w:marTop w:val="0"/>
      <w:marBottom w:val="0"/>
      <w:divBdr>
        <w:top w:val="none" w:sz="0" w:space="0" w:color="auto"/>
        <w:left w:val="none" w:sz="0" w:space="0" w:color="auto"/>
        <w:bottom w:val="none" w:sz="0" w:space="0" w:color="auto"/>
        <w:right w:val="none" w:sz="0" w:space="0" w:color="auto"/>
      </w:divBdr>
      <w:divsChild>
        <w:div w:id="1070813193">
          <w:marLeft w:val="0"/>
          <w:marRight w:val="0"/>
          <w:marTop w:val="600"/>
          <w:marBottom w:val="0"/>
          <w:divBdr>
            <w:top w:val="none" w:sz="0" w:space="0" w:color="auto"/>
            <w:left w:val="none" w:sz="0" w:space="0" w:color="auto"/>
            <w:bottom w:val="none" w:sz="0" w:space="0" w:color="auto"/>
            <w:right w:val="none" w:sz="0" w:space="0" w:color="auto"/>
          </w:divBdr>
        </w:div>
        <w:div w:id="94520543">
          <w:marLeft w:val="0"/>
          <w:marRight w:val="0"/>
          <w:marTop w:val="0"/>
          <w:marBottom w:val="0"/>
          <w:divBdr>
            <w:top w:val="none" w:sz="0" w:space="0" w:color="auto"/>
            <w:left w:val="none" w:sz="0" w:space="0" w:color="auto"/>
            <w:bottom w:val="none" w:sz="0" w:space="0" w:color="auto"/>
            <w:right w:val="none" w:sz="0" w:space="0" w:color="auto"/>
          </w:divBdr>
        </w:div>
        <w:div w:id="1261915459">
          <w:marLeft w:val="0"/>
          <w:marRight w:val="0"/>
          <w:marTop w:val="0"/>
          <w:marBottom w:val="600"/>
          <w:divBdr>
            <w:top w:val="none" w:sz="0" w:space="0" w:color="auto"/>
            <w:left w:val="none" w:sz="0" w:space="0" w:color="auto"/>
            <w:bottom w:val="none" w:sz="0" w:space="0" w:color="auto"/>
            <w:right w:val="none" w:sz="0" w:space="0" w:color="auto"/>
          </w:divBdr>
        </w:div>
      </w:divsChild>
    </w:div>
    <w:div w:id="270477333">
      <w:marLeft w:val="0"/>
      <w:marRight w:val="0"/>
      <w:marTop w:val="0"/>
      <w:marBottom w:val="0"/>
      <w:divBdr>
        <w:top w:val="none" w:sz="0" w:space="0" w:color="auto"/>
        <w:left w:val="none" w:sz="0" w:space="0" w:color="auto"/>
        <w:bottom w:val="none" w:sz="0" w:space="0" w:color="auto"/>
        <w:right w:val="none" w:sz="0" w:space="0" w:color="auto"/>
      </w:divBdr>
      <w:divsChild>
        <w:div w:id="357901">
          <w:marLeft w:val="0"/>
          <w:marRight w:val="0"/>
          <w:marTop w:val="600"/>
          <w:marBottom w:val="0"/>
          <w:divBdr>
            <w:top w:val="none" w:sz="0" w:space="0" w:color="auto"/>
            <w:left w:val="none" w:sz="0" w:space="0" w:color="auto"/>
            <w:bottom w:val="none" w:sz="0" w:space="0" w:color="auto"/>
            <w:right w:val="none" w:sz="0" w:space="0" w:color="auto"/>
          </w:divBdr>
        </w:div>
        <w:div w:id="224418160">
          <w:marLeft w:val="0"/>
          <w:marRight w:val="0"/>
          <w:marTop w:val="0"/>
          <w:marBottom w:val="0"/>
          <w:divBdr>
            <w:top w:val="none" w:sz="0" w:space="0" w:color="auto"/>
            <w:left w:val="none" w:sz="0" w:space="0" w:color="auto"/>
            <w:bottom w:val="none" w:sz="0" w:space="0" w:color="auto"/>
            <w:right w:val="none" w:sz="0" w:space="0" w:color="auto"/>
          </w:divBdr>
        </w:div>
        <w:div w:id="776825574">
          <w:marLeft w:val="0"/>
          <w:marRight w:val="0"/>
          <w:marTop w:val="0"/>
          <w:marBottom w:val="600"/>
          <w:divBdr>
            <w:top w:val="none" w:sz="0" w:space="0" w:color="auto"/>
            <w:left w:val="none" w:sz="0" w:space="0" w:color="auto"/>
            <w:bottom w:val="none" w:sz="0" w:space="0" w:color="auto"/>
            <w:right w:val="none" w:sz="0" w:space="0" w:color="auto"/>
          </w:divBdr>
        </w:div>
      </w:divsChild>
    </w:div>
    <w:div w:id="322201554">
      <w:marLeft w:val="0"/>
      <w:marRight w:val="0"/>
      <w:marTop w:val="0"/>
      <w:marBottom w:val="0"/>
      <w:divBdr>
        <w:top w:val="none" w:sz="0" w:space="0" w:color="auto"/>
        <w:left w:val="none" w:sz="0" w:space="0" w:color="auto"/>
        <w:bottom w:val="none" w:sz="0" w:space="0" w:color="auto"/>
        <w:right w:val="none" w:sz="0" w:space="0" w:color="auto"/>
      </w:divBdr>
      <w:divsChild>
        <w:div w:id="1028751182">
          <w:marLeft w:val="0"/>
          <w:marRight w:val="0"/>
          <w:marTop w:val="600"/>
          <w:marBottom w:val="0"/>
          <w:divBdr>
            <w:top w:val="none" w:sz="0" w:space="0" w:color="auto"/>
            <w:left w:val="none" w:sz="0" w:space="0" w:color="auto"/>
            <w:bottom w:val="none" w:sz="0" w:space="0" w:color="auto"/>
            <w:right w:val="none" w:sz="0" w:space="0" w:color="auto"/>
          </w:divBdr>
        </w:div>
        <w:div w:id="1912498287">
          <w:marLeft w:val="0"/>
          <w:marRight w:val="0"/>
          <w:marTop w:val="0"/>
          <w:marBottom w:val="0"/>
          <w:divBdr>
            <w:top w:val="none" w:sz="0" w:space="0" w:color="auto"/>
            <w:left w:val="none" w:sz="0" w:space="0" w:color="auto"/>
            <w:bottom w:val="none" w:sz="0" w:space="0" w:color="auto"/>
            <w:right w:val="none" w:sz="0" w:space="0" w:color="auto"/>
          </w:divBdr>
        </w:div>
        <w:div w:id="2144304381">
          <w:marLeft w:val="0"/>
          <w:marRight w:val="0"/>
          <w:marTop w:val="0"/>
          <w:marBottom w:val="600"/>
          <w:divBdr>
            <w:top w:val="none" w:sz="0" w:space="0" w:color="auto"/>
            <w:left w:val="none" w:sz="0" w:space="0" w:color="auto"/>
            <w:bottom w:val="none" w:sz="0" w:space="0" w:color="auto"/>
            <w:right w:val="none" w:sz="0" w:space="0" w:color="auto"/>
          </w:divBdr>
        </w:div>
      </w:divsChild>
    </w:div>
    <w:div w:id="339936788">
      <w:marLeft w:val="0"/>
      <w:marRight w:val="0"/>
      <w:marTop w:val="0"/>
      <w:marBottom w:val="0"/>
      <w:divBdr>
        <w:top w:val="none" w:sz="0" w:space="0" w:color="auto"/>
        <w:left w:val="none" w:sz="0" w:space="0" w:color="auto"/>
        <w:bottom w:val="none" w:sz="0" w:space="0" w:color="auto"/>
        <w:right w:val="none" w:sz="0" w:space="0" w:color="auto"/>
      </w:divBdr>
      <w:divsChild>
        <w:div w:id="55131494">
          <w:marLeft w:val="0"/>
          <w:marRight w:val="0"/>
          <w:marTop w:val="600"/>
          <w:marBottom w:val="0"/>
          <w:divBdr>
            <w:top w:val="none" w:sz="0" w:space="0" w:color="auto"/>
            <w:left w:val="none" w:sz="0" w:space="0" w:color="auto"/>
            <w:bottom w:val="none" w:sz="0" w:space="0" w:color="auto"/>
            <w:right w:val="none" w:sz="0" w:space="0" w:color="auto"/>
          </w:divBdr>
        </w:div>
        <w:div w:id="141966809">
          <w:marLeft w:val="0"/>
          <w:marRight w:val="0"/>
          <w:marTop w:val="0"/>
          <w:marBottom w:val="0"/>
          <w:divBdr>
            <w:top w:val="none" w:sz="0" w:space="0" w:color="auto"/>
            <w:left w:val="none" w:sz="0" w:space="0" w:color="auto"/>
            <w:bottom w:val="none" w:sz="0" w:space="0" w:color="auto"/>
            <w:right w:val="none" w:sz="0" w:space="0" w:color="auto"/>
          </w:divBdr>
        </w:div>
        <w:div w:id="1302808852">
          <w:marLeft w:val="0"/>
          <w:marRight w:val="0"/>
          <w:marTop w:val="0"/>
          <w:marBottom w:val="600"/>
          <w:divBdr>
            <w:top w:val="none" w:sz="0" w:space="0" w:color="auto"/>
            <w:left w:val="none" w:sz="0" w:space="0" w:color="auto"/>
            <w:bottom w:val="none" w:sz="0" w:space="0" w:color="auto"/>
            <w:right w:val="none" w:sz="0" w:space="0" w:color="auto"/>
          </w:divBdr>
        </w:div>
      </w:divsChild>
    </w:div>
    <w:div w:id="382751612">
      <w:marLeft w:val="0"/>
      <w:marRight w:val="0"/>
      <w:marTop w:val="0"/>
      <w:marBottom w:val="0"/>
      <w:divBdr>
        <w:top w:val="none" w:sz="0" w:space="0" w:color="auto"/>
        <w:left w:val="none" w:sz="0" w:space="0" w:color="auto"/>
        <w:bottom w:val="none" w:sz="0" w:space="0" w:color="auto"/>
        <w:right w:val="none" w:sz="0" w:space="0" w:color="auto"/>
      </w:divBdr>
      <w:divsChild>
        <w:div w:id="944923214">
          <w:marLeft w:val="0"/>
          <w:marRight w:val="0"/>
          <w:marTop w:val="600"/>
          <w:marBottom w:val="0"/>
          <w:divBdr>
            <w:top w:val="none" w:sz="0" w:space="0" w:color="auto"/>
            <w:left w:val="none" w:sz="0" w:space="0" w:color="auto"/>
            <w:bottom w:val="none" w:sz="0" w:space="0" w:color="auto"/>
            <w:right w:val="none" w:sz="0" w:space="0" w:color="auto"/>
          </w:divBdr>
        </w:div>
        <w:div w:id="46804567">
          <w:marLeft w:val="0"/>
          <w:marRight w:val="0"/>
          <w:marTop w:val="0"/>
          <w:marBottom w:val="0"/>
          <w:divBdr>
            <w:top w:val="none" w:sz="0" w:space="0" w:color="auto"/>
            <w:left w:val="none" w:sz="0" w:space="0" w:color="auto"/>
            <w:bottom w:val="none" w:sz="0" w:space="0" w:color="auto"/>
            <w:right w:val="none" w:sz="0" w:space="0" w:color="auto"/>
          </w:divBdr>
        </w:div>
        <w:div w:id="1537348430">
          <w:marLeft w:val="0"/>
          <w:marRight w:val="0"/>
          <w:marTop w:val="0"/>
          <w:marBottom w:val="600"/>
          <w:divBdr>
            <w:top w:val="none" w:sz="0" w:space="0" w:color="auto"/>
            <w:left w:val="none" w:sz="0" w:space="0" w:color="auto"/>
            <w:bottom w:val="none" w:sz="0" w:space="0" w:color="auto"/>
            <w:right w:val="none" w:sz="0" w:space="0" w:color="auto"/>
          </w:divBdr>
        </w:div>
      </w:divsChild>
    </w:div>
    <w:div w:id="428430086">
      <w:marLeft w:val="0"/>
      <w:marRight w:val="0"/>
      <w:marTop w:val="0"/>
      <w:marBottom w:val="0"/>
      <w:divBdr>
        <w:top w:val="none" w:sz="0" w:space="0" w:color="auto"/>
        <w:left w:val="none" w:sz="0" w:space="0" w:color="auto"/>
        <w:bottom w:val="none" w:sz="0" w:space="0" w:color="auto"/>
        <w:right w:val="none" w:sz="0" w:space="0" w:color="auto"/>
      </w:divBdr>
      <w:divsChild>
        <w:div w:id="1453162167">
          <w:marLeft w:val="0"/>
          <w:marRight w:val="0"/>
          <w:marTop w:val="600"/>
          <w:marBottom w:val="0"/>
          <w:divBdr>
            <w:top w:val="none" w:sz="0" w:space="0" w:color="auto"/>
            <w:left w:val="none" w:sz="0" w:space="0" w:color="auto"/>
            <w:bottom w:val="none" w:sz="0" w:space="0" w:color="auto"/>
            <w:right w:val="none" w:sz="0" w:space="0" w:color="auto"/>
          </w:divBdr>
        </w:div>
        <w:div w:id="1768843134">
          <w:marLeft w:val="0"/>
          <w:marRight w:val="0"/>
          <w:marTop w:val="0"/>
          <w:marBottom w:val="0"/>
          <w:divBdr>
            <w:top w:val="none" w:sz="0" w:space="0" w:color="auto"/>
            <w:left w:val="none" w:sz="0" w:space="0" w:color="auto"/>
            <w:bottom w:val="none" w:sz="0" w:space="0" w:color="auto"/>
            <w:right w:val="none" w:sz="0" w:space="0" w:color="auto"/>
          </w:divBdr>
          <w:divsChild>
            <w:div w:id="63987622">
              <w:marLeft w:val="0"/>
              <w:marRight w:val="0"/>
              <w:marTop w:val="0"/>
              <w:marBottom w:val="0"/>
              <w:divBdr>
                <w:top w:val="none" w:sz="0" w:space="0" w:color="auto"/>
                <w:left w:val="none" w:sz="0" w:space="0" w:color="auto"/>
                <w:bottom w:val="none" w:sz="0" w:space="0" w:color="auto"/>
                <w:right w:val="none" w:sz="0" w:space="0" w:color="auto"/>
              </w:divBdr>
              <w:divsChild>
                <w:div w:id="1443761406">
                  <w:marLeft w:val="0"/>
                  <w:marRight w:val="0"/>
                  <w:marTop w:val="0"/>
                  <w:marBottom w:val="0"/>
                  <w:divBdr>
                    <w:top w:val="none" w:sz="0" w:space="0" w:color="auto"/>
                    <w:left w:val="none" w:sz="0" w:space="0" w:color="auto"/>
                    <w:bottom w:val="none" w:sz="0" w:space="0" w:color="auto"/>
                    <w:right w:val="none" w:sz="0" w:space="0" w:color="auto"/>
                  </w:divBdr>
                </w:div>
              </w:divsChild>
            </w:div>
            <w:div w:id="113716761">
              <w:marLeft w:val="0"/>
              <w:marRight w:val="0"/>
              <w:marTop w:val="0"/>
              <w:marBottom w:val="0"/>
              <w:divBdr>
                <w:top w:val="none" w:sz="0" w:space="0" w:color="auto"/>
                <w:left w:val="none" w:sz="0" w:space="0" w:color="auto"/>
                <w:bottom w:val="none" w:sz="0" w:space="0" w:color="auto"/>
                <w:right w:val="none" w:sz="0" w:space="0" w:color="auto"/>
              </w:divBdr>
              <w:divsChild>
                <w:div w:id="175779473">
                  <w:marLeft w:val="0"/>
                  <w:marRight w:val="0"/>
                  <w:marTop w:val="0"/>
                  <w:marBottom w:val="0"/>
                  <w:divBdr>
                    <w:top w:val="none" w:sz="0" w:space="0" w:color="auto"/>
                    <w:left w:val="none" w:sz="0" w:space="0" w:color="auto"/>
                    <w:bottom w:val="none" w:sz="0" w:space="0" w:color="auto"/>
                    <w:right w:val="none" w:sz="0" w:space="0" w:color="auto"/>
                  </w:divBdr>
                </w:div>
              </w:divsChild>
            </w:div>
            <w:div w:id="828863895">
              <w:marLeft w:val="0"/>
              <w:marRight w:val="0"/>
              <w:marTop w:val="0"/>
              <w:marBottom w:val="0"/>
              <w:divBdr>
                <w:top w:val="none" w:sz="0" w:space="0" w:color="auto"/>
                <w:left w:val="none" w:sz="0" w:space="0" w:color="auto"/>
                <w:bottom w:val="none" w:sz="0" w:space="0" w:color="auto"/>
                <w:right w:val="none" w:sz="0" w:space="0" w:color="auto"/>
              </w:divBdr>
              <w:divsChild>
                <w:div w:id="418791973">
                  <w:marLeft w:val="0"/>
                  <w:marRight w:val="0"/>
                  <w:marTop w:val="0"/>
                  <w:marBottom w:val="0"/>
                  <w:divBdr>
                    <w:top w:val="none" w:sz="0" w:space="0" w:color="auto"/>
                    <w:left w:val="none" w:sz="0" w:space="0" w:color="auto"/>
                    <w:bottom w:val="none" w:sz="0" w:space="0" w:color="auto"/>
                    <w:right w:val="none" w:sz="0" w:space="0" w:color="auto"/>
                  </w:divBdr>
                </w:div>
              </w:divsChild>
            </w:div>
            <w:div w:id="476727015">
              <w:marLeft w:val="0"/>
              <w:marRight w:val="0"/>
              <w:marTop w:val="0"/>
              <w:marBottom w:val="0"/>
              <w:divBdr>
                <w:top w:val="none" w:sz="0" w:space="0" w:color="auto"/>
                <w:left w:val="none" w:sz="0" w:space="0" w:color="auto"/>
                <w:bottom w:val="none" w:sz="0" w:space="0" w:color="auto"/>
                <w:right w:val="none" w:sz="0" w:space="0" w:color="auto"/>
              </w:divBdr>
              <w:divsChild>
                <w:div w:id="1375077067">
                  <w:marLeft w:val="0"/>
                  <w:marRight w:val="0"/>
                  <w:marTop w:val="0"/>
                  <w:marBottom w:val="0"/>
                  <w:divBdr>
                    <w:top w:val="none" w:sz="0" w:space="0" w:color="auto"/>
                    <w:left w:val="none" w:sz="0" w:space="0" w:color="auto"/>
                    <w:bottom w:val="none" w:sz="0" w:space="0" w:color="auto"/>
                    <w:right w:val="none" w:sz="0" w:space="0" w:color="auto"/>
                  </w:divBdr>
                </w:div>
              </w:divsChild>
            </w:div>
            <w:div w:id="1324629342">
              <w:marLeft w:val="0"/>
              <w:marRight w:val="0"/>
              <w:marTop w:val="0"/>
              <w:marBottom w:val="0"/>
              <w:divBdr>
                <w:top w:val="none" w:sz="0" w:space="0" w:color="auto"/>
                <w:left w:val="none" w:sz="0" w:space="0" w:color="auto"/>
                <w:bottom w:val="none" w:sz="0" w:space="0" w:color="auto"/>
                <w:right w:val="none" w:sz="0" w:space="0" w:color="auto"/>
              </w:divBdr>
              <w:divsChild>
                <w:div w:id="549539751">
                  <w:marLeft w:val="0"/>
                  <w:marRight w:val="0"/>
                  <w:marTop w:val="0"/>
                  <w:marBottom w:val="0"/>
                  <w:divBdr>
                    <w:top w:val="none" w:sz="0" w:space="0" w:color="auto"/>
                    <w:left w:val="none" w:sz="0" w:space="0" w:color="auto"/>
                    <w:bottom w:val="none" w:sz="0" w:space="0" w:color="auto"/>
                    <w:right w:val="none" w:sz="0" w:space="0" w:color="auto"/>
                  </w:divBdr>
                </w:div>
              </w:divsChild>
            </w:div>
            <w:div w:id="1451196287">
              <w:marLeft w:val="0"/>
              <w:marRight w:val="0"/>
              <w:marTop w:val="0"/>
              <w:marBottom w:val="0"/>
              <w:divBdr>
                <w:top w:val="none" w:sz="0" w:space="0" w:color="auto"/>
                <w:left w:val="none" w:sz="0" w:space="0" w:color="auto"/>
                <w:bottom w:val="none" w:sz="0" w:space="0" w:color="auto"/>
                <w:right w:val="none" w:sz="0" w:space="0" w:color="auto"/>
              </w:divBdr>
              <w:divsChild>
                <w:div w:id="1672221509">
                  <w:marLeft w:val="0"/>
                  <w:marRight w:val="0"/>
                  <w:marTop w:val="0"/>
                  <w:marBottom w:val="0"/>
                  <w:divBdr>
                    <w:top w:val="none" w:sz="0" w:space="0" w:color="auto"/>
                    <w:left w:val="none" w:sz="0" w:space="0" w:color="auto"/>
                    <w:bottom w:val="none" w:sz="0" w:space="0" w:color="auto"/>
                    <w:right w:val="none" w:sz="0" w:space="0" w:color="auto"/>
                  </w:divBdr>
                </w:div>
              </w:divsChild>
            </w:div>
            <w:div w:id="1948193601">
              <w:marLeft w:val="0"/>
              <w:marRight w:val="0"/>
              <w:marTop w:val="0"/>
              <w:marBottom w:val="0"/>
              <w:divBdr>
                <w:top w:val="none" w:sz="0" w:space="0" w:color="auto"/>
                <w:left w:val="none" w:sz="0" w:space="0" w:color="auto"/>
                <w:bottom w:val="none" w:sz="0" w:space="0" w:color="auto"/>
                <w:right w:val="none" w:sz="0" w:space="0" w:color="auto"/>
              </w:divBdr>
              <w:divsChild>
                <w:div w:id="1590698403">
                  <w:marLeft w:val="0"/>
                  <w:marRight w:val="0"/>
                  <w:marTop w:val="0"/>
                  <w:marBottom w:val="0"/>
                  <w:divBdr>
                    <w:top w:val="none" w:sz="0" w:space="0" w:color="auto"/>
                    <w:left w:val="none" w:sz="0" w:space="0" w:color="auto"/>
                    <w:bottom w:val="none" w:sz="0" w:space="0" w:color="auto"/>
                    <w:right w:val="none" w:sz="0" w:space="0" w:color="auto"/>
                  </w:divBdr>
                </w:div>
              </w:divsChild>
            </w:div>
            <w:div w:id="1370298064">
              <w:marLeft w:val="0"/>
              <w:marRight w:val="0"/>
              <w:marTop w:val="0"/>
              <w:marBottom w:val="0"/>
              <w:divBdr>
                <w:top w:val="none" w:sz="0" w:space="0" w:color="auto"/>
                <w:left w:val="none" w:sz="0" w:space="0" w:color="auto"/>
                <w:bottom w:val="none" w:sz="0" w:space="0" w:color="auto"/>
                <w:right w:val="none" w:sz="0" w:space="0" w:color="auto"/>
              </w:divBdr>
              <w:divsChild>
                <w:div w:id="1080559028">
                  <w:marLeft w:val="0"/>
                  <w:marRight w:val="0"/>
                  <w:marTop w:val="0"/>
                  <w:marBottom w:val="0"/>
                  <w:divBdr>
                    <w:top w:val="none" w:sz="0" w:space="0" w:color="auto"/>
                    <w:left w:val="none" w:sz="0" w:space="0" w:color="auto"/>
                    <w:bottom w:val="none" w:sz="0" w:space="0" w:color="auto"/>
                    <w:right w:val="none" w:sz="0" w:space="0" w:color="auto"/>
                  </w:divBdr>
                </w:div>
              </w:divsChild>
            </w:div>
            <w:div w:id="630014929">
              <w:marLeft w:val="0"/>
              <w:marRight w:val="0"/>
              <w:marTop w:val="0"/>
              <w:marBottom w:val="0"/>
              <w:divBdr>
                <w:top w:val="none" w:sz="0" w:space="0" w:color="auto"/>
                <w:left w:val="none" w:sz="0" w:space="0" w:color="auto"/>
                <w:bottom w:val="none" w:sz="0" w:space="0" w:color="auto"/>
                <w:right w:val="none" w:sz="0" w:space="0" w:color="auto"/>
              </w:divBdr>
              <w:divsChild>
                <w:div w:id="1230463144">
                  <w:marLeft w:val="0"/>
                  <w:marRight w:val="0"/>
                  <w:marTop w:val="0"/>
                  <w:marBottom w:val="0"/>
                  <w:divBdr>
                    <w:top w:val="none" w:sz="0" w:space="0" w:color="auto"/>
                    <w:left w:val="none" w:sz="0" w:space="0" w:color="auto"/>
                    <w:bottom w:val="none" w:sz="0" w:space="0" w:color="auto"/>
                    <w:right w:val="none" w:sz="0" w:space="0" w:color="auto"/>
                  </w:divBdr>
                </w:div>
              </w:divsChild>
            </w:div>
            <w:div w:id="33308022">
              <w:marLeft w:val="0"/>
              <w:marRight w:val="0"/>
              <w:marTop w:val="0"/>
              <w:marBottom w:val="0"/>
              <w:divBdr>
                <w:top w:val="none" w:sz="0" w:space="0" w:color="auto"/>
                <w:left w:val="none" w:sz="0" w:space="0" w:color="auto"/>
                <w:bottom w:val="none" w:sz="0" w:space="0" w:color="auto"/>
                <w:right w:val="none" w:sz="0" w:space="0" w:color="auto"/>
              </w:divBdr>
              <w:divsChild>
                <w:div w:id="1168448864">
                  <w:marLeft w:val="0"/>
                  <w:marRight w:val="0"/>
                  <w:marTop w:val="0"/>
                  <w:marBottom w:val="0"/>
                  <w:divBdr>
                    <w:top w:val="none" w:sz="0" w:space="0" w:color="auto"/>
                    <w:left w:val="none" w:sz="0" w:space="0" w:color="auto"/>
                    <w:bottom w:val="none" w:sz="0" w:space="0" w:color="auto"/>
                    <w:right w:val="none" w:sz="0" w:space="0" w:color="auto"/>
                  </w:divBdr>
                </w:div>
              </w:divsChild>
            </w:div>
            <w:div w:id="1218399990">
              <w:marLeft w:val="0"/>
              <w:marRight w:val="0"/>
              <w:marTop w:val="0"/>
              <w:marBottom w:val="0"/>
              <w:divBdr>
                <w:top w:val="none" w:sz="0" w:space="0" w:color="auto"/>
                <w:left w:val="none" w:sz="0" w:space="0" w:color="auto"/>
                <w:bottom w:val="none" w:sz="0" w:space="0" w:color="auto"/>
                <w:right w:val="none" w:sz="0" w:space="0" w:color="auto"/>
              </w:divBdr>
              <w:divsChild>
                <w:div w:id="46344630">
                  <w:marLeft w:val="0"/>
                  <w:marRight w:val="0"/>
                  <w:marTop w:val="0"/>
                  <w:marBottom w:val="0"/>
                  <w:divBdr>
                    <w:top w:val="none" w:sz="0" w:space="0" w:color="auto"/>
                    <w:left w:val="none" w:sz="0" w:space="0" w:color="auto"/>
                    <w:bottom w:val="none" w:sz="0" w:space="0" w:color="auto"/>
                    <w:right w:val="none" w:sz="0" w:space="0" w:color="auto"/>
                  </w:divBdr>
                </w:div>
              </w:divsChild>
            </w:div>
            <w:div w:id="208614910">
              <w:marLeft w:val="0"/>
              <w:marRight w:val="0"/>
              <w:marTop w:val="0"/>
              <w:marBottom w:val="0"/>
              <w:divBdr>
                <w:top w:val="none" w:sz="0" w:space="0" w:color="auto"/>
                <w:left w:val="none" w:sz="0" w:space="0" w:color="auto"/>
                <w:bottom w:val="none" w:sz="0" w:space="0" w:color="auto"/>
                <w:right w:val="none" w:sz="0" w:space="0" w:color="auto"/>
              </w:divBdr>
              <w:divsChild>
                <w:div w:id="1557859739">
                  <w:marLeft w:val="0"/>
                  <w:marRight w:val="0"/>
                  <w:marTop w:val="0"/>
                  <w:marBottom w:val="0"/>
                  <w:divBdr>
                    <w:top w:val="none" w:sz="0" w:space="0" w:color="auto"/>
                    <w:left w:val="none" w:sz="0" w:space="0" w:color="auto"/>
                    <w:bottom w:val="none" w:sz="0" w:space="0" w:color="auto"/>
                    <w:right w:val="none" w:sz="0" w:space="0" w:color="auto"/>
                  </w:divBdr>
                </w:div>
              </w:divsChild>
            </w:div>
            <w:div w:id="642469814">
              <w:marLeft w:val="0"/>
              <w:marRight w:val="0"/>
              <w:marTop w:val="0"/>
              <w:marBottom w:val="0"/>
              <w:divBdr>
                <w:top w:val="none" w:sz="0" w:space="0" w:color="auto"/>
                <w:left w:val="none" w:sz="0" w:space="0" w:color="auto"/>
                <w:bottom w:val="none" w:sz="0" w:space="0" w:color="auto"/>
                <w:right w:val="none" w:sz="0" w:space="0" w:color="auto"/>
              </w:divBdr>
              <w:divsChild>
                <w:div w:id="1811555612">
                  <w:marLeft w:val="0"/>
                  <w:marRight w:val="0"/>
                  <w:marTop w:val="0"/>
                  <w:marBottom w:val="0"/>
                  <w:divBdr>
                    <w:top w:val="none" w:sz="0" w:space="0" w:color="auto"/>
                    <w:left w:val="none" w:sz="0" w:space="0" w:color="auto"/>
                    <w:bottom w:val="none" w:sz="0" w:space="0" w:color="auto"/>
                    <w:right w:val="none" w:sz="0" w:space="0" w:color="auto"/>
                  </w:divBdr>
                </w:div>
              </w:divsChild>
            </w:div>
            <w:div w:id="765275630">
              <w:marLeft w:val="0"/>
              <w:marRight w:val="0"/>
              <w:marTop w:val="0"/>
              <w:marBottom w:val="0"/>
              <w:divBdr>
                <w:top w:val="none" w:sz="0" w:space="0" w:color="auto"/>
                <w:left w:val="none" w:sz="0" w:space="0" w:color="auto"/>
                <w:bottom w:val="none" w:sz="0" w:space="0" w:color="auto"/>
                <w:right w:val="none" w:sz="0" w:space="0" w:color="auto"/>
              </w:divBdr>
              <w:divsChild>
                <w:div w:id="465051458">
                  <w:marLeft w:val="0"/>
                  <w:marRight w:val="0"/>
                  <w:marTop w:val="0"/>
                  <w:marBottom w:val="0"/>
                  <w:divBdr>
                    <w:top w:val="none" w:sz="0" w:space="0" w:color="auto"/>
                    <w:left w:val="none" w:sz="0" w:space="0" w:color="auto"/>
                    <w:bottom w:val="none" w:sz="0" w:space="0" w:color="auto"/>
                    <w:right w:val="none" w:sz="0" w:space="0" w:color="auto"/>
                  </w:divBdr>
                </w:div>
              </w:divsChild>
            </w:div>
            <w:div w:id="2032337366">
              <w:marLeft w:val="0"/>
              <w:marRight w:val="0"/>
              <w:marTop w:val="0"/>
              <w:marBottom w:val="0"/>
              <w:divBdr>
                <w:top w:val="none" w:sz="0" w:space="0" w:color="auto"/>
                <w:left w:val="none" w:sz="0" w:space="0" w:color="auto"/>
                <w:bottom w:val="none" w:sz="0" w:space="0" w:color="auto"/>
                <w:right w:val="none" w:sz="0" w:space="0" w:color="auto"/>
              </w:divBdr>
              <w:divsChild>
                <w:div w:id="432669849">
                  <w:marLeft w:val="0"/>
                  <w:marRight w:val="0"/>
                  <w:marTop w:val="0"/>
                  <w:marBottom w:val="0"/>
                  <w:divBdr>
                    <w:top w:val="none" w:sz="0" w:space="0" w:color="auto"/>
                    <w:left w:val="none" w:sz="0" w:space="0" w:color="auto"/>
                    <w:bottom w:val="none" w:sz="0" w:space="0" w:color="auto"/>
                    <w:right w:val="none" w:sz="0" w:space="0" w:color="auto"/>
                  </w:divBdr>
                </w:div>
              </w:divsChild>
            </w:div>
            <w:div w:id="1505051062">
              <w:marLeft w:val="0"/>
              <w:marRight w:val="0"/>
              <w:marTop w:val="0"/>
              <w:marBottom w:val="0"/>
              <w:divBdr>
                <w:top w:val="none" w:sz="0" w:space="0" w:color="auto"/>
                <w:left w:val="none" w:sz="0" w:space="0" w:color="auto"/>
                <w:bottom w:val="none" w:sz="0" w:space="0" w:color="auto"/>
                <w:right w:val="none" w:sz="0" w:space="0" w:color="auto"/>
              </w:divBdr>
              <w:divsChild>
                <w:div w:id="1720320960">
                  <w:marLeft w:val="0"/>
                  <w:marRight w:val="0"/>
                  <w:marTop w:val="0"/>
                  <w:marBottom w:val="0"/>
                  <w:divBdr>
                    <w:top w:val="none" w:sz="0" w:space="0" w:color="auto"/>
                    <w:left w:val="none" w:sz="0" w:space="0" w:color="auto"/>
                    <w:bottom w:val="none" w:sz="0" w:space="0" w:color="auto"/>
                    <w:right w:val="none" w:sz="0" w:space="0" w:color="auto"/>
                  </w:divBdr>
                </w:div>
              </w:divsChild>
            </w:div>
            <w:div w:id="821656538">
              <w:marLeft w:val="0"/>
              <w:marRight w:val="0"/>
              <w:marTop w:val="0"/>
              <w:marBottom w:val="0"/>
              <w:divBdr>
                <w:top w:val="none" w:sz="0" w:space="0" w:color="auto"/>
                <w:left w:val="none" w:sz="0" w:space="0" w:color="auto"/>
                <w:bottom w:val="none" w:sz="0" w:space="0" w:color="auto"/>
                <w:right w:val="none" w:sz="0" w:space="0" w:color="auto"/>
              </w:divBdr>
              <w:divsChild>
                <w:div w:id="169030437">
                  <w:marLeft w:val="0"/>
                  <w:marRight w:val="0"/>
                  <w:marTop w:val="0"/>
                  <w:marBottom w:val="0"/>
                  <w:divBdr>
                    <w:top w:val="none" w:sz="0" w:space="0" w:color="auto"/>
                    <w:left w:val="none" w:sz="0" w:space="0" w:color="auto"/>
                    <w:bottom w:val="none" w:sz="0" w:space="0" w:color="auto"/>
                    <w:right w:val="none" w:sz="0" w:space="0" w:color="auto"/>
                  </w:divBdr>
                </w:div>
              </w:divsChild>
            </w:div>
            <w:div w:id="1684699236">
              <w:marLeft w:val="0"/>
              <w:marRight w:val="0"/>
              <w:marTop w:val="0"/>
              <w:marBottom w:val="0"/>
              <w:divBdr>
                <w:top w:val="none" w:sz="0" w:space="0" w:color="auto"/>
                <w:left w:val="none" w:sz="0" w:space="0" w:color="auto"/>
                <w:bottom w:val="none" w:sz="0" w:space="0" w:color="auto"/>
                <w:right w:val="none" w:sz="0" w:space="0" w:color="auto"/>
              </w:divBdr>
              <w:divsChild>
                <w:div w:id="251282242">
                  <w:marLeft w:val="0"/>
                  <w:marRight w:val="0"/>
                  <w:marTop w:val="0"/>
                  <w:marBottom w:val="0"/>
                  <w:divBdr>
                    <w:top w:val="none" w:sz="0" w:space="0" w:color="auto"/>
                    <w:left w:val="none" w:sz="0" w:space="0" w:color="auto"/>
                    <w:bottom w:val="none" w:sz="0" w:space="0" w:color="auto"/>
                    <w:right w:val="none" w:sz="0" w:space="0" w:color="auto"/>
                  </w:divBdr>
                </w:div>
              </w:divsChild>
            </w:div>
            <w:div w:id="1041977975">
              <w:marLeft w:val="0"/>
              <w:marRight w:val="0"/>
              <w:marTop w:val="0"/>
              <w:marBottom w:val="0"/>
              <w:divBdr>
                <w:top w:val="none" w:sz="0" w:space="0" w:color="auto"/>
                <w:left w:val="none" w:sz="0" w:space="0" w:color="auto"/>
                <w:bottom w:val="none" w:sz="0" w:space="0" w:color="auto"/>
                <w:right w:val="none" w:sz="0" w:space="0" w:color="auto"/>
              </w:divBdr>
              <w:divsChild>
                <w:div w:id="1213154504">
                  <w:marLeft w:val="0"/>
                  <w:marRight w:val="0"/>
                  <w:marTop w:val="0"/>
                  <w:marBottom w:val="0"/>
                  <w:divBdr>
                    <w:top w:val="none" w:sz="0" w:space="0" w:color="auto"/>
                    <w:left w:val="none" w:sz="0" w:space="0" w:color="auto"/>
                    <w:bottom w:val="none" w:sz="0" w:space="0" w:color="auto"/>
                    <w:right w:val="none" w:sz="0" w:space="0" w:color="auto"/>
                  </w:divBdr>
                </w:div>
              </w:divsChild>
            </w:div>
            <w:div w:id="821122834">
              <w:marLeft w:val="0"/>
              <w:marRight w:val="0"/>
              <w:marTop w:val="0"/>
              <w:marBottom w:val="0"/>
              <w:divBdr>
                <w:top w:val="none" w:sz="0" w:space="0" w:color="auto"/>
                <w:left w:val="none" w:sz="0" w:space="0" w:color="auto"/>
                <w:bottom w:val="none" w:sz="0" w:space="0" w:color="auto"/>
                <w:right w:val="none" w:sz="0" w:space="0" w:color="auto"/>
              </w:divBdr>
              <w:divsChild>
                <w:div w:id="1326856084">
                  <w:marLeft w:val="0"/>
                  <w:marRight w:val="0"/>
                  <w:marTop w:val="0"/>
                  <w:marBottom w:val="0"/>
                  <w:divBdr>
                    <w:top w:val="none" w:sz="0" w:space="0" w:color="auto"/>
                    <w:left w:val="none" w:sz="0" w:space="0" w:color="auto"/>
                    <w:bottom w:val="none" w:sz="0" w:space="0" w:color="auto"/>
                    <w:right w:val="none" w:sz="0" w:space="0" w:color="auto"/>
                  </w:divBdr>
                </w:div>
              </w:divsChild>
            </w:div>
            <w:div w:id="200170856">
              <w:marLeft w:val="0"/>
              <w:marRight w:val="0"/>
              <w:marTop w:val="0"/>
              <w:marBottom w:val="0"/>
              <w:divBdr>
                <w:top w:val="none" w:sz="0" w:space="0" w:color="auto"/>
                <w:left w:val="none" w:sz="0" w:space="0" w:color="auto"/>
                <w:bottom w:val="none" w:sz="0" w:space="0" w:color="auto"/>
                <w:right w:val="none" w:sz="0" w:space="0" w:color="auto"/>
              </w:divBdr>
              <w:divsChild>
                <w:div w:id="1855418700">
                  <w:marLeft w:val="0"/>
                  <w:marRight w:val="0"/>
                  <w:marTop w:val="0"/>
                  <w:marBottom w:val="0"/>
                  <w:divBdr>
                    <w:top w:val="none" w:sz="0" w:space="0" w:color="auto"/>
                    <w:left w:val="none" w:sz="0" w:space="0" w:color="auto"/>
                    <w:bottom w:val="none" w:sz="0" w:space="0" w:color="auto"/>
                    <w:right w:val="none" w:sz="0" w:space="0" w:color="auto"/>
                  </w:divBdr>
                </w:div>
              </w:divsChild>
            </w:div>
            <w:div w:id="1529754128">
              <w:marLeft w:val="0"/>
              <w:marRight w:val="0"/>
              <w:marTop w:val="0"/>
              <w:marBottom w:val="0"/>
              <w:divBdr>
                <w:top w:val="none" w:sz="0" w:space="0" w:color="auto"/>
                <w:left w:val="none" w:sz="0" w:space="0" w:color="auto"/>
                <w:bottom w:val="none" w:sz="0" w:space="0" w:color="auto"/>
                <w:right w:val="none" w:sz="0" w:space="0" w:color="auto"/>
              </w:divBdr>
              <w:divsChild>
                <w:div w:id="153571676">
                  <w:marLeft w:val="0"/>
                  <w:marRight w:val="0"/>
                  <w:marTop w:val="0"/>
                  <w:marBottom w:val="0"/>
                  <w:divBdr>
                    <w:top w:val="none" w:sz="0" w:space="0" w:color="auto"/>
                    <w:left w:val="none" w:sz="0" w:space="0" w:color="auto"/>
                    <w:bottom w:val="none" w:sz="0" w:space="0" w:color="auto"/>
                    <w:right w:val="none" w:sz="0" w:space="0" w:color="auto"/>
                  </w:divBdr>
                </w:div>
              </w:divsChild>
            </w:div>
            <w:div w:id="333921062">
              <w:marLeft w:val="0"/>
              <w:marRight w:val="0"/>
              <w:marTop w:val="0"/>
              <w:marBottom w:val="0"/>
              <w:divBdr>
                <w:top w:val="none" w:sz="0" w:space="0" w:color="auto"/>
                <w:left w:val="none" w:sz="0" w:space="0" w:color="auto"/>
                <w:bottom w:val="none" w:sz="0" w:space="0" w:color="auto"/>
                <w:right w:val="none" w:sz="0" w:space="0" w:color="auto"/>
              </w:divBdr>
              <w:divsChild>
                <w:div w:id="591208908">
                  <w:marLeft w:val="0"/>
                  <w:marRight w:val="0"/>
                  <w:marTop w:val="0"/>
                  <w:marBottom w:val="0"/>
                  <w:divBdr>
                    <w:top w:val="none" w:sz="0" w:space="0" w:color="auto"/>
                    <w:left w:val="none" w:sz="0" w:space="0" w:color="auto"/>
                    <w:bottom w:val="none" w:sz="0" w:space="0" w:color="auto"/>
                    <w:right w:val="none" w:sz="0" w:space="0" w:color="auto"/>
                  </w:divBdr>
                </w:div>
              </w:divsChild>
            </w:div>
            <w:div w:id="671763107">
              <w:marLeft w:val="0"/>
              <w:marRight w:val="0"/>
              <w:marTop w:val="0"/>
              <w:marBottom w:val="0"/>
              <w:divBdr>
                <w:top w:val="none" w:sz="0" w:space="0" w:color="auto"/>
                <w:left w:val="none" w:sz="0" w:space="0" w:color="auto"/>
                <w:bottom w:val="none" w:sz="0" w:space="0" w:color="auto"/>
                <w:right w:val="none" w:sz="0" w:space="0" w:color="auto"/>
              </w:divBdr>
              <w:divsChild>
                <w:div w:id="673648465">
                  <w:marLeft w:val="0"/>
                  <w:marRight w:val="0"/>
                  <w:marTop w:val="0"/>
                  <w:marBottom w:val="0"/>
                  <w:divBdr>
                    <w:top w:val="none" w:sz="0" w:space="0" w:color="auto"/>
                    <w:left w:val="none" w:sz="0" w:space="0" w:color="auto"/>
                    <w:bottom w:val="none" w:sz="0" w:space="0" w:color="auto"/>
                    <w:right w:val="none" w:sz="0" w:space="0" w:color="auto"/>
                  </w:divBdr>
                </w:div>
              </w:divsChild>
            </w:div>
            <w:div w:id="440957701">
              <w:marLeft w:val="0"/>
              <w:marRight w:val="0"/>
              <w:marTop w:val="0"/>
              <w:marBottom w:val="0"/>
              <w:divBdr>
                <w:top w:val="none" w:sz="0" w:space="0" w:color="auto"/>
                <w:left w:val="none" w:sz="0" w:space="0" w:color="auto"/>
                <w:bottom w:val="none" w:sz="0" w:space="0" w:color="auto"/>
                <w:right w:val="none" w:sz="0" w:space="0" w:color="auto"/>
              </w:divBdr>
              <w:divsChild>
                <w:div w:id="1586500867">
                  <w:marLeft w:val="0"/>
                  <w:marRight w:val="0"/>
                  <w:marTop w:val="0"/>
                  <w:marBottom w:val="0"/>
                  <w:divBdr>
                    <w:top w:val="none" w:sz="0" w:space="0" w:color="auto"/>
                    <w:left w:val="none" w:sz="0" w:space="0" w:color="auto"/>
                    <w:bottom w:val="none" w:sz="0" w:space="0" w:color="auto"/>
                    <w:right w:val="none" w:sz="0" w:space="0" w:color="auto"/>
                  </w:divBdr>
                </w:div>
              </w:divsChild>
            </w:div>
            <w:div w:id="770928561">
              <w:marLeft w:val="0"/>
              <w:marRight w:val="0"/>
              <w:marTop w:val="0"/>
              <w:marBottom w:val="0"/>
              <w:divBdr>
                <w:top w:val="none" w:sz="0" w:space="0" w:color="auto"/>
                <w:left w:val="none" w:sz="0" w:space="0" w:color="auto"/>
                <w:bottom w:val="none" w:sz="0" w:space="0" w:color="auto"/>
                <w:right w:val="none" w:sz="0" w:space="0" w:color="auto"/>
              </w:divBdr>
              <w:divsChild>
                <w:div w:id="125054163">
                  <w:marLeft w:val="0"/>
                  <w:marRight w:val="0"/>
                  <w:marTop w:val="0"/>
                  <w:marBottom w:val="0"/>
                  <w:divBdr>
                    <w:top w:val="none" w:sz="0" w:space="0" w:color="auto"/>
                    <w:left w:val="none" w:sz="0" w:space="0" w:color="auto"/>
                    <w:bottom w:val="none" w:sz="0" w:space="0" w:color="auto"/>
                    <w:right w:val="none" w:sz="0" w:space="0" w:color="auto"/>
                  </w:divBdr>
                </w:div>
              </w:divsChild>
            </w:div>
            <w:div w:id="1335836614">
              <w:marLeft w:val="0"/>
              <w:marRight w:val="0"/>
              <w:marTop w:val="0"/>
              <w:marBottom w:val="0"/>
              <w:divBdr>
                <w:top w:val="none" w:sz="0" w:space="0" w:color="auto"/>
                <w:left w:val="none" w:sz="0" w:space="0" w:color="auto"/>
                <w:bottom w:val="none" w:sz="0" w:space="0" w:color="auto"/>
                <w:right w:val="none" w:sz="0" w:space="0" w:color="auto"/>
              </w:divBdr>
              <w:divsChild>
                <w:div w:id="1908491838">
                  <w:marLeft w:val="0"/>
                  <w:marRight w:val="0"/>
                  <w:marTop w:val="0"/>
                  <w:marBottom w:val="0"/>
                  <w:divBdr>
                    <w:top w:val="none" w:sz="0" w:space="0" w:color="auto"/>
                    <w:left w:val="none" w:sz="0" w:space="0" w:color="auto"/>
                    <w:bottom w:val="none" w:sz="0" w:space="0" w:color="auto"/>
                    <w:right w:val="none" w:sz="0" w:space="0" w:color="auto"/>
                  </w:divBdr>
                </w:div>
              </w:divsChild>
            </w:div>
            <w:div w:id="1028870527">
              <w:marLeft w:val="0"/>
              <w:marRight w:val="0"/>
              <w:marTop w:val="0"/>
              <w:marBottom w:val="0"/>
              <w:divBdr>
                <w:top w:val="none" w:sz="0" w:space="0" w:color="auto"/>
                <w:left w:val="none" w:sz="0" w:space="0" w:color="auto"/>
                <w:bottom w:val="none" w:sz="0" w:space="0" w:color="auto"/>
                <w:right w:val="none" w:sz="0" w:space="0" w:color="auto"/>
              </w:divBdr>
              <w:divsChild>
                <w:div w:id="525488485">
                  <w:marLeft w:val="0"/>
                  <w:marRight w:val="0"/>
                  <w:marTop w:val="0"/>
                  <w:marBottom w:val="0"/>
                  <w:divBdr>
                    <w:top w:val="none" w:sz="0" w:space="0" w:color="auto"/>
                    <w:left w:val="none" w:sz="0" w:space="0" w:color="auto"/>
                    <w:bottom w:val="none" w:sz="0" w:space="0" w:color="auto"/>
                    <w:right w:val="none" w:sz="0" w:space="0" w:color="auto"/>
                  </w:divBdr>
                </w:div>
              </w:divsChild>
            </w:div>
            <w:div w:id="1884512415">
              <w:marLeft w:val="0"/>
              <w:marRight w:val="0"/>
              <w:marTop w:val="0"/>
              <w:marBottom w:val="0"/>
              <w:divBdr>
                <w:top w:val="none" w:sz="0" w:space="0" w:color="auto"/>
                <w:left w:val="none" w:sz="0" w:space="0" w:color="auto"/>
                <w:bottom w:val="none" w:sz="0" w:space="0" w:color="auto"/>
                <w:right w:val="none" w:sz="0" w:space="0" w:color="auto"/>
              </w:divBdr>
              <w:divsChild>
                <w:div w:id="262106199">
                  <w:marLeft w:val="0"/>
                  <w:marRight w:val="0"/>
                  <w:marTop w:val="0"/>
                  <w:marBottom w:val="0"/>
                  <w:divBdr>
                    <w:top w:val="none" w:sz="0" w:space="0" w:color="auto"/>
                    <w:left w:val="none" w:sz="0" w:space="0" w:color="auto"/>
                    <w:bottom w:val="none" w:sz="0" w:space="0" w:color="auto"/>
                    <w:right w:val="none" w:sz="0" w:space="0" w:color="auto"/>
                  </w:divBdr>
                </w:div>
              </w:divsChild>
            </w:div>
            <w:div w:id="1423136815">
              <w:marLeft w:val="0"/>
              <w:marRight w:val="0"/>
              <w:marTop w:val="0"/>
              <w:marBottom w:val="0"/>
              <w:divBdr>
                <w:top w:val="none" w:sz="0" w:space="0" w:color="auto"/>
                <w:left w:val="none" w:sz="0" w:space="0" w:color="auto"/>
                <w:bottom w:val="none" w:sz="0" w:space="0" w:color="auto"/>
                <w:right w:val="none" w:sz="0" w:space="0" w:color="auto"/>
              </w:divBdr>
              <w:divsChild>
                <w:div w:id="1780682388">
                  <w:marLeft w:val="0"/>
                  <w:marRight w:val="0"/>
                  <w:marTop w:val="0"/>
                  <w:marBottom w:val="0"/>
                  <w:divBdr>
                    <w:top w:val="none" w:sz="0" w:space="0" w:color="auto"/>
                    <w:left w:val="none" w:sz="0" w:space="0" w:color="auto"/>
                    <w:bottom w:val="none" w:sz="0" w:space="0" w:color="auto"/>
                    <w:right w:val="none" w:sz="0" w:space="0" w:color="auto"/>
                  </w:divBdr>
                </w:div>
              </w:divsChild>
            </w:div>
            <w:div w:id="2111965484">
              <w:marLeft w:val="0"/>
              <w:marRight w:val="0"/>
              <w:marTop w:val="0"/>
              <w:marBottom w:val="0"/>
              <w:divBdr>
                <w:top w:val="none" w:sz="0" w:space="0" w:color="auto"/>
                <w:left w:val="none" w:sz="0" w:space="0" w:color="auto"/>
                <w:bottom w:val="none" w:sz="0" w:space="0" w:color="auto"/>
                <w:right w:val="none" w:sz="0" w:space="0" w:color="auto"/>
              </w:divBdr>
              <w:divsChild>
                <w:div w:id="516627014">
                  <w:marLeft w:val="0"/>
                  <w:marRight w:val="0"/>
                  <w:marTop w:val="0"/>
                  <w:marBottom w:val="0"/>
                  <w:divBdr>
                    <w:top w:val="none" w:sz="0" w:space="0" w:color="auto"/>
                    <w:left w:val="none" w:sz="0" w:space="0" w:color="auto"/>
                    <w:bottom w:val="none" w:sz="0" w:space="0" w:color="auto"/>
                    <w:right w:val="none" w:sz="0" w:space="0" w:color="auto"/>
                  </w:divBdr>
                </w:div>
              </w:divsChild>
            </w:div>
            <w:div w:id="1399211867">
              <w:marLeft w:val="0"/>
              <w:marRight w:val="0"/>
              <w:marTop w:val="0"/>
              <w:marBottom w:val="0"/>
              <w:divBdr>
                <w:top w:val="none" w:sz="0" w:space="0" w:color="auto"/>
                <w:left w:val="none" w:sz="0" w:space="0" w:color="auto"/>
                <w:bottom w:val="none" w:sz="0" w:space="0" w:color="auto"/>
                <w:right w:val="none" w:sz="0" w:space="0" w:color="auto"/>
              </w:divBdr>
              <w:divsChild>
                <w:div w:id="1493990474">
                  <w:marLeft w:val="0"/>
                  <w:marRight w:val="0"/>
                  <w:marTop w:val="0"/>
                  <w:marBottom w:val="0"/>
                  <w:divBdr>
                    <w:top w:val="none" w:sz="0" w:space="0" w:color="auto"/>
                    <w:left w:val="none" w:sz="0" w:space="0" w:color="auto"/>
                    <w:bottom w:val="none" w:sz="0" w:space="0" w:color="auto"/>
                    <w:right w:val="none" w:sz="0" w:space="0" w:color="auto"/>
                  </w:divBdr>
                </w:div>
              </w:divsChild>
            </w:div>
            <w:div w:id="2061198267">
              <w:marLeft w:val="0"/>
              <w:marRight w:val="0"/>
              <w:marTop w:val="0"/>
              <w:marBottom w:val="0"/>
              <w:divBdr>
                <w:top w:val="none" w:sz="0" w:space="0" w:color="auto"/>
                <w:left w:val="none" w:sz="0" w:space="0" w:color="auto"/>
                <w:bottom w:val="none" w:sz="0" w:space="0" w:color="auto"/>
                <w:right w:val="none" w:sz="0" w:space="0" w:color="auto"/>
              </w:divBdr>
              <w:divsChild>
                <w:div w:id="29385201">
                  <w:marLeft w:val="0"/>
                  <w:marRight w:val="0"/>
                  <w:marTop w:val="0"/>
                  <w:marBottom w:val="0"/>
                  <w:divBdr>
                    <w:top w:val="none" w:sz="0" w:space="0" w:color="auto"/>
                    <w:left w:val="none" w:sz="0" w:space="0" w:color="auto"/>
                    <w:bottom w:val="none" w:sz="0" w:space="0" w:color="auto"/>
                    <w:right w:val="none" w:sz="0" w:space="0" w:color="auto"/>
                  </w:divBdr>
                </w:div>
              </w:divsChild>
            </w:div>
            <w:div w:id="551500068">
              <w:marLeft w:val="0"/>
              <w:marRight w:val="0"/>
              <w:marTop w:val="0"/>
              <w:marBottom w:val="0"/>
              <w:divBdr>
                <w:top w:val="none" w:sz="0" w:space="0" w:color="auto"/>
                <w:left w:val="none" w:sz="0" w:space="0" w:color="auto"/>
                <w:bottom w:val="none" w:sz="0" w:space="0" w:color="auto"/>
                <w:right w:val="none" w:sz="0" w:space="0" w:color="auto"/>
              </w:divBdr>
              <w:divsChild>
                <w:div w:id="848912131">
                  <w:marLeft w:val="0"/>
                  <w:marRight w:val="0"/>
                  <w:marTop w:val="0"/>
                  <w:marBottom w:val="0"/>
                  <w:divBdr>
                    <w:top w:val="none" w:sz="0" w:space="0" w:color="auto"/>
                    <w:left w:val="none" w:sz="0" w:space="0" w:color="auto"/>
                    <w:bottom w:val="none" w:sz="0" w:space="0" w:color="auto"/>
                    <w:right w:val="none" w:sz="0" w:space="0" w:color="auto"/>
                  </w:divBdr>
                </w:div>
              </w:divsChild>
            </w:div>
            <w:div w:id="1942176034">
              <w:marLeft w:val="0"/>
              <w:marRight w:val="0"/>
              <w:marTop w:val="0"/>
              <w:marBottom w:val="0"/>
              <w:divBdr>
                <w:top w:val="none" w:sz="0" w:space="0" w:color="auto"/>
                <w:left w:val="none" w:sz="0" w:space="0" w:color="auto"/>
                <w:bottom w:val="none" w:sz="0" w:space="0" w:color="auto"/>
                <w:right w:val="none" w:sz="0" w:space="0" w:color="auto"/>
              </w:divBdr>
              <w:divsChild>
                <w:div w:id="840706941">
                  <w:marLeft w:val="0"/>
                  <w:marRight w:val="0"/>
                  <w:marTop w:val="0"/>
                  <w:marBottom w:val="0"/>
                  <w:divBdr>
                    <w:top w:val="none" w:sz="0" w:space="0" w:color="auto"/>
                    <w:left w:val="none" w:sz="0" w:space="0" w:color="auto"/>
                    <w:bottom w:val="none" w:sz="0" w:space="0" w:color="auto"/>
                    <w:right w:val="none" w:sz="0" w:space="0" w:color="auto"/>
                  </w:divBdr>
                </w:div>
              </w:divsChild>
            </w:div>
            <w:div w:id="1108231929">
              <w:marLeft w:val="0"/>
              <w:marRight w:val="0"/>
              <w:marTop w:val="0"/>
              <w:marBottom w:val="0"/>
              <w:divBdr>
                <w:top w:val="none" w:sz="0" w:space="0" w:color="auto"/>
                <w:left w:val="none" w:sz="0" w:space="0" w:color="auto"/>
                <w:bottom w:val="none" w:sz="0" w:space="0" w:color="auto"/>
                <w:right w:val="none" w:sz="0" w:space="0" w:color="auto"/>
              </w:divBdr>
              <w:divsChild>
                <w:div w:id="1316912188">
                  <w:marLeft w:val="0"/>
                  <w:marRight w:val="0"/>
                  <w:marTop w:val="0"/>
                  <w:marBottom w:val="0"/>
                  <w:divBdr>
                    <w:top w:val="none" w:sz="0" w:space="0" w:color="auto"/>
                    <w:left w:val="none" w:sz="0" w:space="0" w:color="auto"/>
                    <w:bottom w:val="none" w:sz="0" w:space="0" w:color="auto"/>
                    <w:right w:val="none" w:sz="0" w:space="0" w:color="auto"/>
                  </w:divBdr>
                </w:div>
              </w:divsChild>
            </w:div>
            <w:div w:id="665594828">
              <w:marLeft w:val="0"/>
              <w:marRight w:val="0"/>
              <w:marTop w:val="0"/>
              <w:marBottom w:val="0"/>
              <w:divBdr>
                <w:top w:val="none" w:sz="0" w:space="0" w:color="auto"/>
                <w:left w:val="none" w:sz="0" w:space="0" w:color="auto"/>
                <w:bottom w:val="none" w:sz="0" w:space="0" w:color="auto"/>
                <w:right w:val="none" w:sz="0" w:space="0" w:color="auto"/>
              </w:divBdr>
              <w:divsChild>
                <w:div w:id="1488011399">
                  <w:marLeft w:val="0"/>
                  <w:marRight w:val="0"/>
                  <w:marTop w:val="0"/>
                  <w:marBottom w:val="0"/>
                  <w:divBdr>
                    <w:top w:val="none" w:sz="0" w:space="0" w:color="auto"/>
                    <w:left w:val="none" w:sz="0" w:space="0" w:color="auto"/>
                    <w:bottom w:val="none" w:sz="0" w:space="0" w:color="auto"/>
                    <w:right w:val="none" w:sz="0" w:space="0" w:color="auto"/>
                  </w:divBdr>
                </w:div>
              </w:divsChild>
            </w:div>
            <w:div w:id="703605248">
              <w:marLeft w:val="0"/>
              <w:marRight w:val="0"/>
              <w:marTop w:val="0"/>
              <w:marBottom w:val="0"/>
              <w:divBdr>
                <w:top w:val="none" w:sz="0" w:space="0" w:color="auto"/>
                <w:left w:val="none" w:sz="0" w:space="0" w:color="auto"/>
                <w:bottom w:val="none" w:sz="0" w:space="0" w:color="auto"/>
                <w:right w:val="none" w:sz="0" w:space="0" w:color="auto"/>
              </w:divBdr>
              <w:divsChild>
                <w:div w:id="1182747097">
                  <w:marLeft w:val="0"/>
                  <w:marRight w:val="0"/>
                  <w:marTop w:val="0"/>
                  <w:marBottom w:val="0"/>
                  <w:divBdr>
                    <w:top w:val="none" w:sz="0" w:space="0" w:color="auto"/>
                    <w:left w:val="none" w:sz="0" w:space="0" w:color="auto"/>
                    <w:bottom w:val="none" w:sz="0" w:space="0" w:color="auto"/>
                    <w:right w:val="none" w:sz="0" w:space="0" w:color="auto"/>
                  </w:divBdr>
                </w:div>
              </w:divsChild>
            </w:div>
            <w:div w:id="612445395">
              <w:marLeft w:val="0"/>
              <w:marRight w:val="0"/>
              <w:marTop w:val="0"/>
              <w:marBottom w:val="0"/>
              <w:divBdr>
                <w:top w:val="none" w:sz="0" w:space="0" w:color="auto"/>
                <w:left w:val="none" w:sz="0" w:space="0" w:color="auto"/>
                <w:bottom w:val="none" w:sz="0" w:space="0" w:color="auto"/>
                <w:right w:val="none" w:sz="0" w:space="0" w:color="auto"/>
              </w:divBdr>
              <w:divsChild>
                <w:div w:id="1571428441">
                  <w:marLeft w:val="0"/>
                  <w:marRight w:val="0"/>
                  <w:marTop w:val="0"/>
                  <w:marBottom w:val="0"/>
                  <w:divBdr>
                    <w:top w:val="none" w:sz="0" w:space="0" w:color="auto"/>
                    <w:left w:val="none" w:sz="0" w:space="0" w:color="auto"/>
                    <w:bottom w:val="none" w:sz="0" w:space="0" w:color="auto"/>
                    <w:right w:val="none" w:sz="0" w:space="0" w:color="auto"/>
                  </w:divBdr>
                </w:div>
              </w:divsChild>
            </w:div>
            <w:div w:id="1713722508">
              <w:marLeft w:val="0"/>
              <w:marRight w:val="0"/>
              <w:marTop w:val="0"/>
              <w:marBottom w:val="0"/>
              <w:divBdr>
                <w:top w:val="none" w:sz="0" w:space="0" w:color="auto"/>
                <w:left w:val="none" w:sz="0" w:space="0" w:color="auto"/>
                <w:bottom w:val="none" w:sz="0" w:space="0" w:color="auto"/>
                <w:right w:val="none" w:sz="0" w:space="0" w:color="auto"/>
              </w:divBdr>
              <w:divsChild>
                <w:div w:id="1007439707">
                  <w:marLeft w:val="0"/>
                  <w:marRight w:val="0"/>
                  <w:marTop w:val="0"/>
                  <w:marBottom w:val="0"/>
                  <w:divBdr>
                    <w:top w:val="none" w:sz="0" w:space="0" w:color="auto"/>
                    <w:left w:val="none" w:sz="0" w:space="0" w:color="auto"/>
                    <w:bottom w:val="none" w:sz="0" w:space="0" w:color="auto"/>
                    <w:right w:val="none" w:sz="0" w:space="0" w:color="auto"/>
                  </w:divBdr>
                </w:div>
              </w:divsChild>
            </w:div>
            <w:div w:id="2078356040">
              <w:marLeft w:val="0"/>
              <w:marRight w:val="0"/>
              <w:marTop w:val="0"/>
              <w:marBottom w:val="0"/>
              <w:divBdr>
                <w:top w:val="none" w:sz="0" w:space="0" w:color="auto"/>
                <w:left w:val="none" w:sz="0" w:space="0" w:color="auto"/>
                <w:bottom w:val="none" w:sz="0" w:space="0" w:color="auto"/>
                <w:right w:val="none" w:sz="0" w:space="0" w:color="auto"/>
              </w:divBdr>
              <w:divsChild>
                <w:div w:id="540559388">
                  <w:marLeft w:val="0"/>
                  <w:marRight w:val="0"/>
                  <w:marTop w:val="0"/>
                  <w:marBottom w:val="0"/>
                  <w:divBdr>
                    <w:top w:val="none" w:sz="0" w:space="0" w:color="auto"/>
                    <w:left w:val="none" w:sz="0" w:space="0" w:color="auto"/>
                    <w:bottom w:val="none" w:sz="0" w:space="0" w:color="auto"/>
                    <w:right w:val="none" w:sz="0" w:space="0" w:color="auto"/>
                  </w:divBdr>
                </w:div>
              </w:divsChild>
            </w:div>
            <w:div w:id="1058164663">
              <w:marLeft w:val="0"/>
              <w:marRight w:val="0"/>
              <w:marTop w:val="0"/>
              <w:marBottom w:val="0"/>
              <w:divBdr>
                <w:top w:val="none" w:sz="0" w:space="0" w:color="auto"/>
                <w:left w:val="none" w:sz="0" w:space="0" w:color="auto"/>
                <w:bottom w:val="none" w:sz="0" w:space="0" w:color="auto"/>
                <w:right w:val="none" w:sz="0" w:space="0" w:color="auto"/>
              </w:divBdr>
              <w:divsChild>
                <w:div w:id="229467245">
                  <w:marLeft w:val="0"/>
                  <w:marRight w:val="0"/>
                  <w:marTop w:val="0"/>
                  <w:marBottom w:val="0"/>
                  <w:divBdr>
                    <w:top w:val="none" w:sz="0" w:space="0" w:color="auto"/>
                    <w:left w:val="none" w:sz="0" w:space="0" w:color="auto"/>
                    <w:bottom w:val="none" w:sz="0" w:space="0" w:color="auto"/>
                    <w:right w:val="none" w:sz="0" w:space="0" w:color="auto"/>
                  </w:divBdr>
                </w:div>
              </w:divsChild>
            </w:div>
            <w:div w:id="1294091518">
              <w:marLeft w:val="0"/>
              <w:marRight w:val="0"/>
              <w:marTop w:val="0"/>
              <w:marBottom w:val="0"/>
              <w:divBdr>
                <w:top w:val="none" w:sz="0" w:space="0" w:color="auto"/>
                <w:left w:val="none" w:sz="0" w:space="0" w:color="auto"/>
                <w:bottom w:val="none" w:sz="0" w:space="0" w:color="auto"/>
                <w:right w:val="none" w:sz="0" w:space="0" w:color="auto"/>
              </w:divBdr>
              <w:divsChild>
                <w:div w:id="939408937">
                  <w:marLeft w:val="0"/>
                  <w:marRight w:val="0"/>
                  <w:marTop w:val="0"/>
                  <w:marBottom w:val="0"/>
                  <w:divBdr>
                    <w:top w:val="none" w:sz="0" w:space="0" w:color="auto"/>
                    <w:left w:val="none" w:sz="0" w:space="0" w:color="auto"/>
                    <w:bottom w:val="none" w:sz="0" w:space="0" w:color="auto"/>
                    <w:right w:val="none" w:sz="0" w:space="0" w:color="auto"/>
                  </w:divBdr>
                </w:div>
              </w:divsChild>
            </w:div>
            <w:div w:id="1433625801">
              <w:marLeft w:val="0"/>
              <w:marRight w:val="0"/>
              <w:marTop w:val="0"/>
              <w:marBottom w:val="0"/>
              <w:divBdr>
                <w:top w:val="none" w:sz="0" w:space="0" w:color="auto"/>
                <w:left w:val="none" w:sz="0" w:space="0" w:color="auto"/>
                <w:bottom w:val="none" w:sz="0" w:space="0" w:color="auto"/>
                <w:right w:val="none" w:sz="0" w:space="0" w:color="auto"/>
              </w:divBdr>
              <w:divsChild>
                <w:div w:id="1711954525">
                  <w:marLeft w:val="0"/>
                  <w:marRight w:val="0"/>
                  <w:marTop w:val="0"/>
                  <w:marBottom w:val="0"/>
                  <w:divBdr>
                    <w:top w:val="none" w:sz="0" w:space="0" w:color="auto"/>
                    <w:left w:val="none" w:sz="0" w:space="0" w:color="auto"/>
                    <w:bottom w:val="none" w:sz="0" w:space="0" w:color="auto"/>
                    <w:right w:val="none" w:sz="0" w:space="0" w:color="auto"/>
                  </w:divBdr>
                </w:div>
              </w:divsChild>
            </w:div>
            <w:div w:id="1771463035">
              <w:marLeft w:val="0"/>
              <w:marRight w:val="0"/>
              <w:marTop w:val="0"/>
              <w:marBottom w:val="0"/>
              <w:divBdr>
                <w:top w:val="none" w:sz="0" w:space="0" w:color="auto"/>
                <w:left w:val="none" w:sz="0" w:space="0" w:color="auto"/>
                <w:bottom w:val="none" w:sz="0" w:space="0" w:color="auto"/>
                <w:right w:val="none" w:sz="0" w:space="0" w:color="auto"/>
              </w:divBdr>
              <w:divsChild>
                <w:div w:id="296376492">
                  <w:marLeft w:val="0"/>
                  <w:marRight w:val="0"/>
                  <w:marTop w:val="0"/>
                  <w:marBottom w:val="0"/>
                  <w:divBdr>
                    <w:top w:val="none" w:sz="0" w:space="0" w:color="auto"/>
                    <w:left w:val="none" w:sz="0" w:space="0" w:color="auto"/>
                    <w:bottom w:val="none" w:sz="0" w:space="0" w:color="auto"/>
                    <w:right w:val="none" w:sz="0" w:space="0" w:color="auto"/>
                  </w:divBdr>
                </w:div>
              </w:divsChild>
            </w:div>
            <w:div w:id="1509371378">
              <w:marLeft w:val="0"/>
              <w:marRight w:val="0"/>
              <w:marTop w:val="0"/>
              <w:marBottom w:val="0"/>
              <w:divBdr>
                <w:top w:val="none" w:sz="0" w:space="0" w:color="auto"/>
                <w:left w:val="none" w:sz="0" w:space="0" w:color="auto"/>
                <w:bottom w:val="none" w:sz="0" w:space="0" w:color="auto"/>
                <w:right w:val="none" w:sz="0" w:space="0" w:color="auto"/>
              </w:divBdr>
              <w:divsChild>
                <w:div w:id="1345136245">
                  <w:marLeft w:val="0"/>
                  <w:marRight w:val="0"/>
                  <w:marTop w:val="0"/>
                  <w:marBottom w:val="0"/>
                  <w:divBdr>
                    <w:top w:val="none" w:sz="0" w:space="0" w:color="auto"/>
                    <w:left w:val="none" w:sz="0" w:space="0" w:color="auto"/>
                    <w:bottom w:val="none" w:sz="0" w:space="0" w:color="auto"/>
                    <w:right w:val="none" w:sz="0" w:space="0" w:color="auto"/>
                  </w:divBdr>
                </w:div>
              </w:divsChild>
            </w:div>
            <w:div w:id="347948090">
              <w:marLeft w:val="0"/>
              <w:marRight w:val="0"/>
              <w:marTop w:val="0"/>
              <w:marBottom w:val="0"/>
              <w:divBdr>
                <w:top w:val="none" w:sz="0" w:space="0" w:color="auto"/>
                <w:left w:val="none" w:sz="0" w:space="0" w:color="auto"/>
                <w:bottom w:val="none" w:sz="0" w:space="0" w:color="auto"/>
                <w:right w:val="none" w:sz="0" w:space="0" w:color="auto"/>
              </w:divBdr>
              <w:divsChild>
                <w:div w:id="1120220354">
                  <w:marLeft w:val="0"/>
                  <w:marRight w:val="0"/>
                  <w:marTop w:val="0"/>
                  <w:marBottom w:val="0"/>
                  <w:divBdr>
                    <w:top w:val="none" w:sz="0" w:space="0" w:color="auto"/>
                    <w:left w:val="none" w:sz="0" w:space="0" w:color="auto"/>
                    <w:bottom w:val="none" w:sz="0" w:space="0" w:color="auto"/>
                    <w:right w:val="none" w:sz="0" w:space="0" w:color="auto"/>
                  </w:divBdr>
                </w:div>
              </w:divsChild>
            </w:div>
            <w:div w:id="1868055992">
              <w:marLeft w:val="0"/>
              <w:marRight w:val="0"/>
              <w:marTop w:val="0"/>
              <w:marBottom w:val="0"/>
              <w:divBdr>
                <w:top w:val="none" w:sz="0" w:space="0" w:color="auto"/>
                <w:left w:val="none" w:sz="0" w:space="0" w:color="auto"/>
                <w:bottom w:val="none" w:sz="0" w:space="0" w:color="auto"/>
                <w:right w:val="none" w:sz="0" w:space="0" w:color="auto"/>
              </w:divBdr>
              <w:divsChild>
                <w:div w:id="331299296">
                  <w:marLeft w:val="0"/>
                  <w:marRight w:val="0"/>
                  <w:marTop w:val="0"/>
                  <w:marBottom w:val="0"/>
                  <w:divBdr>
                    <w:top w:val="none" w:sz="0" w:space="0" w:color="auto"/>
                    <w:left w:val="none" w:sz="0" w:space="0" w:color="auto"/>
                    <w:bottom w:val="none" w:sz="0" w:space="0" w:color="auto"/>
                    <w:right w:val="none" w:sz="0" w:space="0" w:color="auto"/>
                  </w:divBdr>
                </w:div>
              </w:divsChild>
            </w:div>
            <w:div w:id="150410880">
              <w:marLeft w:val="0"/>
              <w:marRight w:val="0"/>
              <w:marTop w:val="0"/>
              <w:marBottom w:val="0"/>
              <w:divBdr>
                <w:top w:val="none" w:sz="0" w:space="0" w:color="auto"/>
                <w:left w:val="none" w:sz="0" w:space="0" w:color="auto"/>
                <w:bottom w:val="none" w:sz="0" w:space="0" w:color="auto"/>
                <w:right w:val="none" w:sz="0" w:space="0" w:color="auto"/>
              </w:divBdr>
              <w:divsChild>
                <w:div w:id="1123035553">
                  <w:marLeft w:val="0"/>
                  <w:marRight w:val="0"/>
                  <w:marTop w:val="0"/>
                  <w:marBottom w:val="0"/>
                  <w:divBdr>
                    <w:top w:val="none" w:sz="0" w:space="0" w:color="auto"/>
                    <w:left w:val="none" w:sz="0" w:space="0" w:color="auto"/>
                    <w:bottom w:val="none" w:sz="0" w:space="0" w:color="auto"/>
                    <w:right w:val="none" w:sz="0" w:space="0" w:color="auto"/>
                  </w:divBdr>
                </w:div>
              </w:divsChild>
            </w:div>
            <w:div w:id="1270165650">
              <w:marLeft w:val="0"/>
              <w:marRight w:val="0"/>
              <w:marTop w:val="0"/>
              <w:marBottom w:val="0"/>
              <w:divBdr>
                <w:top w:val="none" w:sz="0" w:space="0" w:color="auto"/>
                <w:left w:val="none" w:sz="0" w:space="0" w:color="auto"/>
                <w:bottom w:val="none" w:sz="0" w:space="0" w:color="auto"/>
                <w:right w:val="none" w:sz="0" w:space="0" w:color="auto"/>
              </w:divBdr>
              <w:divsChild>
                <w:div w:id="902716591">
                  <w:marLeft w:val="0"/>
                  <w:marRight w:val="0"/>
                  <w:marTop w:val="0"/>
                  <w:marBottom w:val="0"/>
                  <w:divBdr>
                    <w:top w:val="none" w:sz="0" w:space="0" w:color="auto"/>
                    <w:left w:val="none" w:sz="0" w:space="0" w:color="auto"/>
                    <w:bottom w:val="none" w:sz="0" w:space="0" w:color="auto"/>
                    <w:right w:val="none" w:sz="0" w:space="0" w:color="auto"/>
                  </w:divBdr>
                </w:div>
              </w:divsChild>
            </w:div>
            <w:div w:id="622883223">
              <w:marLeft w:val="0"/>
              <w:marRight w:val="0"/>
              <w:marTop w:val="0"/>
              <w:marBottom w:val="0"/>
              <w:divBdr>
                <w:top w:val="none" w:sz="0" w:space="0" w:color="auto"/>
                <w:left w:val="none" w:sz="0" w:space="0" w:color="auto"/>
                <w:bottom w:val="none" w:sz="0" w:space="0" w:color="auto"/>
                <w:right w:val="none" w:sz="0" w:space="0" w:color="auto"/>
              </w:divBdr>
              <w:divsChild>
                <w:div w:id="1121921598">
                  <w:marLeft w:val="0"/>
                  <w:marRight w:val="0"/>
                  <w:marTop w:val="0"/>
                  <w:marBottom w:val="0"/>
                  <w:divBdr>
                    <w:top w:val="none" w:sz="0" w:space="0" w:color="auto"/>
                    <w:left w:val="none" w:sz="0" w:space="0" w:color="auto"/>
                    <w:bottom w:val="none" w:sz="0" w:space="0" w:color="auto"/>
                    <w:right w:val="none" w:sz="0" w:space="0" w:color="auto"/>
                  </w:divBdr>
                </w:div>
              </w:divsChild>
            </w:div>
            <w:div w:id="1128619581">
              <w:marLeft w:val="0"/>
              <w:marRight w:val="0"/>
              <w:marTop w:val="0"/>
              <w:marBottom w:val="0"/>
              <w:divBdr>
                <w:top w:val="none" w:sz="0" w:space="0" w:color="auto"/>
                <w:left w:val="none" w:sz="0" w:space="0" w:color="auto"/>
                <w:bottom w:val="none" w:sz="0" w:space="0" w:color="auto"/>
                <w:right w:val="none" w:sz="0" w:space="0" w:color="auto"/>
              </w:divBdr>
              <w:divsChild>
                <w:div w:id="1558397838">
                  <w:marLeft w:val="0"/>
                  <w:marRight w:val="0"/>
                  <w:marTop w:val="0"/>
                  <w:marBottom w:val="0"/>
                  <w:divBdr>
                    <w:top w:val="none" w:sz="0" w:space="0" w:color="auto"/>
                    <w:left w:val="none" w:sz="0" w:space="0" w:color="auto"/>
                    <w:bottom w:val="none" w:sz="0" w:space="0" w:color="auto"/>
                    <w:right w:val="none" w:sz="0" w:space="0" w:color="auto"/>
                  </w:divBdr>
                </w:div>
              </w:divsChild>
            </w:div>
            <w:div w:id="225914543">
              <w:marLeft w:val="0"/>
              <w:marRight w:val="0"/>
              <w:marTop w:val="0"/>
              <w:marBottom w:val="0"/>
              <w:divBdr>
                <w:top w:val="none" w:sz="0" w:space="0" w:color="auto"/>
                <w:left w:val="none" w:sz="0" w:space="0" w:color="auto"/>
                <w:bottom w:val="none" w:sz="0" w:space="0" w:color="auto"/>
                <w:right w:val="none" w:sz="0" w:space="0" w:color="auto"/>
              </w:divBdr>
              <w:divsChild>
                <w:div w:id="2008900872">
                  <w:marLeft w:val="0"/>
                  <w:marRight w:val="0"/>
                  <w:marTop w:val="0"/>
                  <w:marBottom w:val="0"/>
                  <w:divBdr>
                    <w:top w:val="none" w:sz="0" w:space="0" w:color="auto"/>
                    <w:left w:val="none" w:sz="0" w:space="0" w:color="auto"/>
                    <w:bottom w:val="none" w:sz="0" w:space="0" w:color="auto"/>
                    <w:right w:val="none" w:sz="0" w:space="0" w:color="auto"/>
                  </w:divBdr>
                </w:div>
              </w:divsChild>
            </w:div>
            <w:div w:id="575743451">
              <w:marLeft w:val="0"/>
              <w:marRight w:val="0"/>
              <w:marTop w:val="0"/>
              <w:marBottom w:val="0"/>
              <w:divBdr>
                <w:top w:val="none" w:sz="0" w:space="0" w:color="auto"/>
                <w:left w:val="none" w:sz="0" w:space="0" w:color="auto"/>
                <w:bottom w:val="none" w:sz="0" w:space="0" w:color="auto"/>
                <w:right w:val="none" w:sz="0" w:space="0" w:color="auto"/>
              </w:divBdr>
              <w:divsChild>
                <w:div w:id="2018847187">
                  <w:marLeft w:val="0"/>
                  <w:marRight w:val="0"/>
                  <w:marTop w:val="0"/>
                  <w:marBottom w:val="0"/>
                  <w:divBdr>
                    <w:top w:val="none" w:sz="0" w:space="0" w:color="auto"/>
                    <w:left w:val="none" w:sz="0" w:space="0" w:color="auto"/>
                    <w:bottom w:val="none" w:sz="0" w:space="0" w:color="auto"/>
                    <w:right w:val="none" w:sz="0" w:space="0" w:color="auto"/>
                  </w:divBdr>
                </w:div>
              </w:divsChild>
            </w:div>
            <w:div w:id="9259734">
              <w:marLeft w:val="0"/>
              <w:marRight w:val="0"/>
              <w:marTop w:val="0"/>
              <w:marBottom w:val="0"/>
              <w:divBdr>
                <w:top w:val="none" w:sz="0" w:space="0" w:color="auto"/>
                <w:left w:val="none" w:sz="0" w:space="0" w:color="auto"/>
                <w:bottom w:val="none" w:sz="0" w:space="0" w:color="auto"/>
                <w:right w:val="none" w:sz="0" w:space="0" w:color="auto"/>
              </w:divBdr>
              <w:divsChild>
                <w:div w:id="1226405676">
                  <w:marLeft w:val="0"/>
                  <w:marRight w:val="0"/>
                  <w:marTop w:val="0"/>
                  <w:marBottom w:val="0"/>
                  <w:divBdr>
                    <w:top w:val="none" w:sz="0" w:space="0" w:color="auto"/>
                    <w:left w:val="none" w:sz="0" w:space="0" w:color="auto"/>
                    <w:bottom w:val="none" w:sz="0" w:space="0" w:color="auto"/>
                    <w:right w:val="none" w:sz="0" w:space="0" w:color="auto"/>
                  </w:divBdr>
                </w:div>
              </w:divsChild>
            </w:div>
            <w:div w:id="1109619286">
              <w:marLeft w:val="0"/>
              <w:marRight w:val="0"/>
              <w:marTop w:val="0"/>
              <w:marBottom w:val="0"/>
              <w:divBdr>
                <w:top w:val="none" w:sz="0" w:space="0" w:color="auto"/>
                <w:left w:val="none" w:sz="0" w:space="0" w:color="auto"/>
                <w:bottom w:val="none" w:sz="0" w:space="0" w:color="auto"/>
                <w:right w:val="none" w:sz="0" w:space="0" w:color="auto"/>
              </w:divBdr>
              <w:divsChild>
                <w:div w:id="402723790">
                  <w:marLeft w:val="0"/>
                  <w:marRight w:val="0"/>
                  <w:marTop w:val="0"/>
                  <w:marBottom w:val="0"/>
                  <w:divBdr>
                    <w:top w:val="none" w:sz="0" w:space="0" w:color="auto"/>
                    <w:left w:val="none" w:sz="0" w:space="0" w:color="auto"/>
                    <w:bottom w:val="none" w:sz="0" w:space="0" w:color="auto"/>
                    <w:right w:val="none" w:sz="0" w:space="0" w:color="auto"/>
                  </w:divBdr>
                </w:div>
              </w:divsChild>
            </w:div>
            <w:div w:id="748768997">
              <w:marLeft w:val="0"/>
              <w:marRight w:val="0"/>
              <w:marTop w:val="0"/>
              <w:marBottom w:val="0"/>
              <w:divBdr>
                <w:top w:val="none" w:sz="0" w:space="0" w:color="auto"/>
                <w:left w:val="none" w:sz="0" w:space="0" w:color="auto"/>
                <w:bottom w:val="none" w:sz="0" w:space="0" w:color="auto"/>
                <w:right w:val="none" w:sz="0" w:space="0" w:color="auto"/>
              </w:divBdr>
              <w:divsChild>
                <w:div w:id="1764258001">
                  <w:marLeft w:val="0"/>
                  <w:marRight w:val="0"/>
                  <w:marTop w:val="0"/>
                  <w:marBottom w:val="0"/>
                  <w:divBdr>
                    <w:top w:val="none" w:sz="0" w:space="0" w:color="auto"/>
                    <w:left w:val="none" w:sz="0" w:space="0" w:color="auto"/>
                    <w:bottom w:val="none" w:sz="0" w:space="0" w:color="auto"/>
                    <w:right w:val="none" w:sz="0" w:space="0" w:color="auto"/>
                  </w:divBdr>
                </w:div>
              </w:divsChild>
            </w:div>
            <w:div w:id="1600334825">
              <w:marLeft w:val="0"/>
              <w:marRight w:val="0"/>
              <w:marTop w:val="0"/>
              <w:marBottom w:val="0"/>
              <w:divBdr>
                <w:top w:val="none" w:sz="0" w:space="0" w:color="auto"/>
                <w:left w:val="none" w:sz="0" w:space="0" w:color="auto"/>
                <w:bottom w:val="none" w:sz="0" w:space="0" w:color="auto"/>
                <w:right w:val="none" w:sz="0" w:space="0" w:color="auto"/>
              </w:divBdr>
              <w:divsChild>
                <w:div w:id="1191380508">
                  <w:marLeft w:val="0"/>
                  <w:marRight w:val="0"/>
                  <w:marTop w:val="0"/>
                  <w:marBottom w:val="0"/>
                  <w:divBdr>
                    <w:top w:val="none" w:sz="0" w:space="0" w:color="auto"/>
                    <w:left w:val="none" w:sz="0" w:space="0" w:color="auto"/>
                    <w:bottom w:val="none" w:sz="0" w:space="0" w:color="auto"/>
                    <w:right w:val="none" w:sz="0" w:space="0" w:color="auto"/>
                  </w:divBdr>
                </w:div>
              </w:divsChild>
            </w:div>
            <w:div w:id="530267193">
              <w:marLeft w:val="0"/>
              <w:marRight w:val="0"/>
              <w:marTop w:val="0"/>
              <w:marBottom w:val="0"/>
              <w:divBdr>
                <w:top w:val="none" w:sz="0" w:space="0" w:color="auto"/>
                <w:left w:val="none" w:sz="0" w:space="0" w:color="auto"/>
                <w:bottom w:val="none" w:sz="0" w:space="0" w:color="auto"/>
                <w:right w:val="none" w:sz="0" w:space="0" w:color="auto"/>
              </w:divBdr>
              <w:divsChild>
                <w:div w:id="239677224">
                  <w:marLeft w:val="0"/>
                  <w:marRight w:val="0"/>
                  <w:marTop w:val="0"/>
                  <w:marBottom w:val="0"/>
                  <w:divBdr>
                    <w:top w:val="none" w:sz="0" w:space="0" w:color="auto"/>
                    <w:left w:val="none" w:sz="0" w:space="0" w:color="auto"/>
                    <w:bottom w:val="none" w:sz="0" w:space="0" w:color="auto"/>
                    <w:right w:val="none" w:sz="0" w:space="0" w:color="auto"/>
                  </w:divBdr>
                </w:div>
              </w:divsChild>
            </w:div>
            <w:div w:id="892158485">
              <w:marLeft w:val="0"/>
              <w:marRight w:val="0"/>
              <w:marTop w:val="0"/>
              <w:marBottom w:val="0"/>
              <w:divBdr>
                <w:top w:val="none" w:sz="0" w:space="0" w:color="auto"/>
                <w:left w:val="none" w:sz="0" w:space="0" w:color="auto"/>
                <w:bottom w:val="none" w:sz="0" w:space="0" w:color="auto"/>
                <w:right w:val="none" w:sz="0" w:space="0" w:color="auto"/>
              </w:divBdr>
              <w:divsChild>
                <w:div w:id="1992636695">
                  <w:marLeft w:val="0"/>
                  <w:marRight w:val="0"/>
                  <w:marTop w:val="0"/>
                  <w:marBottom w:val="0"/>
                  <w:divBdr>
                    <w:top w:val="none" w:sz="0" w:space="0" w:color="auto"/>
                    <w:left w:val="none" w:sz="0" w:space="0" w:color="auto"/>
                    <w:bottom w:val="none" w:sz="0" w:space="0" w:color="auto"/>
                    <w:right w:val="none" w:sz="0" w:space="0" w:color="auto"/>
                  </w:divBdr>
                </w:div>
              </w:divsChild>
            </w:div>
            <w:div w:id="903762662">
              <w:marLeft w:val="0"/>
              <w:marRight w:val="0"/>
              <w:marTop w:val="0"/>
              <w:marBottom w:val="0"/>
              <w:divBdr>
                <w:top w:val="none" w:sz="0" w:space="0" w:color="auto"/>
                <w:left w:val="none" w:sz="0" w:space="0" w:color="auto"/>
                <w:bottom w:val="none" w:sz="0" w:space="0" w:color="auto"/>
                <w:right w:val="none" w:sz="0" w:space="0" w:color="auto"/>
              </w:divBdr>
              <w:divsChild>
                <w:div w:id="677923093">
                  <w:marLeft w:val="0"/>
                  <w:marRight w:val="0"/>
                  <w:marTop w:val="0"/>
                  <w:marBottom w:val="0"/>
                  <w:divBdr>
                    <w:top w:val="none" w:sz="0" w:space="0" w:color="auto"/>
                    <w:left w:val="none" w:sz="0" w:space="0" w:color="auto"/>
                    <w:bottom w:val="none" w:sz="0" w:space="0" w:color="auto"/>
                    <w:right w:val="none" w:sz="0" w:space="0" w:color="auto"/>
                  </w:divBdr>
                </w:div>
              </w:divsChild>
            </w:div>
            <w:div w:id="402221806">
              <w:marLeft w:val="0"/>
              <w:marRight w:val="0"/>
              <w:marTop w:val="0"/>
              <w:marBottom w:val="0"/>
              <w:divBdr>
                <w:top w:val="none" w:sz="0" w:space="0" w:color="auto"/>
                <w:left w:val="none" w:sz="0" w:space="0" w:color="auto"/>
                <w:bottom w:val="none" w:sz="0" w:space="0" w:color="auto"/>
                <w:right w:val="none" w:sz="0" w:space="0" w:color="auto"/>
              </w:divBdr>
              <w:divsChild>
                <w:div w:id="1832520318">
                  <w:marLeft w:val="0"/>
                  <w:marRight w:val="0"/>
                  <w:marTop w:val="0"/>
                  <w:marBottom w:val="0"/>
                  <w:divBdr>
                    <w:top w:val="none" w:sz="0" w:space="0" w:color="auto"/>
                    <w:left w:val="none" w:sz="0" w:space="0" w:color="auto"/>
                    <w:bottom w:val="none" w:sz="0" w:space="0" w:color="auto"/>
                    <w:right w:val="none" w:sz="0" w:space="0" w:color="auto"/>
                  </w:divBdr>
                </w:div>
              </w:divsChild>
            </w:div>
            <w:div w:id="916790759">
              <w:marLeft w:val="0"/>
              <w:marRight w:val="0"/>
              <w:marTop w:val="0"/>
              <w:marBottom w:val="0"/>
              <w:divBdr>
                <w:top w:val="none" w:sz="0" w:space="0" w:color="auto"/>
                <w:left w:val="none" w:sz="0" w:space="0" w:color="auto"/>
                <w:bottom w:val="none" w:sz="0" w:space="0" w:color="auto"/>
                <w:right w:val="none" w:sz="0" w:space="0" w:color="auto"/>
              </w:divBdr>
              <w:divsChild>
                <w:div w:id="1116096442">
                  <w:marLeft w:val="0"/>
                  <w:marRight w:val="0"/>
                  <w:marTop w:val="0"/>
                  <w:marBottom w:val="0"/>
                  <w:divBdr>
                    <w:top w:val="none" w:sz="0" w:space="0" w:color="auto"/>
                    <w:left w:val="none" w:sz="0" w:space="0" w:color="auto"/>
                    <w:bottom w:val="none" w:sz="0" w:space="0" w:color="auto"/>
                    <w:right w:val="none" w:sz="0" w:space="0" w:color="auto"/>
                  </w:divBdr>
                </w:div>
              </w:divsChild>
            </w:div>
            <w:div w:id="29109911">
              <w:marLeft w:val="0"/>
              <w:marRight w:val="0"/>
              <w:marTop w:val="0"/>
              <w:marBottom w:val="0"/>
              <w:divBdr>
                <w:top w:val="none" w:sz="0" w:space="0" w:color="auto"/>
                <w:left w:val="none" w:sz="0" w:space="0" w:color="auto"/>
                <w:bottom w:val="none" w:sz="0" w:space="0" w:color="auto"/>
                <w:right w:val="none" w:sz="0" w:space="0" w:color="auto"/>
              </w:divBdr>
              <w:divsChild>
                <w:div w:id="800000324">
                  <w:marLeft w:val="0"/>
                  <w:marRight w:val="0"/>
                  <w:marTop w:val="0"/>
                  <w:marBottom w:val="0"/>
                  <w:divBdr>
                    <w:top w:val="none" w:sz="0" w:space="0" w:color="auto"/>
                    <w:left w:val="none" w:sz="0" w:space="0" w:color="auto"/>
                    <w:bottom w:val="none" w:sz="0" w:space="0" w:color="auto"/>
                    <w:right w:val="none" w:sz="0" w:space="0" w:color="auto"/>
                  </w:divBdr>
                </w:div>
              </w:divsChild>
            </w:div>
            <w:div w:id="559899810">
              <w:marLeft w:val="0"/>
              <w:marRight w:val="0"/>
              <w:marTop w:val="0"/>
              <w:marBottom w:val="0"/>
              <w:divBdr>
                <w:top w:val="none" w:sz="0" w:space="0" w:color="auto"/>
                <w:left w:val="none" w:sz="0" w:space="0" w:color="auto"/>
                <w:bottom w:val="none" w:sz="0" w:space="0" w:color="auto"/>
                <w:right w:val="none" w:sz="0" w:space="0" w:color="auto"/>
              </w:divBdr>
              <w:divsChild>
                <w:div w:id="1575773776">
                  <w:marLeft w:val="0"/>
                  <w:marRight w:val="0"/>
                  <w:marTop w:val="0"/>
                  <w:marBottom w:val="0"/>
                  <w:divBdr>
                    <w:top w:val="none" w:sz="0" w:space="0" w:color="auto"/>
                    <w:left w:val="none" w:sz="0" w:space="0" w:color="auto"/>
                    <w:bottom w:val="none" w:sz="0" w:space="0" w:color="auto"/>
                    <w:right w:val="none" w:sz="0" w:space="0" w:color="auto"/>
                  </w:divBdr>
                </w:div>
              </w:divsChild>
            </w:div>
            <w:div w:id="1529105844">
              <w:marLeft w:val="0"/>
              <w:marRight w:val="0"/>
              <w:marTop w:val="0"/>
              <w:marBottom w:val="0"/>
              <w:divBdr>
                <w:top w:val="none" w:sz="0" w:space="0" w:color="auto"/>
                <w:left w:val="none" w:sz="0" w:space="0" w:color="auto"/>
                <w:bottom w:val="none" w:sz="0" w:space="0" w:color="auto"/>
                <w:right w:val="none" w:sz="0" w:space="0" w:color="auto"/>
              </w:divBdr>
              <w:divsChild>
                <w:div w:id="1385786768">
                  <w:marLeft w:val="0"/>
                  <w:marRight w:val="0"/>
                  <w:marTop w:val="0"/>
                  <w:marBottom w:val="0"/>
                  <w:divBdr>
                    <w:top w:val="none" w:sz="0" w:space="0" w:color="auto"/>
                    <w:left w:val="none" w:sz="0" w:space="0" w:color="auto"/>
                    <w:bottom w:val="none" w:sz="0" w:space="0" w:color="auto"/>
                    <w:right w:val="none" w:sz="0" w:space="0" w:color="auto"/>
                  </w:divBdr>
                </w:div>
              </w:divsChild>
            </w:div>
            <w:div w:id="1875924717">
              <w:marLeft w:val="0"/>
              <w:marRight w:val="0"/>
              <w:marTop w:val="0"/>
              <w:marBottom w:val="0"/>
              <w:divBdr>
                <w:top w:val="none" w:sz="0" w:space="0" w:color="auto"/>
                <w:left w:val="none" w:sz="0" w:space="0" w:color="auto"/>
                <w:bottom w:val="none" w:sz="0" w:space="0" w:color="auto"/>
                <w:right w:val="none" w:sz="0" w:space="0" w:color="auto"/>
              </w:divBdr>
              <w:divsChild>
                <w:div w:id="185871489">
                  <w:marLeft w:val="0"/>
                  <w:marRight w:val="0"/>
                  <w:marTop w:val="0"/>
                  <w:marBottom w:val="0"/>
                  <w:divBdr>
                    <w:top w:val="none" w:sz="0" w:space="0" w:color="auto"/>
                    <w:left w:val="none" w:sz="0" w:space="0" w:color="auto"/>
                    <w:bottom w:val="none" w:sz="0" w:space="0" w:color="auto"/>
                    <w:right w:val="none" w:sz="0" w:space="0" w:color="auto"/>
                  </w:divBdr>
                </w:div>
              </w:divsChild>
            </w:div>
            <w:div w:id="1882329123">
              <w:marLeft w:val="0"/>
              <w:marRight w:val="0"/>
              <w:marTop w:val="0"/>
              <w:marBottom w:val="0"/>
              <w:divBdr>
                <w:top w:val="none" w:sz="0" w:space="0" w:color="auto"/>
                <w:left w:val="none" w:sz="0" w:space="0" w:color="auto"/>
                <w:bottom w:val="none" w:sz="0" w:space="0" w:color="auto"/>
                <w:right w:val="none" w:sz="0" w:space="0" w:color="auto"/>
              </w:divBdr>
              <w:divsChild>
                <w:div w:id="1682465341">
                  <w:marLeft w:val="0"/>
                  <w:marRight w:val="0"/>
                  <w:marTop w:val="0"/>
                  <w:marBottom w:val="0"/>
                  <w:divBdr>
                    <w:top w:val="none" w:sz="0" w:space="0" w:color="auto"/>
                    <w:left w:val="none" w:sz="0" w:space="0" w:color="auto"/>
                    <w:bottom w:val="none" w:sz="0" w:space="0" w:color="auto"/>
                    <w:right w:val="none" w:sz="0" w:space="0" w:color="auto"/>
                  </w:divBdr>
                </w:div>
              </w:divsChild>
            </w:div>
            <w:div w:id="122311864">
              <w:marLeft w:val="0"/>
              <w:marRight w:val="0"/>
              <w:marTop w:val="0"/>
              <w:marBottom w:val="0"/>
              <w:divBdr>
                <w:top w:val="none" w:sz="0" w:space="0" w:color="auto"/>
                <w:left w:val="none" w:sz="0" w:space="0" w:color="auto"/>
                <w:bottom w:val="none" w:sz="0" w:space="0" w:color="auto"/>
                <w:right w:val="none" w:sz="0" w:space="0" w:color="auto"/>
              </w:divBdr>
              <w:divsChild>
                <w:div w:id="646395351">
                  <w:marLeft w:val="0"/>
                  <w:marRight w:val="0"/>
                  <w:marTop w:val="0"/>
                  <w:marBottom w:val="0"/>
                  <w:divBdr>
                    <w:top w:val="none" w:sz="0" w:space="0" w:color="auto"/>
                    <w:left w:val="none" w:sz="0" w:space="0" w:color="auto"/>
                    <w:bottom w:val="none" w:sz="0" w:space="0" w:color="auto"/>
                    <w:right w:val="none" w:sz="0" w:space="0" w:color="auto"/>
                  </w:divBdr>
                </w:div>
              </w:divsChild>
            </w:div>
            <w:div w:id="2083019144">
              <w:marLeft w:val="0"/>
              <w:marRight w:val="0"/>
              <w:marTop w:val="0"/>
              <w:marBottom w:val="0"/>
              <w:divBdr>
                <w:top w:val="none" w:sz="0" w:space="0" w:color="auto"/>
                <w:left w:val="none" w:sz="0" w:space="0" w:color="auto"/>
                <w:bottom w:val="none" w:sz="0" w:space="0" w:color="auto"/>
                <w:right w:val="none" w:sz="0" w:space="0" w:color="auto"/>
              </w:divBdr>
              <w:divsChild>
                <w:div w:id="657732308">
                  <w:marLeft w:val="0"/>
                  <w:marRight w:val="0"/>
                  <w:marTop w:val="0"/>
                  <w:marBottom w:val="0"/>
                  <w:divBdr>
                    <w:top w:val="none" w:sz="0" w:space="0" w:color="auto"/>
                    <w:left w:val="none" w:sz="0" w:space="0" w:color="auto"/>
                    <w:bottom w:val="none" w:sz="0" w:space="0" w:color="auto"/>
                    <w:right w:val="none" w:sz="0" w:space="0" w:color="auto"/>
                  </w:divBdr>
                </w:div>
              </w:divsChild>
            </w:div>
            <w:div w:id="659044693">
              <w:marLeft w:val="0"/>
              <w:marRight w:val="0"/>
              <w:marTop w:val="0"/>
              <w:marBottom w:val="0"/>
              <w:divBdr>
                <w:top w:val="none" w:sz="0" w:space="0" w:color="auto"/>
                <w:left w:val="none" w:sz="0" w:space="0" w:color="auto"/>
                <w:bottom w:val="none" w:sz="0" w:space="0" w:color="auto"/>
                <w:right w:val="none" w:sz="0" w:space="0" w:color="auto"/>
              </w:divBdr>
              <w:divsChild>
                <w:div w:id="1234657471">
                  <w:marLeft w:val="0"/>
                  <w:marRight w:val="0"/>
                  <w:marTop w:val="0"/>
                  <w:marBottom w:val="0"/>
                  <w:divBdr>
                    <w:top w:val="none" w:sz="0" w:space="0" w:color="auto"/>
                    <w:left w:val="none" w:sz="0" w:space="0" w:color="auto"/>
                    <w:bottom w:val="none" w:sz="0" w:space="0" w:color="auto"/>
                    <w:right w:val="none" w:sz="0" w:space="0" w:color="auto"/>
                  </w:divBdr>
                </w:div>
              </w:divsChild>
            </w:div>
            <w:div w:id="1021131077">
              <w:marLeft w:val="0"/>
              <w:marRight w:val="0"/>
              <w:marTop w:val="0"/>
              <w:marBottom w:val="0"/>
              <w:divBdr>
                <w:top w:val="none" w:sz="0" w:space="0" w:color="auto"/>
                <w:left w:val="none" w:sz="0" w:space="0" w:color="auto"/>
                <w:bottom w:val="none" w:sz="0" w:space="0" w:color="auto"/>
                <w:right w:val="none" w:sz="0" w:space="0" w:color="auto"/>
              </w:divBdr>
              <w:divsChild>
                <w:div w:id="500049747">
                  <w:marLeft w:val="0"/>
                  <w:marRight w:val="0"/>
                  <w:marTop w:val="0"/>
                  <w:marBottom w:val="0"/>
                  <w:divBdr>
                    <w:top w:val="none" w:sz="0" w:space="0" w:color="auto"/>
                    <w:left w:val="none" w:sz="0" w:space="0" w:color="auto"/>
                    <w:bottom w:val="none" w:sz="0" w:space="0" w:color="auto"/>
                    <w:right w:val="none" w:sz="0" w:space="0" w:color="auto"/>
                  </w:divBdr>
                </w:div>
              </w:divsChild>
            </w:div>
            <w:div w:id="1070804985">
              <w:marLeft w:val="0"/>
              <w:marRight w:val="0"/>
              <w:marTop w:val="0"/>
              <w:marBottom w:val="0"/>
              <w:divBdr>
                <w:top w:val="none" w:sz="0" w:space="0" w:color="auto"/>
                <w:left w:val="none" w:sz="0" w:space="0" w:color="auto"/>
                <w:bottom w:val="none" w:sz="0" w:space="0" w:color="auto"/>
                <w:right w:val="none" w:sz="0" w:space="0" w:color="auto"/>
              </w:divBdr>
              <w:divsChild>
                <w:div w:id="465975331">
                  <w:marLeft w:val="0"/>
                  <w:marRight w:val="0"/>
                  <w:marTop w:val="0"/>
                  <w:marBottom w:val="0"/>
                  <w:divBdr>
                    <w:top w:val="none" w:sz="0" w:space="0" w:color="auto"/>
                    <w:left w:val="none" w:sz="0" w:space="0" w:color="auto"/>
                    <w:bottom w:val="none" w:sz="0" w:space="0" w:color="auto"/>
                    <w:right w:val="none" w:sz="0" w:space="0" w:color="auto"/>
                  </w:divBdr>
                </w:div>
              </w:divsChild>
            </w:div>
            <w:div w:id="1189755402">
              <w:marLeft w:val="0"/>
              <w:marRight w:val="0"/>
              <w:marTop w:val="0"/>
              <w:marBottom w:val="0"/>
              <w:divBdr>
                <w:top w:val="none" w:sz="0" w:space="0" w:color="auto"/>
                <w:left w:val="none" w:sz="0" w:space="0" w:color="auto"/>
                <w:bottom w:val="none" w:sz="0" w:space="0" w:color="auto"/>
                <w:right w:val="none" w:sz="0" w:space="0" w:color="auto"/>
              </w:divBdr>
              <w:divsChild>
                <w:div w:id="1889950802">
                  <w:marLeft w:val="0"/>
                  <w:marRight w:val="0"/>
                  <w:marTop w:val="0"/>
                  <w:marBottom w:val="0"/>
                  <w:divBdr>
                    <w:top w:val="none" w:sz="0" w:space="0" w:color="auto"/>
                    <w:left w:val="none" w:sz="0" w:space="0" w:color="auto"/>
                    <w:bottom w:val="none" w:sz="0" w:space="0" w:color="auto"/>
                    <w:right w:val="none" w:sz="0" w:space="0" w:color="auto"/>
                  </w:divBdr>
                </w:div>
              </w:divsChild>
            </w:div>
            <w:div w:id="113526221">
              <w:marLeft w:val="0"/>
              <w:marRight w:val="0"/>
              <w:marTop w:val="0"/>
              <w:marBottom w:val="0"/>
              <w:divBdr>
                <w:top w:val="none" w:sz="0" w:space="0" w:color="auto"/>
                <w:left w:val="none" w:sz="0" w:space="0" w:color="auto"/>
                <w:bottom w:val="none" w:sz="0" w:space="0" w:color="auto"/>
                <w:right w:val="none" w:sz="0" w:space="0" w:color="auto"/>
              </w:divBdr>
              <w:divsChild>
                <w:div w:id="70340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05327">
          <w:marLeft w:val="0"/>
          <w:marRight w:val="0"/>
          <w:marTop w:val="0"/>
          <w:marBottom w:val="600"/>
          <w:divBdr>
            <w:top w:val="none" w:sz="0" w:space="0" w:color="auto"/>
            <w:left w:val="none" w:sz="0" w:space="0" w:color="auto"/>
            <w:bottom w:val="none" w:sz="0" w:space="0" w:color="auto"/>
            <w:right w:val="none" w:sz="0" w:space="0" w:color="auto"/>
          </w:divBdr>
        </w:div>
      </w:divsChild>
    </w:div>
    <w:div w:id="459958238">
      <w:marLeft w:val="0"/>
      <w:marRight w:val="0"/>
      <w:marTop w:val="0"/>
      <w:marBottom w:val="0"/>
      <w:divBdr>
        <w:top w:val="none" w:sz="0" w:space="0" w:color="auto"/>
        <w:left w:val="none" w:sz="0" w:space="0" w:color="auto"/>
        <w:bottom w:val="none" w:sz="0" w:space="0" w:color="auto"/>
        <w:right w:val="none" w:sz="0" w:space="0" w:color="auto"/>
      </w:divBdr>
      <w:divsChild>
        <w:div w:id="1251503882">
          <w:marLeft w:val="0"/>
          <w:marRight w:val="0"/>
          <w:marTop w:val="600"/>
          <w:marBottom w:val="0"/>
          <w:divBdr>
            <w:top w:val="none" w:sz="0" w:space="0" w:color="auto"/>
            <w:left w:val="none" w:sz="0" w:space="0" w:color="auto"/>
            <w:bottom w:val="none" w:sz="0" w:space="0" w:color="auto"/>
            <w:right w:val="none" w:sz="0" w:space="0" w:color="auto"/>
          </w:divBdr>
        </w:div>
        <w:div w:id="744647356">
          <w:marLeft w:val="0"/>
          <w:marRight w:val="0"/>
          <w:marTop w:val="0"/>
          <w:marBottom w:val="0"/>
          <w:divBdr>
            <w:top w:val="none" w:sz="0" w:space="0" w:color="auto"/>
            <w:left w:val="none" w:sz="0" w:space="0" w:color="auto"/>
            <w:bottom w:val="none" w:sz="0" w:space="0" w:color="auto"/>
            <w:right w:val="none" w:sz="0" w:space="0" w:color="auto"/>
          </w:divBdr>
          <w:divsChild>
            <w:div w:id="1969238652">
              <w:marLeft w:val="547"/>
              <w:marRight w:val="0"/>
              <w:marTop w:val="0"/>
              <w:marBottom w:val="0"/>
              <w:divBdr>
                <w:top w:val="none" w:sz="0" w:space="0" w:color="auto"/>
                <w:left w:val="none" w:sz="0" w:space="0" w:color="auto"/>
                <w:bottom w:val="none" w:sz="0" w:space="0" w:color="auto"/>
                <w:right w:val="none" w:sz="0" w:space="0" w:color="auto"/>
              </w:divBdr>
            </w:div>
            <w:div w:id="1147354884">
              <w:marLeft w:val="547"/>
              <w:marRight w:val="0"/>
              <w:marTop w:val="0"/>
              <w:marBottom w:val="0"/>
              <w:divBdr>
                <w:top w:val="none" w:sz="0" w:space="0" w:color="auto"/>
                <w:left w:val="none" w:sz="0" w:space="0" w:color="auto"/>
                <w:bottom w:val="none" w:sz="0" w:space="0" w:color="auto"/>
                <w:right w:val="none" w:sz="0" w:space="0" w:color="auto"/>
              </w:divBdr>
            </w:div>
            <w:div w:id="88702082">
              <w:marLeft w:val="547"/>
              <w:marRight w:val="0"/>
              <w:marTop w:val="0"/>
              <w:marBottom w:val="0"/>
              <w:divBdr>
                <w:top w:val="none" w:sz="0" w:space="0" w:color="auto"/>
                <w:left w:val="none" w:sz="0" w:space="0" w:color="auto"/>
                <w:bottom w:val="none" w:sz="0" w:space="0" w:color="auto"/>
                <w:right w:val="none" w:sz="0" w:space="0" w:color="auto"/>
              </w:divBdr>
            </w:div>
            <w:div w:id="1198078061">
              <w:marLeft w:val="547"/>
              <w:marRight w:val="0"/>
              <w:marTop w:val="0"/>
              <w:marBottom w:val="0"/>
              <w:divBdr>
                <w:top w:val="none" w:sz="0" w:space="0" w:color="auto"/>
                <w:left w:val="none" w:sz="0" w:space="0" w:color="auto"/>
                <w:bottom w:val="none" w:sz="0" w:space="0" w:color="auto"/>
                <w:right w:val="none" w:sz="0" w:space="0" w:color="auto"/>
              </w:divBdr>
            </w:div>
            <w:div w:id="1091050866">
              <w:marLeft w:val="547"/>
              <w:marRight w:val="0"/>
              <w:marTop w:val="0"/>
              <w:marBottom w:val="0"/>
              <w:divBdr>
                <w:top w:val="none" w:sz="0" w:space="0" w:color="auto"/>
                <w:left w:val="none" w:sz="0" w:space="0" w:color="auto"/>
                <w:bottom w:val="none" w:sz="0" w:space="0" w:color="auto"/>
                <w:right w:val="none" w:sz="0" w:space="0" w:color="auto"/>
              </w:divBdr>
            </w:div>
            <w:div w:id="743525456">
              <w:marLeft w:val="547"/>
              <w:marRight w:val="0"/>
              <w:marTop w:val="0"/>
              <w:marBottom w:val="0"/>
              <w:divBdr>
                <w:top w:val="none" w:sz="0" w:space="0" w:color="auto"/>
                <w:left w:val="none" w:sz="0" w:space="0" w:color="auto"/>
                <w:bottom w:val="none" w:sz="0" w:space="0" w:color="auto"/>
                <w:right w:val="none" w:sz="0" w:space="0" w:color="auto"/>
              </w:divBdr>
            </w:div>
            <w:div w:id="800726417">
              <w:marLeft w:val="547"/>
              <w:marRight w:val="0"/>
              <w:marTop w:val="0"/>
              <w:marBottom w:val="0"/>
              <w:divBdr>
                <w:top w:val="none" w:sz="0" w:space="0" w:color="auto"/>
                <w:left w:val="none" w:sz="0" w:space="0" w:color="auto"/>
                <w:bottom w:val="none" w:sz="0" w:space="0" w:color="auto"/>
                <w:right w:val="none" w:sz="0" w:space="0" w:color="auto"/>
              </w:divBdr>
            </w:div>
            <w:div w:id="1147278127">
              <w:marLeft w:val="547"/>
              <w:marRight w:val="0"/>
              <w:marTop w:val="0"/>
              <w:marBottom w:val="0"/>
              <w:divBdr>
                <w:top w:val="none" w:sz="0" w:space="0" w:color="auto"/>
                <w:left w:val="none" w:sz="0" w:space="0" w:color="auto"/>
                <w:bottom w:val="none" w:sz="0" w:space="0" w:color="auto"/>
                <w:right w:val="none" w:sz="0" w:space="0" w:color="auto"/>
              </w:divBdr>
            </w:div>
            <w:div w:id="12073708">
              <w:marLeft w:val="547"/>
              <w:marRight w:val="0"/>
              <w:marTop w:val="0"/>
              <w:marBottom w:val="0"/>
              <w:divBdr>
                <w:top w:val="none" w:sz="0" w:space="0" w:color="auto"/>
                <w:left w:val="none" w:sz="0" w:space="0" w:color="auto"/>
                <w:bottom w:val="none" w:sz="0" w:space="0" w:color="auto"/>
                <w:right w:val="none" w:sz="0" w:space="0" w:color="auto"/>
              </w:divBdr>
            </w:div>
            <w:div w:id="446657102">
              <w:marLeft w:val="547"/>
              <w:marRight w:val="0"/>
              <w:marTop w:val="0"/>
              <w:marBottom w:val="0"/>
              <w:divBdr>
                <w:top w:val="none" w:sz="0" w:space="0" w:color="auto"/>
                <w:left w:val="none" w:sz="0" w:space="0" w:color="auto"/>
                <w:bottom w:val="none" w:sz="0" w:space="0" w:color="auto"/>
                <w:right w:val="none" w:sz="0" w:space="0" w:color="auto"/>
              </w:divBdr>
            </w:div>
            <w:div w:id="934706631">
              <w:marLeft w:val="547"/>
              <w:marRight w:val="0"/>
              <w:marTop w:val="0"/>
              <w:marBottom w:val="0"/>
              <w:divBdr>
                <w:top w:val="none" w:sz="0" w:space="0" w:color="auto"/>
                <w:left w:val="none" w:sz="0" w:space="0" w:color="auto"/>
                <w:bottom w:val="none" w:sz="0" w:space="0" w:color="auto"/>
                <w:right w:val="none" w:sz="0" w:space="0" w:color="auto"/>
              </w:divBdr>
            </w:div>
            <w:div w:id="1856454709">
              <w:marLeft w:val="547"/>
              <w:marRight w:val="0"/>
              <w:marTop w:val="0"/>
              <w:marBottom w:val="0"/>
              <w:divBdr>
                <w:top w:val="none" w:sz="0" w:space="0" w:color="auto"/>
                <w:left w:val="none" w:sz="0" w:space="0" w:color="auto"/>
                <w:bottom w:val="none" w:sz="0" w:space="0" w:color="auto"/>
                <w:right w:val="none" w:sz="0" w:space="0" w:color="auto"/>
              </w:divBdr>
            </w:div>
            <w:div w:id="989287754">
              <w:marLeft w:val="547"/>
              <w:marRight w:val="0"/>
              <w:marTop w:val="0"/>
              <w:marBottom w:val="0"/>
              <w:divBdr>
                <w:top w:val="none" w:sz="0" w:space="0" w:color="auto"/>
                <w:left w:val="none" w:sz="0" w:space="0" w:color="auto"/>
                <w:bottom w:val="none" w:sz="0" w:space="0" w:color="auto"/>
                <w:right w:val="none" w:sz="0" w:space="0" w:color="auto"/>
              </w:divBdr>
            </w:div>
          </w:divsChild>
        </w:div>
        <w:div w:id="1153332530">
          <w:marLeft w:val="0"/>
          <w:marRight w:val="0"/>
          <w:marTop w:val="0"/>
          <w:marBottom w:val="600"/>
          <w:divBdr>
            <w:top w:val="none" w:sz="0" w:space="0" w:color="auto"/>
            <w:left w:val="none" w:sz="0" w:space="0" w:color="auto"/>
            <w:bottom w:val="none" w:sz="0" w:space="0" w:color="auto"/>
            <w:right w:val="none" w:sz="0" w:space="0" w:color="auto"/>
          </w:divBdr>
        </w:div>
      </w:divsChild>
    </w:div>
    <w:div w:id="465322750">
      <w:marLeft w:val="0"/>
      <w:marRight w:val="0"/>
      <w:marTop w:val="0"/>
      <w:marBottom w:val="0"/>
      <w:divBdr>
        <w:top w:val="none" w:sz="0" w:space="0" w:color="auto"/>
        <w:left w:val="none" w:sz="0" w:space="0" w:color="auto"/>
        <w:bottom w:val="none" w:sz="0" w:space="0" w:color="auto"/>
        <w:right w:val="none" w:sz="0" w:space="0" w:color="auto"/>
      </w:divBdr>
      <w:divsChild>
        <w:div w:id="669285833">
          <w:marLeft w:val="0"/>
          <w:marRight w:val="0"/>
          <w:marTop w:val="600"/>
          <w:marBottom w:val="0"/>
          <w:divBdr>
            <w:top w:val="none" w:sz="0" w:space="0" w:color="auto"/>
            <w:left w:val="none" w:sz="0" w:space="0" w:color="auto"/>
            <w:bottom w:val="none" w:sz="0" w:space="0" w:color="auto"/>
            <w:right w:val="none" w:sz="0" w:space="0" w:color="auto"/>
          </w:divBdr>
        </w:div>
        <w:div w:id="942499116">
          <w:marLeft w:val="0"/>
          <w:marRight w:val="0"/>
          <w:marTop w:val="0"/>
          <w:marBottom w:val="0"/>
          <w:divBdr>
            <w:top w:val="none" w:sz="0" w:space="0" w:color="auto"/>
            <w:left w:val="none" w:sz="0" w:space="0" w:color="auto"/>
            <w:bottom w:val="none" w:sz="0" w:space="0" w:color="auto"/>
            <w:right w:val="none" w:sz="0" w:space="0" w:color="auto"/>
          </w:divBdr>
        </w:div>
        <w:div w:id="1827041295">
          <w:marLeft w:val="0"/>
          <w:marRight w:val="0"/>
          <w:marTop w:val="0"/>
          <w:marBottom w:val="600"/>
          <w:divBdr>
            <w:top w:val="none" w:sz="0" w:space="0" w:color="auto"/>
            <w:left w:val="none" w:sz="0" w:space="0" w:color="auto"/>
            <w:bottom w:val="none" w:sz="0" w:space="0" w:color="auto"/>
            <w:right w:val="none" w:sz="0" w:space="0" w:color="auto"/>
          </w:divBdr>
        </w:div>
      </w:divsChild>
    </w:div>
    <w:div w:id="489951657">
      <w:marLeft w:val="0"/>
      <w:marRight w:val="0"/>
      <w:marTop w:val="0"/>
      <w:marBottom w:val="0"/>
      <w:divBdr>
        <w:top w:val="none" w:sz="0" w:space="0" w:color="auto"/>
        <w:left w:val="none" w:sz="0" w:space="0" w:color="auto"/>
        <w:bottom w:val="none" w:sz="0" w:space="0" w:color="auto"/>
        <w:right w:val="none" w:sz="0" w:space="0" w:color="auto"/>
      </w:divBdr>
      <w:divsChild>
        <w:div w:id="1314409950">
          <w:marLeft w:val="0"/>
          <w:marRight w:val="0"/>
          <w:marTop w:val="600"/>
          <w:marBottom w:val="0"/>
          <w:divBdr>
            <w:top w:val="none" w:sz="0" w:space="0" w:color="auto"/>
            <w:left w:val="none" w:sz="0" w:space="0" w:color="auto"/>
            <w:bottom w:val="none" w:sz="0" w:space="0" w:color="auto"/>
            <w:right w:val="none" w:sz="0" w:space="0" w:color="auto"/>
          </w:divBdr>
        </w:div>
        <w:div w:id="1252620887">
          <w:marLeft w:val="0"/>
          <w:marRight w:val="0"/>
          <w:marTop w:val="0"/>
          <w:marBottom w:val="0"/>
          <w:divBdr>
            <w:top w:val="none" w:sz="0" w:space="0" w:color="auto"/>
            <w:left w:val="none" w:sz="0" w:space="0" w:color="auto"/>
            <w:bottom w:val="none" w:sz="0" w:space="0" w:color="auto"/>
            <w:right w:val="none" w:sz="0" w:space="0" w:color="auto"/>
          </w:divBdr>
        </w:div>
        <w:div w:id="216556562">
          <w:marLeft w:val="0"/>
          <w:marRight w:val="0"/>
          <w:marTop w:val="0"/>
          <w:marBottom w:val="600"/>
          <w:divBdr>
            <w:top w:val="none" w:sz="0" w:space="0" w:color="auto"/>
            <w:left w:val="none" w:sz="0" w:space="0" w:color="auto"/>
            <w:bottom w:val="none" w:sz="0" w:space="0" w:color="auto"/>
            <w:right w:val="none" w:sz="0" w:space="0" w:color="auto"/>
          </w:divBdr>
        </w:div>
      </w:divsChild>
    </w:div>
    <w:div w:id="548957488">
      <w:marLeft w:val="0"/>
      <w:marRight w:val="0"/>
      <w:marTop w:val="0"/>
      <w:marBottom w:val="0"/>
      <w:divBdr>
        <w:top w:val="none" w:sz="0" w:space="0" w:color="auto"/>
        <w:left w:val="none" w:sz="0" w:space="0" w:color="auto"/>
        <w:bottom w:val="none" w:sz="0" w:space="0" w:color="auto"/>
        <w:right w:val="none" w:sz="0" w:space="0" w:color="auto"/>
      </w:divBdr>
      <w:divsChild>
        <w:div w:id="272521650">
          <w:marLeft w:val="0"/>
          <w:marRight w:val="0"/>
          <w:marTop w:val="600"/>
          <w:marBottom w:val="0"/>
          <w:divBdr>
            <w:top w:val="none" w:sz="0" w:space="0" w:color="auto"/>
            <w:left w:val="none" w:sz="0" w:space="0" w:color="auto"/>
            <w:bottom w:val="none" w:sz="0" w:space="0" w:color="auto"/>
            <w:right w:val="none" w:sz="0" w:space="0" w:color="auto"/>
          </w:divBdr>
        </w:div>
        <w:div w:id="1188637417">
          <w:marLeft w:val="0"/>
          <w:marRight w:val="0"/>
          <w:marTop w:val="0"/>
          <w:marBottom w:val="0"/>
          <w:divBdr>
            <w:top w:val="none" w:sz="0" w:space="0" w:color="auto"/>
            <w:left w:val="none" w:sz="0" w:space="0" w:color="auto"/>
            <w:bottom w:val="none" w:sz="0" w:space="0" w:color="auto"/>
            <w:right w:val="none" w:sz="0" w:space="0" w:color="auto"/>
          </w:divBdr>
          <w:divsChild>
            <w:div w:id="361594105">
              <w:marLeft w:val="547"/>
              <w:marRight w:val="0"/>
              <w:marTop w:val="0"/>
              <w:marBottom w:val="0"/>
              <w:divBdr>
                <w:top w:val="none" w:sz="0" w:space="0" w:color="auto"/>
                <w:left w:val="none" w:sz="0" w:space="0" w:color="auto"/>
                <w:bottom w:val="none" w:sz="0" w:space="0" w:color="auto"/>
                <w:right w:val="none" w:sz="0" w:space="0" w:color="auto"/>
              </w:divBdr>
            </w:div>
            <w:div w:id="2167480">
              <w:marLeft w:val="547"/>
              <w:marRight w:val="0"/>
              <w:marTop w:val="0"/>
              <w:marBottom w:val="0"/>
              <w:divBdr>
                <w:top w:val="none" w:sz="0" w:space="0" w:color="auto"/>
                <w:left w:val="none" w:sz="0" w:space="0" w:color="auto"/>
                <w:bottom w:val="none" w:sz="0" w:space="0" w:color="auto"/>
                <w:right w:val="none" w:sz="0" w:space="0" w:color="auto"/>
              </w:divBdr>
            </w:div>
            <w:div w:id="671298087">
              <w:marLeft w:val="547"/>
              <w:marRight w:val="0"/>
              <w:marTop w:val="0"/>
              <w:marBottom w:val="0"/>
              <w:divBdr>
                <w:top w:val="none" w:sz="0" w:space="0" w:color="auto"/>
                <w:left w:val="none" w:sz="0" w:space="0" w:color="auto"/>
                <w:bottom w:val="none" w:sz="0" w:space="0" w:color="auto"/>
                <w:right w:val="none" w:sz="0" w:space="0" w:color="auto"/>
              </w:divBdr>
            </w:div>
            <w:div w:id="445584381">
              <w:marLeft w:val="547"/>
              <w:marRight w:val="0"/>
              <w:marTop w:val="0"/>
              <w:marBottom w:val="0"/>
              <w:divBdr>
                <w:top w:val="none" w:sz="0" w:space="0" w:color="auto"/>
                <w:left w:val="none" w:sz="0" w:space="0" w:color="auto"/>
                <w:bottom w:val="none" w:sz="0" w:space="0" w:color="auto"/>
                <w:right w:val="none" w:sz="0" w:space="0" w:color="auto"/>
              </w:divBdr>
            </w:div>
            <w:div w:id="1902247937">
              <w:marLeft w:val="547"/>
              <w:marRight w:val="0"/>
              <w:marTop w:val="0"/>
              <w:marBottom w:val="0"/>
              <w:divBdr>
                <w:top w:val="none" w:sz="0" w:space="0" w:color="auto"/>
                <w:left w:val="none" w:sz="0" w:space="0" w:color="auto"/>
                <w:bottom w:val="none" w:sz="0" w:space="0" w:color="auto"/>
                <w:right w:val="none" w:sz="0" w:space="0" w:color="auto"/>
              </w:divBdr>
            </w:div>
            <w:div w:id="528497621">
              <w:marLeft w:val="547"/>
              <w:marRight w:val="0"/>
              <w:marTop w:val="0"/>
              <w:marBottom w:val="0"/>
              <w:divBdr>
                <w:top w:val="none" w:sz="0" w:space="0" w:color="auto"/>
                <w:left w:val="none" w:sz="0" w:space="0" w:color="auto"/>
                <w:bottom w:val="none" w:sz="0" w:space="0" w:color="auto"/>
                <w:right w:val="none" w:sz="0" w:space="0" w:color="auto"/>
              </w:divBdr>
            </w:div>
            <w:div w:id="2019650244">
              <w:marLeft w:val="547"/>
              <w:marRight w:val="0"/>
              <w:marTop w:val="0"/>
              <w:marBottom w:val="0"/>
              <w:divBdr>
                <w:top w:val="none" w:sz="0" w:space="0" w:color="auto"/>
                <w:left w:val="none" w:sz="0" w:space="0" w:color="auto"/>
                <w:bottom w:val="none" w:sz="0" w:space="0" w:color="auto"/>
                <w:right w:val="none" w:sz="0" w:space="0" w:color="auto"/>
              </w:divBdr>
            </w:div>
            <w:div w:id="352459587">
              <w:marLeft w:val="547"/>
              <w:marRight w:val="0"/>
              <w:marTop w:val="0"/>
              <w:marBottom w:val="0"/>
              <w:divBdr>
                <w:top w:val="none" w:sz="0" w:space="0" w:color="auto"/>
                <w:left w:val="none" w:sz="0" w:space="0" w:color="auto"/>
                <w:bottom w:val="none" w:sz="0" w:space="0" w:color="auto"/>
                <w:right w:val="none" w:sz="0" w:space="0" w:color="auto"/>
              </w:divBdr>
            </w:div>
            <w:div w:id="2048677549">
              <w:marLeft w:val="547"/>
              <w:marRight w:val="0"/>
              <w:marTop w:val="0"/>
              <w:marBottom w:val="0"/>
              <w:divBdr>
                <w:top w:val="none" w:sz="0" w:space="0" w:color="auto"/>
                <w:left w:val="none" w:sz="0" w:space="0" w:color="auto"/>
                <w:bottom w:val="none" w:sz="0" w:space="0" w:color="auto"/>
                <w:right w:val="none" w:sz="0" w:space="0" w:color="auto"/>
              </w:divBdr>
            </w:div>
            <w:div w:id="1420980439">
              <w:marLeft w:val="547"/>
              <w:marRight w:val="0"/>
              <w:marTop w:val="0"/>
              <w:marBottom w:val="0"/>
              <w:divBdr>
                <w:top w:val="none" w:sz="0" w:space="0" w:color="auto"/>
                <w:left w:val="none" w:sz="0" w:space="0" w:color="auto"/>
                <w:bottom w:val="none" w:sz="0" w:space="0" w:color="auto"/>
                <w:right w:val="none" w:sz="0" w:space="0" w:color="auto"/>
              </w:divBdr>
            </w:div>
            <w:div w:id="453408942">
              <w:marLeft w:val="547"/>
              <w:marRight w:val="0"/>
              <w:marTop w:val="0"/>
              <w:marBottom w:val="0"/>
              <w:divBdr>
                <w:top w:val="none" w:sz="0" w:space="0" w:color="auto"/>
                <w:left w:val="none" w:sz="0" w:space="0" w:color="auto"/>
                <w:bottom w:val="none" w:sz="0" w:space="0" w:color="auto"/>
                <w:right w:val="none" w:sz="0" w:space="0" w:color="auto"/>
              </w:divBdr>
            </w:div>
            <w:div w:id="1476024418">
              <w:marLeft w:val="547"/>
              <w:marRight w:val="0"/>
              <w:marTop w:val="0"/>
              <w:marBottom w:val="0"/>
              <w:divBdr>
                <w:top w:val="none" w:sz="0" w:space="0" w:color="auto"/>
                <w:left w:val="none" w:sz="0" w:space="0" w:color="auto"/>
                <w:bottom w:val="none" w:sz="0" w:space="0" w:color="auto"/>
                <w:right w:val="none" w:sz="0" w:space="0" w:color="auto"/>
              </w:divBdr>
            </w:div>
            <w:div w:id="1048728426">
              <w:marLeft w:val="547"/>
              <w:marRight w:val="0"/>
              <w:marTop w:val="0"/>
              <w:marBottom w:val="0"/>
              <w:divBdr>
                <w:top w:val="none" w:sz="0" w:space="0" w:color="auto"/>
                <w:left w:val="none" w:sz="0" w:space="0" w:color="auto"/>
                <w:bottom w:val="none" w:sz="0" w:space="0" w:color="auto"/>
                <w:right w:val="none" w:sz="0" w:space="0" w:color="auto"/>
              </w:divBdr>
            </w:div>
            <w:div w:id="959721091">
              <w:marLeft w:val="547"/>
              <w:marRight w:val="0"/>
              <w:marTop w:val="0"/>
              <w:marBottom w:val="0"/>
              <w:divBdr>
                <w:top w:val="none" w:sz="0" w:space="0" w:color="auto"/>
                <w:left w:val="none" w:sz="0" w:space="0" w:color="auto"/>
                <w:bottom w:val="none" w:sz="0" w:space="0" w:color="auto"/>
                <w:right w:val="none" w:sz="0" w:space="0" w:color="auto"/>
              </w:divBdr>
            </w:div>
            <w:div w:id="1744520209">
              <w:marLeft w:val="547"/>
              <w:marRight w:val="0"/>
              <w:marTop w:val="0"/>
              <w:marBottom w:val="0"/>
              <w:divBdr>
                <w:top w:val="none" w:sz="0" w:space="0" w:color="auto"/>
                <w:left w:val="none" w:sz="0" w:space="0" w:color="auto"/>
                <w:bottom w:val="none" w:sz="0" w:space="0" w:color="auto"/>
                <w:right w:val="none" w:sz="0" w:space="0" w:color="auto"/>
              </w:divBdr>
            </w:div>
            <w:div w:id="1531724333">
              <w:marLeft w:val="547"/>
              <w:marRight w:val="0"/>
              <w:marTop w:val="0"/>
              <w:marBottom w:val="0"/>
              <w:divBdr>
                <w:top w:val="none" w:sz="0" w:space="0" w:color="auto"/>
                <w:left w:val="none" w:sz="0" w:space="0" w:color="auto"/>
                <w:bottom w:val="none" w:sz="0" w:space="0" w:color="auto"/>
                <w:right w:val="none" w:sz="0" w:space="0" w:color="auto"/>
              </w:divBdr>
            </w:div>
            <w:div w:id="1114246764">
              <w:marLeft w:val="547"/>
              <w:marRight w:val="0"/>
              <w:marTop w:val="0"/>
              <w:marBottom w:val="0"/>
              <w:divBdr>
                <w:top w:val="none" w:sz="0" w:space="0" w:color="auto"/>
                <w:left w:val="none" w:sz="0" w:space="0" w:color="auto"/>
                <w:bottom w:val="none" w:sz="0" w:space="0" w:color="auto"/>
                <w:right w:val="none" w:sz="0" w:space="0" w:color="auto"/>
              </w:divBdr>
            </w:div>
          </w:divsChild>
        </w:div>
        <w:div w:id="1114905776">
          <w:marLeft w:val="0"/>
          <w:marRight w:val="0"/>
          <w:marTop w:val="0"/>
          <w:marBottom w:val="600"/>
          <w:divBdr>
            <w:top w:val="none" w:sz="0" w:space="0" w:color="auto"/>
            <w:left w:val="none" w:sz="0" w:space="0" w:color="auto"/>
            <w:bottom w:val="none" w:sz="0" w:space="0" w:color="auto"/>
            <w:right w:val="none" w:sz="0" w:space="0" w:color="auto"/>
          </w:divBdr>
        </w:div>
      </w:divsChild>
    </w:div>
    <w:div w:id="552428490">
      <w:marLeft w:val="0"/>
      <w:marRight w:val="0"/>
      <w:marTop w:val="0"/>
      <w:marBottom w:val="0"/>
      <w:divBdr>
        <w:top w:val="none" w:sz="0" w:space="0" w:color="auto"/>
        <w:left w:val="none" w:sz="0" w:space="0" w:color="auto"/>
        <w:bottom w:val="none" w:sz="0" w:space="0" w:color="auto"/>
        <w:right w:val="none" w:sz="0" w:space="0" w:color="auto"/>
      </w:divBdr>
      <w:divsChild>
        <w:div w:id="1423722214">
          <w:marLeft w:val="0"/>
          <w:marRight w:val="0"/>
          <w:marTop w:val="600"/>
          <w:marBottom w:val="0"/>
          <w:divBdr>
            <w:top w:val="none" w:sz="0" w:space="0" w:color="auto"/>
            <w:left w:val="none" w:sz="0" w:space="0" w:color="auto"/>
            <w:bottom w:val="none" w:sz="0" w:space="0" w:color="auto"/>
            <w:right w:val="none" w:sz="0" w:space="0" w:color="auto"/>
          </w:divBdr>
        </w:div>
        <w:div w:id="1522938196">
          <w:marLeft w:val="0"/>
          <w:marRight w:val="0"/>
          <w:marTop w:val="0"/>
          <w:marBottom w:val="0"/>
          <w:divBdr>
            <w:top w:val="none" w:sz="0" w:space="0" w:color="auto"/>
            <w:left w:val="none" w:sz="0" w:space="0" w:color="auto"/>
            <w:bottom w:val="none" w:sz="0" w:space="0" w:color="auto"/>
            <w:right w:val="none" w:sz="0" w:space="0" w:color="auto"/>
          </w:divBdr>
          <w:divsChild>
            <w:div w:id="2092963090">
              <w:marLeft w:val="547"/>
              <w:marRight w:val="0"/>
              <w:marTop w:val="0"/>
              <w:marBottom w:val="0"/>
              <w:divBdr>
                <w:top w:val="none" w:sz="0" w:space="0" w:color="auto"/>
                <w:left w:val="none" w:sz="0" w:space="0" w:color="auto"/>
                <w:bottom w:val="none" w:sz="0" w:space="0" w:color="auto"/>
                <w:right w:val="none" w:sz="0" w:space="0" w:color="auto"/>
              </w:divBdr>
            </w:div>
          </w:divsChild>
        </w:div>
        <w:div w:id="1995916197">
          <w:marLeft w:val="0"/>
          <w:marRight w:val="0"/>
          <w:marTop w:val="0"/>
          <w:marBottom w:val="600"/>
          <w:divBdr>
            <w:top w:val="none" w:sz="0" w:space="0" w:color="auto"/>
            <w:left w:val="none" w:sz="0" w:space="0" w:color="auto"/>
            <w:bottom w:val="none" w:sz="0" w:space="0" w:color="auto"/>
            <w:right w:val="none" w:sz="0" w:space="0" w:color="auto"/>
          </w:divBdr>
        </w:div>
      </w:divsChild>
    </w:div>
    <w:div w:id="561869981">
      <w:marLeft w:val="0"/>
      <w:marRight w:val="0"/>
      <w:marTop w:val="0"/>
      <w:marBottom w:val="0"/>
      <w:divBdr>
        <w:top w:val="none" w:sz="0" w:space="0" w:color="auto"/>
        <w:left w:val="none" w:sz="0" w:space="0" w:color="auto"/>
        <w:bottom w:val="none" w:sz="0" w:space="0" w:color="auto"/>
        <w:right w:val="none" w:sz="0" w:space="0" w:color="auto"/>
      </w:divBdr>
      <w:divsChild>
        <w:div w:id="1315985910">
          <w:marLeft w:val="0"/>
          <w:marRight w:val="0"/>
          <w:marTop w:val="600"/>
          <w:marBottom w:val="0"/>
          <w:divBdr>
            <w:top w:val="none" w:sz="0" w:space="0" w:color="auto"/>
            <w:left w:val="none" w:sz="0" w:space="0" w:color="auto"/>
            <w:bottom w:val="none" w:sz="0" w:space="0" w:color="auto"/>
            <w:right w:val="none" w:sz="0" w:space="0" w:color="auto"/>
          </w:divBdr>
        </w:div>
        <w:div w:id="1524712437">
          <w:marLeft w:val="0"/>
          <w:marRight w:val="0"/>
          <w:marTop w:val="0"/>
          <w:marBottom w:val="0"/>
          <w:divBdr>
            <w:top w:val="none" w:sz="0" w:space="0" w:color="auto"/>
            <w:left w:val="none" w:sz="0" w:space="0" w:color="auto"/>
            <w:bottom w:val="none" w:sz="0" w:space="0" w:color="auto"/>
            <w:right w:val="none" w:sz="0" w:space="0" w:color="auto"/>
          </w:divBdr>
        </w:div>
        <w:div w:id="1004744188">
          <w:marLeft w:val="0"/>
          <w:marRight w:val="0"/>
          <w:marTop w:val="0"/>
          <w:marBottom w:val="600"/>
          <w:divBdr>
            <w:top w:val="none" w:sz="0" w:space="0" w:color="auto"/>
            <w:left w:val="none" w:sz="0" w:space="0" w:color="auto"/>
            <w:bottom w:val="none" w:sz="0" w:space="0" w:color="auto"/>
            <w:right w:val="none" w:sz="0" w:space="0" w:color="auto"/>
          </w:divBdr>
        </w:div>
      </w:divsChild>
    </w:div>
    <w:div w:id="571545901">
      <w:marLeft w:val="0"/>
      <w:marRight w:val="0"/>
      <w:marTop w:val="0"/>
      <w:marBottom w:val="0"/>
      <w:divBdr>
        <w:top w:val="none" w:sz="0" w:space="0" w:color="auto"/>
        <w:left w:val="none" w:sz="0" w:space="0" w:color="auto"/>
        <w:bottom w:val="none" w:sz="0" w:space="0" w:color="auto"/>
        <w:right w:val="none" w:sz="0" w:space="0" w:color="auto"/>
      </w:divBdr>
      <w:divsChild>
        <w:div w:id="507328821">
          <w:marLeft w:val="0"/>
          <w:marRight w:val="0"/>
          <w:marTop w:val="600"/>
          <w:marBottom w:val="0"/>
          <w:divBdr>
            <w:top w:val="none" w:sz="0" w:space="0" w:color="auto"/>
            <w:left w:val="none" w:sz="0" w:space="0" w:color="auto"/>
            <w:bottom w:val="none" w:sz="0" w:space="0" w:color="auto"/>
            <w:right w:val="none" w:sz="0" w:space="0" w:color="auto"/>
          </w:divBdr>
        </w:div>
        <w:div w:id="1380670210">
          <w:marLeft w:val="0"/>
          <w:marRight w:val="0"/>
          <w:marTop w:val="0"/>
          <w:marBottom w:val="0"/>
          <w:divBdr>
            <w:top w:val="none" w:sz="0" w:space="0" w:color="auto"/>
            <w:left w:val="none" w:sz="0" w:space="0" w:color="auto"/>
            <w:bottom w:val="none" w:sz="0" w:space="0" w:color="auto"/>
            <w:right w:val="none" w:sz="0" w:space="0" w:color="auto"/>
          </w:divBdr>
        </w:div>
        <w:div w:id="59407983">
          <w:marLeft w:val="0"/>
          <w:marRight w:val="0"/>
          <w:marTop w:val="0"/>
          <w:marBottom w:val="600"/>
          <w:divBdr>
            <w:top w:val="none" w:sz="0" w:space="0" w:color="auto"/>
            <w:left w:val="none" w:sz="0" w:space="0" w:color="auto"/>
            <w:bottom w:val="none" w:sz="0" w:space="0" w:color="auto"/>
            <w:right w:val="none" w:sz="0" w:space="0" w:color="auto"/>
          </w:divBdr>
        </w:div>
      </w:divsChild>
    </w:div>
    <w:div w:id="576596355">
      <w:marLeft w:val="0"/>
      <w:marRight w:val="0"/>
      <w:marTop w:val="0"/>
      <w:marBottom w:val="0"/>
      <w:divBdr>
        <w:top w:val="none" w:sz="0" w:space="0" w:color="auto"/>
        <w:left w:val="none" w:sz="0" w:space="0" w:color="auto"/>
        <w:bottom w:val="none" w:sz="0" w:space="0" w:color="auto"/>
        <w:right w:val="none" w:sz="0" w:space="0" w:color="auto"/>
      </w:divBdr>
    </w:div>
    <w:div w:id="580869071">
      <w:marLeft w:val="0"/>
      <w:marRight w:val="0"/>
      <w:marTop w:val="0"/>
      <w:marBottom w:val="0"/>
      <w:divBdr>
        <w:top w:val="none" w:sz="0" w:space="0" w:color="auto"/>
        <w:left w:val="none" w:sz="0" w:space="0" w:color="auto"/>
        <w:bottom w:val="none" w:sz="0" w:space="0" w:color="auto"/>
        <w:right w:val="none" w:sz="0" w:space="0" w:color="auto"/>
      </w:divBdr>
      <w:divsChild>
        <w:div w:id="1842155600">
          <w:marLeft w:val="0"/>
          <w:marRight w:val="0"/>
          <w:marTop w:val="600"/>
          <w:marBottom w:val="0"/>
          <w:divBdr>
            <w:top w:val="none" w:sz="0" w:space="0" w:color="auto"/>
            <w:left w:val="none" w:sz="0" w:space="0" w:color="auto"/>
            <w:bottom w:val="none" w:sz="0" w:space="0" w:color="auto"/>
            <w:right w:val="none" w:sz="0" w:space="0" w:color="auto"/>
          </w:divBdr>
        </w:div>
        <w:div w:id="1416584893">
          <w:marLeft w:val="0"/>
          <w:marRight w:val="0"/>
          <w:marTop w:val="0"/>
          <w:marBottom w:val="0"/>
          <w:divBdr>
            <w:top w:val="none" w:sz="0" w:space="0" w:color="auto"/>
            <w:left w:val="none" w:sz="0" w:space="0" w:color="auto"/>
            <w:bottom w:val="none" w:sz="0" w:space="0" w:color="auto"/>
            <w:right w:val="none" w:sz="0" w:space="0" w:color="auto"/>
          </w:divBdr>
          <w:divsChild>
            <w:div w:id="654645705">
              <w:marLeft w:val="0"/>
              <w:marRight w:val="0"/>
              <w:marTop w:val="0"/>
              <w:marBottom w:val="0"/>
              <w:divBdr>
                <w:top w:val="none" w:sz="0" w:space="0" w:color="auto"/>
                <w:left w:val="none" w:sz="0" w:space="0" w:color="auto"/>
                <w:bottom w:val="none" w:sz="0" w:space="0" w:color="auto"/>
                <w:right w:val="none" w:sz="0" w:space="0" w:color="auto"/>
              </w:divBdr>
              <w:divsChild>
                <w:div w:id="1441530998">
                  <w:marLeft w:val="0"/>
                  <w:marRight w:val="0"/>
                  <w:marTop w:val="0"/>
                  <w:marBottom w:val="0"/>
                  <w:divBdr>
                    <w:top w:val="none" w:sz="0" w:space="0" w:color="auto"/>
                    <w:left w:val="none" w:sz="0" w:space="0" w:color="auto"/>
                    <w:bottom w:val="none" w:sz="0" w:space="0" w:color="auto"/>
                    <w:right w:val="none" w:sz="0" w:space="0" w:color="auto"/>
                  </w:divBdr>
                </w:div>
              </w:divsChild>
            </w:div>
            <w:div w:id="1615671668">
              <w:marLeft w:val="0"/>
              <w:marRight w:val="0"/>
              <w:marTop w:val="0"/>
              <w:marBottom w:val="0"/>
              <w:divBdr>
                <w:top w:val="none" w:sz="0" w:space="0" w:color="auto"/>
                <w:left w:val="none" w:sz="0" w:space="0" w:color="auto"/>
                <w:bottom w:val="none" w:sz="0" w:space="0" w:color="auto"/>
                <w:right w:val="none" w:sz="0" w:space="0" w:color="auto"/>
              </w:divBdr>
              <w:divsChild>
                <w:div w:id="1327394539">
                  <w:marLeft w:val="0"/>
                  <w:marRight w:val="0"/>
                  <w:marTop w:val="0"/>
                  <w:marBottom w:val="0"/>
                  <w:divBdr>
                    <w:top w:val="none" w:sz="0" w:space="0" w:color="auto"/>
                    <w:left w:val="none" w:sz="0" w:space="0" w:color="auto"/>
                    <w:bottom w:val="none" w:sz="0" w:space="0" w:color="auto"/>
                    <w:right w:val="none" w:sz="0" w:space="0" w:color="auto"/>
                  </w:divBdr>
                </w:div>
              </w:divsChild>
            </w:div>
            <w:div w:id="895120045">
              <w:marLeft w:val="0"/>
              <w:marRight w:val="0"/>
              <w:marTop w:val="0"/>
              <w:marBottom w:val="0"/>
              <w:divBdr>
                <w:top w:val="none" w:sz="0" w:space="0" w:color="auto"/>
                <w:left w:val="none" w:sz="0" w:space="0" w:color="auto"/>
                <w:bottom w:val="none" w:sz="0" w:space="0" w:color="auto"/>
                <w:right w:val="none" w:sz="0" w:space="0" w:color="auto"/>
              </w:divBdr>
              <w:divsChild>
                <w:div w:id="990408640">
                  <w:marLeft w:val="0"/>
                  <w:marRight w:val="0"/>
                  <w:marTop w:val="0"/>
                  <w:marBottom w:val="0"/>
                  <w:divBdr>
                    <w:top w:val="none" w:sz="0" w:space="0" w:color="auto"/>
                    <w:left w:val="none" w:sz="0" w:space="0" w:color="auto"/>
                    <w:bottom w:val="none" w:sz="0" w:space="0" w:color="auto"/>
                    <w:right w:val="none" w:sz="0" w:space="0" w:color="auto"/>
                  </w:divBdr>
                </w:div>
              </w:divsChild>
            </w:div>
            <w:div w:id="1861628197">
              <w:marLeft w:val="0"/>
              <w:marRight w:val="0"/>
              <w:marTop w:val="0"/>
              <w:marBottom w:val="0"/>
              <w:divBdr>
                <w:top w:val="none" w:sz="0" w:space="0" w:color="auto"/>
                <w:left w:val="none" w:sz="0" w:space="0" w:color="auto"/>
                <w:bottom w:val="none" w:sz="0" w:space="0" w:color="auto"/>
                <w:right w:val="none" w:sz="0" w:space="0" w:color="auto"/>
              </w:divBdr>
              <w:divsChild>
                <w:div w:id="1975941411">
                  <w:marLeft w:val="0"/>
                  <w:marRight w:val="0"/>
                  <w:marTop w:val="0"/>
                  <w:marBottom w:val="0"/>
                  <w:divBdr>
                    <w:top w:val="none" w:sz="0" w:space="0" w:color="auto"/>
                    <w:left w:val="none" w:sz="0" w:space="0" w:color="auto"/>
                    <w:bottom w:val="none" w:sz="0" w:space="0" w:color="auto"/>
                    <w:right w:val="none" w:sz="0" w:space="0" w:color="auto"/>
                  </w:divBdr>
                </w:div>
              </w:divsChild>
            </w:div>
            <w:div w:id="790787098">
              <w:marLeft w:val="0"/>
              <w:marRight w:val="0"/>
              <w:marTop w:val="0"/>
              <w:marBottom w:val="0"/>
              <w:divBdr>
                <w:top w:val="none" w:sz="0" w:space="0" w:color="auto"/>
                <w:left w:val="none" w:sz="0" w:space="0" w:color="auto"/>
                <w:bottom w:val="none" w:sz="0" w:space="0" w:color="auto"/>
                <w:right w:val="none" w:sz="0" w:space="0" w:color="auto"/>
              </w:divBdr>
              <w:divsChild>
                <w:div w:id="1910311134">
                  <w:marLeft w:val="0"/>
                  <w:marRight w:val="0"/>
                  <w:marTop w:val="0"/>
                  <w:marBottom w:val="0"/>
                  <w:divBdr>
                    <w:top w:val="none" w:sz="0" w:space="0" w:color="auto"/>
                    <w:left w:val="none" w:sz="0" w:space="0" w:color="auto"/>
                    <w:bottom w:val="none" w:sz="0" w:space="0" w:color="auto"/>
                    <w:right w:val="none" w:sz="0" w:space="0" w:color="auto"/>
                  </w:divBdr>
                </w:div>
              </w:divsChild>
            </w:div>
            <w:div w:id="534197749">
              <w:marLeft w:val="0"/>
              <w:marRight w:val="0"/>
              <w:marTop w:val="0"/>
              <w:marBottom w:val="0"/>
              <w:divBdr>
                <w:top w:val="none" w:sz="0" w:space="0" w:color="auto"/>
                <w:left w:val="none" w:sz="0" w:space="0" w:color="auto"/>
                <w:bottom w:val="none" w:sz="0" w:space="0" w:color="auto"/>
                <w:right w:val="none" w:sz="0" w:space="0" w:color="auto"/>
              </w:divBdr>
              <w:divsChild>
                <w:div w:id="1153716097">
                  <w:marLeft w:val="0"/>
                  <w:marRight w:val="0"/>
                  <w:marTop w:val="0"/>
                  <w:marBottom w:val="0"/>
                  <w:divBdr>
                    <w:top w:val="none" w:sz="0" w:space="0" w:color="auto"/>
                    <w:left w:val="none" w:sz="0" w:space="0" w:color="auto"/>
                    <w:bottom w:val="none" w:sz="0" w:space="0" w:color="auto"/>
                    <w:right w:val="none" w:sz="0" w:space="0" w:color="auto"/>
                  </w:divBdr>
                </w:div>
              </w:divsChild>
            </w:div>
            <w:div w:id="654919734">
              <w:marLeft w:val="0"/>
              <w:marRight w:val="0"/>
              <w:marTop w:val="0"/>
              <w:marBottom w:val="0"/>
              <w:divBdr>
                <w:top w:val="none" w:sz="0" w:space="0" w:color="auto"/>
                <w:left w:val="none" w:sz="0" w:space="0" w:color="auto"/>
                <w:bottom w:val="none" w:sz="0" w:space="0" w:color="auto"/>
                <w:right w:val="none" w:sz="0" w:space="0" w:color="auto"/>
              </w:divBdr>
              <w:divsChild>
                <w:div w:id="265238263">
                  <w:marLeft w:val="0"/>
                  <w:marRight w:val="0"/>
                  <w:marTop w:val="0"/>
                  <w:marBottom w:val="0"/>
                  <w:divBdr>
                    <w:top w:val="none" w:sz="0" w:space="0" w:color="auto"/>
                    <w:left w:val="none" w:sz="0" w:space="0" w:color="auto"/>
                    <w:bottom w:val="none" w:sz="0" w:space="0" w:color="auto"/>
                    <w:right w:val="none" w:sz="0" w:space="0" w:color="auto"/>
                  </w:divBdr>
                </w:div>
              </w:divsChild>
            </w:div>
            <w:div w:id="1899394860">
              <w:marLeft w:val="0"/>
              <w:marRight w:val="0"/>
              <w:marTop w:val="0"/>
              <w:marBottom w:val="0"/>
              <w:divBdr>
                <w:top w:val="none" w:sz="0" w:space="0" w:color="auto"/>
                <w:left w:val="none" w:sz="0" w:space="0" w:color="auto"/>
                <w:bottom w:val="none" w:sz="0" w:space="0" w:color="auto"/>
                <w:right w:val="none" w:sz="0" w:space="0" w:color="auto"/>
              </w:divBdr>
              <w:divsChild>
                <w:div w:id="1691030008">
                  <w:marLeft w:val="0"/>
                  <w:marRight w:val="0"/>
                  <w:marTop w:val="0"/>
                  <w:marBottom w:val="0"/>
                  <w:divBdr>
                    <w:top w:val="none" w:sz="0" w:space="0" w:color="auto"/>
                    <w:left w:val="none" w:sz="0" w:space="0" w:color="auto"/>
                    <w:bottom w:val="none" w:sz="0" w:space="0" w:color="auto"/>
                    <w:right w:val="none" w:sz="0" w:space="0" w:color="auto"/>
                  </w:divBdr>
                </w:div>
              </w:divsChild>
            </w:div>
            <w:div w:id="843936629">
              <w:marLeft w:val="0"/>
              <w:marRight w:val="0"/>
              <w:marTop w:val="0"/>
              <w:marBottom w:val="0"/>
              <w:divBdr>
                <w:top w:val="none" w:sz="0" w:space="0" w:color="auto"/>
                <w:left w:val="none" w:sz="0" w:space="0" w:color="auto"/>
                <w:bottom w:val="none" w:sz="0" w:space="0" w:color="auto"/>
                <w:right w:val="none" w:sz="0" w:space="0" w:color="auto"/>
              </w:divBdr>
              <w:divsChild>
                <w:div w:id="1848326629">
                  <w:marLeft w:val="0"/>
                  <w:marRight w:val="0"/>
                  <w:marTop w:val="0"/>
                  <w:marBottom w:val="0"/>
                  <w:divBdr>
                    <w:top w:val="none" w:sz="0" w:space="0" w:color="auto"/>
                    <w:left w:val="none" w:sz="0" w:space="0" w:color="auto"/>
                    <w:bottom w:val="none" w:sz="0" w:space="0" w:color="auto"/>
                    <w:right w:val="none" w:sz="0" w:space="0" w:color="auto"/>
                  </w:divBdr>
                </w:div>
              </w:divsChild>
            </w:div>
            <w:div w:id="323970436">
              <w:marLeft w:val="0"/>
              <w:marRight w:val="0"/>
              <w:marTop w:val="0"/>
              <w:marBottom w:val="0"/>
              <w:divBdr>
                <w:top w:val="none" w:sz="0" w:space="0" w:color="auto"/>
                <w:left w:val="none" w:sz="0" w:space="0" w:color="auto"/>
                <w:bottom w:val="none" w:sz="0" w:space="0" w:color="auto"/>
                <w:right w:val="none" w:sz="0" w:space="0" w:color="auto"/>
              </w:divBdr>
              <w:divsChild>
                <w:div w:id="2142922633">
                  <w:marLeft w:val="0"/>
                  <w:marRight w:val="0"/>
                  <w:marTop w:val="0"/>
                  <w:marBottom w:val="0"/>
                  <w:divBdr>
                    <w:top w:val="none" w:sz="0" w:space="0" w:color="auto"/>
                    <w:left w:val="none" w:sz="0" w:space="0" w:color="auto"/>
                    <w:bottom w:val="none" w:sz="0" w:space="0" w:color="auto"/>
                    <w:right w:val="none" w:sz="0" w:space="0" w:color="auto"/>
                  </w:divBdr>
                </w:div>
              </w:divsChild>
            </w:div>
            <w:div w:id="92169997">
              <w:marLeft w:val="0"/>
              <w:marRight w:val="0"/>
              <w:marTop w:val="0"/>
              <w:marBottom w:val="0"/>
              <w:divBdr>
                <w:top w:val="none" w:sz="0" w:space="0" w:color="auto"/>
                <w:left w:val="none" w:sz="0" w:space="0" w:color="auto"/>
                <w:bottom w:val="none" w:sz="0" w:space="0" w:color="auto"/>
                <w:right w:val="none" w:sz="0" w:space="0" w:color="auto"/>
              </w:divBdr>
              <w:divsChild>
                <w:div w:id="827943206">
                  <w:marLeft w:val="0"/>
                  <w:marRight w:val="0"/>
                  <w:marTop w:val="0"/>
                  <w:marBottom w:val="0"/>
                  <w:divBdr>
                    <w:top w:val="none" w:sz="0" w:space="0" w:color="auto"/>
                    <w:left w:val="none" w:sz="0" w:space="0" w:color="auto"/>
                    <w:bottom w:val="none" w:sz="0" w:space="0" w:color="auto"/>
                    <w:right w:val="none" w:sz="0" w:space="0" w:color="auto"/>
                  </w:divBdr>
                </w:div>
              </w:divsChild>
            </w:div>
            <w:div w:id="1968512790">
              <w:marLeft w:val="0"/>
              <w:marRight w:val="0"/>
              <w:marTop w:val="0"/>
              <w:marBottom w:val="0"/>
              <w:divBdr>
                <w:top w:val="none" w:sz="0" w:space="0" w:color="auto"/>
                <w:left w:val="none" w:sz="0" w:space="0" w:color="auto"/>
                <w:bottom w:val="none" w:sz="0" w:space="0" w:color="auto"/>
                <w:right w:val="none" w:sz="0" w:space="0" w:color="auto"/>
              </w:divBdr>
              <w:divsChild>
                <w:div w:id="2122339013">
                  <w:marLeft w:val="0"/>
                  <w:marRight w:val="0"/>
                  <w:marTop w:val="0"/>
                  <w:marBottom w:val="0"/>
                  <w:divBdr>
                    <w:top w:val="none" w:sz="0" w:space="0" w:color="auto"/>
                    <w:left w:val="none" w:sz="0" w:space="0" w:color="auto"/>
                    <w:bottom w:val="none" w:sz="0" w:space="0" w:color="auto"/>
                    <w:right w:val="none" w:sz="0" w:space="0" w:color="auto"/>
                  </w:divBdr>
                </w:div>
              </w:divsChild>
            </w:div>
            <w:div w:id="1518737591">
              <w:marLeft w:val="0"/>
              <w:marRight w:val="0"/>
              <w:marTop w:val="0"/>
              <w:marBottom w:val="0"/>
              <w:divBdr>
                <w:top w:val="none" w:sz="0" w:space="0" w:color="auto"/>
                <w:left w:val="none" w:sz="0" w:space="0" w:color="auto"/>
                <w:bottom w:val="none" w:sz="0" w:space="0" w:color="auto"/>
                <w:right w:val="none" w:sz="0" w:space="0" w:color="auto"/>
              </w:divBdr>
              <w:divsChild>
                <w:div w:id="416634588">
                  <w:marLeft w:val="0"/>
                  <w:marRight w:val="0"/>
                  <w:marTop w:val="0"/>
                  <w:marBottom w:val="0"/>
                  <w:divBdr>
                    <w:top w:val="none" w:sz="0" w:space="0" w:color="auto"/>
                    <w:left w:val="none" w:sz="0" w:space="0" w:color="auto"/>
                    <w:bottom w:val="none" w:sz="0" w:space="0" w:color="auto"/>
                    <w:right w:val="none" w:sz="0" w:space="0" w:color="auto"/>
                  </w:divBdr>
                </w:div>
              </w:divsChild>
            </w:div>
            <w:div w:id="380373328">
              <w:marLeft w:val="0"/>
              <w:marRight w:val="0"/>
              <w:marTop w:val="0"/>
              <w:marBottom w:val="0"/>
              <w:divBdr>
                <w:top w:val="none" w:sz="0" w:space="0" w:color="auto"/>
                <w:left w:val="none" w:sz="0" w:space="0" w:color="auto"/>
                <w:bottom w:val="none" w:sz="0" w:space="0" w:color="auto"/>
                <w:right w:val="none" w:sz="0" w:space="0" w:color="auto"/>
              </w:divBdr>
              <w:divsChild>
                <w:div w:id="95676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11032">
          <w:marLeft w:val="0"/>
          <w:marRight w:val="0"/>
          <w:marTop w:val="0"/>
          <w:marBottom w:val="600"/>
          <w:divBdr>
            <w:top w:val="none" w:sz="0" w:space="0" w:color="auto"/>
            <w:left w:val="none" w:sz="0" w:space="0" w:color="auto"/>
            <w:bottom w:val="none" w:sz="0" w:space="0" w:color="auto"/>
            <w:right w:val="none" w:sz="0" w:space="0" w:color="auto"/>
          </w:divBdr>
        </w:div>
      </w:divsChild>
    </w:div>
    <w:div w:id="615522599">
      <w:marLeft w:val="0"/>
      <w:marRight w:val="0"/>
      <w:marTop w:val="0"/>
      <w:marBottom w:val="0"/>
      <w:divBdr>
        <w:top w:val="none" w:sz="0" w:space="0" w:color="auto"/>
        <w:left w:val="none" w:sz="0" w:space="0" w:color="auto"/>
        <w:bottom w:val="none" w:sz="0" w:space="0" w:color="auto"/>
        <w:right w:val="none" w:sz="0" w:space="0" w:color="auto"/>
      </w:divBdr>
      <w:divsChild>
        <w:div w:id="585114119">
          <w:marLeft w:val="0"/>
          <w:marRight w:val="0"/>
          <w:marTop w:val="600"/>
          <w:marBottom w:val="0"/>
          <w:divBdr>
            <w:top w:val="none" w:sz="0" w:space="0" w:color="auto"/>
            <w:left w:val="none" w:sz="0" w:space="0" w:color="auto"/>
            <w:bottom w:val="none" w:sz="0" w:space="0" w:color="auto"/>
            <w:right w:val="none" w:sz="0" w:space="0" w:color="auto"/>
          </w:divBdr>
        </w:div>
        <w:div w:id="2140758132">
          <w:marLeft w:val="0"/>
          <w:marRight w:val="0"/>
          <w:marTop w:val="0"/>
          <w:marBottom w:val="0"/>
          <w:divBdr>
            <w:top w:val="none" w:sz="0" w:space="0" w:color="auto"/>
            <w:left w:val="none" w:sz="0" w:space="0" w:color="auto"/>
            <w:bottom w:val="none" w:sz="0" w:space="0" w:color="auto"/>
            <w:right w:val="none" w:sz="0" w:space="0" w:color="auto"/>
          </w:divBdr>
        </w:div>
        <w:div w:id="1658849175">
          <w:marLeft w:val="0"/>
          <w:marRight w:val="0"/>
          <w:marTop w:val="0"/>
          <w:marBottom w:val="600"/>
          <w:divBdr>
            <w:top w:val="none" w:sz="0" w:space="0" w:color="auto"/>
            <w:left w:val="none" w:sz="0" w:space="0" w:color="auto"/>
            <w:bottom w:val="none" w:sz="0" w:space="0" w:color="auto"/>
            <w:right w:val="none" w:sz="0" w:space="0" w:color="auto"/>
          </w:divBdr>
        </w:div>
      </w:divsChild>
    </w:div>
    <w:div w:id="624241730">
      <w:marLeft w:val="0"/>
      <w:marRight w:val="0"/>
      <w:marTop w:val="0"/>
      <w:marBottom w:val="0"/>
      <w:divBdr>
        <w:top w:val="none" w:sz="0" w:space="0" w:color="auto"/>
        <w:left w:val="none" w:sz="0" w:space="0" w:color="auto"/>
        <w:bottom w:val="none" w:sz="0" w:space="0" w:color="auto"/>
        <w:right w:val="none" w:sz="0" w:space="0" w:color="auto"/>
      </w:divBdr>
      <w:divsChild>
        <w:div w:id="1806775707">
          <w:marLeft w:val="0"/>
          <w:marRight w:val="0"/>
          <w:marTop w:val="600"/>
          <w:marBottom w:val="0"/>
          <w:divBdr>
            <w:top w:val="none" w:sz="0" w:space="0" w:color="auto"/>
            <w:left w:val="none" w:sz="0" w:space="0" w:color="auto"/>
            <w:bottom w:val="none" w:sz="0" w:space="0" w:color="auto"/>
            <w:right w:val="none" w:sz="0" w:space="0" w:color="auto"/>
          </w:divBdr>
        </w:div>
        <w:div w:id="1946644299">
          <w:marLeft w:val="0"/>
          <w:marRight w:val="0"/>
          <w:marTop w:val="0"/>
          <w:marBottom w:val="0"/>
          <w:divBdr>
            <w:top w:val="none" w:sz="0" w:space="0" w:color="auto"/>
            <w:left w:val="none" w:sz="0" w:space="0" w:color="auto"/>
            <w:bottom w:val="none" w:sz="0" w:space="0" w:color="auto"/>
            <w:right w:val="none" w:sz="0" w:space="0" w:color="auto"/>
          </w:divBdr>
          <w:divsChild>
            <w:div w:id="1081366057">
              <w:marLeft w:val="0"/>
              <w:marRight w:val="0"/>
              <w:marTop w:val="0"/>
              <w:marBottom w:val="0"/>
              <w:divBdr>
                <w:top w:val="none" w:sz="0" w:space="0" w:color="auto"/>
                <w:left w:val="none" w:sz="0" w:space="0" w:color="auto"/>
                <w:bottom w:val="none" w:sz="0" w:space="0" w:color="auto"/>
                <w:right w:val="none" w:sz="0" w:space="0" w:color="auto"/>
              </w:divBdr>
              <w:divsChild>
                <w:div w:id="570626594">
                  <w:marLeft w:val="0"/>
                  <w:marRight w:val="0"/>
                  <w:marTop w:val="0"/>
                  <w:marBottom w:val="0"/>
                  <w:divBdr>
                    <w:top w:val="none" w:sz="0" w:space="0" w:color="auto"/>
                    <w:left w:val="none" w:sz="0" w:space="0" w:color="auto"/>
                    <w:bottom w:val="none" w:sz="0" w:space="0" w:color="auto"/>
                    <w:right w:val="none" w:sz="0" w:space="0" w:color="auto"/>
                  </w:divBdr>
                </w:div>
              </w:divsChild>
            </w:div>
            <w:div w:id="1401169216">
              <w:marLeft w:val="0"/>
              <w:marRight w:val="0"/>
              <w:marTop w:val="0"/>
              <w:marBottom w:val="0"/>
              <w:divBdr>
                <w:top w:val="none" w:sz="0" w:space="0" w:color="auto"/>
                <w:left w:val="none" w:sz="0" w:space="0" w:color="auto"/>
                <w:bottom w:val="none" w:sz="0" w:space="0" w:color="auto"/>
                <w:right w:val="none" w:sz="0" w:space="0" w:color="auto"/>
              </w:divBdr>
              <w:divsChild>
                <w:div w:id="118115502">
                  <w:marLeft w:val="0"/>
                  <w:marRight w:val="0"/>
                  <w:marTop w:val="0"/>
                  <w:marBottom w:val="0"/>
                  <w:divBdr>
                    <w:top w:val="none" w:sz="0" w:space="0" w:color="auto"/>
                    <w:left w:val="none" w:sz="0" w:space="0" w:color="auto"/>
                    <w:bottom w:val="none" w:sz="0" w:space="0" w:color="auto"/>
                    <w:right w:val="none" w:sz="0" w:space="0" w:color="auto"/>
                  </w:divBdr>
                </w:div>
              </w:divsChild>
            </w:div>
            <w:div w:id="1411777533">
              <w:marLeft w:val="0"/>
              <w:marRight w:val="0"/>
              <w:marTop w:val="0"/>
              <w:marBottom w:val="0"/>
              <w:divBdr>
                <w:top w:val="none" w:sz="0" w:space="0" w:color="auto"/>
                <w:left w:val="none" w:sz="0" w:space="0" w:color="auto"/>
                <w:bottom w:val="none" w:sz="0" w:space="0" w:color="auto"/>
                <w:right w:val="none" w:sz="0" w:space="0" w:color="auto"/>
              </w:divBdr>
              <w:divsChild>
                <w:div w:id="433987251">
                  <w:marLeft w:val="0"/>
                  <w:marRight w:val="0"/>
                  <w:marTop w:val="0"/>
                  <w:marBottom w:val="0"/>
                  <w:divBdr>
                    <w:top w:val="none" w:sz="0" w:space="0" w:color="auto"/>
                    <w:left w:val="none" w:sz="0" w:space="0" w:color="auto"/>
                    <w:bottom w:val="none" w:sz="0" w:space="0" w:color="auto"/>
                    <w:right w:val="none" w:sz="0" w:space="0" w:color="auto"/>
                  </w:divBdr>
                </w:div>
              </w:divsChild>
            </w:div>
            <w:div w:id="2005621657">
              <w:marLeft w:val="0"/>
              <w:marRight w:val="0"/>
              <w:marTop w:val="0"/>
              <w:marBottom w:val="0"/>
              <w:divBdr>
                <w:top w:val="none" w:sz="0" w:space="0" w:color="auto"/>
                <w:left w:val="none" w:sz="0" w:space="0" w:color="auto"/>
                <w:bottom w:val="none" w:sz="0" w:space="0" w:color="auto"/>
                <w:right w:val="none" w:sz="0" w:space="0" w:color="auto"/>
              </w:divBdr>
              <w:divsChild>
                <w:div w:id="465511683">
                  <w:marLeft w:val="0"/>
                  <w:marRight w:val="0"/>
                  <w:marTop w:val="0"/>
                  <w:marBottom w:val="0"/>
                  <w:divBdr>
                    <w:top w:val="none" w:sz="0" w:space="0" w:color="auto"/>
                    <w:left w:val="none" w:sz="0" w:space="0" w:color="auto"/>
                    <w:bottom w:val="none" w:sz="0" w:space="0" w:color="auto"/>
                    <w:right w:val="none" w:sz="0" w:space="0" w:color="auto"/>
                  </w:divBdr>
                </w:div>
              </w:divsChild>
            </w:div>
            <w:div w:id="1563370760">
              <w:marLeft w:val="0"/>
              <w:marRight w:val="0"/>
              <w:marTop w:val="0"/>
              <w:marBottom w:val="0"/>
              <w:divBdr>
                <w:top w:val="none" w:sz="0" w:space="0" w:color="auto"/>
                <w:left w:val="none" w:sz="0" w:space="0" w:color="auto"/>
                <w:bottom w:val="none" w:sz="0" w:space="0" w:color="auto"/>
                <w:right w:val="none" w:sz="0" w:space="0" w:color="auto"/>
              </w:divBdr>
              <w:divsChild>
                <w:div w:id="214318090">
                  <w:marLeft w:val="0"/>
                  <w:marRight w:val="0"/>
                  <w:marTop w:val="0"/>
                  <w:marBottom w:val="0"/>
                  <w:divBdr>
                    <w:top w:val="none" w:sz="0" w:space="0" w:color="auto"/>
                    <w:left w:val="none" w:sz="0" w:space="0" w:color="auto"/>
                    <w:bottom w:val="none" w:sz="0" w:space="0" w:color="auto"/>
                    <w:right w:val="none" w:sz="0" w:space="0" w:color="auto"/>
                  </w:divBdr>
                </w:div>
              </w:divsChild>
            </w:div>
            <w:div w:id="647828690">
              <w:marLeft w:val="0"/>
              <w:marRight w:val="0"/>
              <w:marTop w:val="0"/>
              <w:marBottom w:val="0"/>
              <w:divBdr>
                <w:top w:val="none" w:sz="0" w:space="0" w:color="auto"/>
                <w:left w:val="none" w:sz="0" w:space="0" w:color="auto"/>
                <w:bottom w:val="none" w:sz="0" w:space="0" w:color="auto"/>
                <w:right w:val="none" w:sz="0" w:space="0" w:color="auto"/>
              </w:divBdr>
              <w:divsChild>
                <w:div w:id="771900598">
                  <w:marLeft w:val="0"/>
                  <w:marRight w:val="0"/>
                  <w:marTop w:val="0"/>
                  <w:marBottom w:val="0"/>
                  <w:divBdr>
                    <w:top w:val="none" w:sz="0" w:space="0" w:color="auto"/>
                    <w:left w:val="none" w:sz="0" w:space="0" w:color="auto"/>
                    <w:bottom w:val="none" w:sz="0" w:space="0" w:color="auto"/>
                    <w:right w:val="none" w:sz="0" w:space="0" w:color="auto"/>
                  </w:divBdr>
                </w:div>
              </w:divsChild>
            </w:div>
            <w:div w:id="2033064561">
              <w:marLeft w:val="0"/>
              <w:marRight w:val="0"/>
              <w:marTop w:val="0"/>
              <w:marBottom w:val="0"/>
              <w:divBdr>
                <w:top w:val="none" w:sz="0" w:space="0" w:color="auto"/>
                <w:left w:val="none" w:sz="0" w:space="0" w:color="auto"/>
                <w:bottom w:val="none" w:sz="0" w:space="0" w:color="auto"/>
                <w:right w:val="none" w:sz="0" w:space="0" w:color="auto"/>
              </w:divBdr>
              <w:divsChild>
                <w:div w:id="1410618123">
                  <w:marLeft w:val="0"/>
                  <w:marRight w:val="0"/>
                  <w:marTop w:val="0"/>
                  <w:marBottom w:val="0"/>
                  <w:divBdr>
                    <w:top w:val="none" w:sz="0" w:space="0" w:color="auto"/>
                    <w:left w:val="none" w:sz="0" w:space="0" w:color="auto"/>
                    <w:bottom w:val="none" w:sz="0" w:space="0" w:color="auto"/>
                    <w:right w:val="none" w:sz="0" w:space="0" w:color="auto"/>
                  </w:divBdr>
                </w:div>
              </w:divsChild>
            </w:div>
            <w:div w:id="1718309664">
              <w:marLeft w:val="0"/>
              <w:marRight w:val="0"/>
              <w:marTop w:val="0"/>
              <w:marBottom w:val="0"/>
              <w:divBdr>
                <w:top w:val="none" w:sz="0" w:space="0" w:color="auto"/>
                <w:left w:val="none" w:sz="0" w:space="0" w:color="auto"/>
                <w:bottom w:val="none" w:sz="0" w:space="0" w:color="auto"/>
                <w:right w:val="none" w:sz="0" w:space="0" w:color="auto"/>
              </w:divBdr>
              <w:divsChild>
                <w:div w:id="1729525691">
                  <w:marLeft w:val="0"/>
                  <w:marRight w:val="0"/>
                  <w:marTop w:val="0"/>
                  <w:marBottom w:val="0"/>
                  <w:divBdr>
                    <w:top w:val="none" w:sz="0" w:space="0" w:color="auto"/>
                    <w:left w:val="none" w:sz="0" w:space="0" w:color="auto"/>
                    <w:bottom w:val="none" w:sz="0" w:space="0" w:color="auto"/>
                    <w:right w:val="none" w:sz="0" w:space="0" w:color="auto"/>
                  </w:divBdr>
                </w:div>
              </w:divsChild>
            </w:div>
            <w:div w:id="1846241633">
              <w:marLeft w:val="0"/>
              <w:marRight w:val="0"/>
              <w:marTop w:val="0"/>
              <w:marBottom w:val="0"/>
              <w:divBdr>
                <w:top w:val="none" w:sz="0" w:space="0" w:color="auto"/>
                <w:left w:val="none" w:sz="0" w:space="0" w:color="auto"/>
                <w:bottom w:val="none" w:sz="0" w:space="0" w:color="auto"/>
                <w:right w:val="none" w:sz="0" w:space="0" w:color="auto"/>
              </w:divBdr>
              <w:divsChild>
                <w:div w:id="381178391">
                  <w:marLeft w:val="0"/>
                  <w:marRight w:val="0"/>
                  <w:marTop w:val="0"/>
                  <w:marBottom w:val="0"/>
                  <w:divBdr>
                    <w:top w:val="none" w:sz="0" w:space="0" w:color="auto"/>
                    <w:left w:val="none" w:sz="0" w:space="0" w:color="auto"/>
                    <w:bottom w:val="none" w:sz="0" w:space="0" w:color="auto"/>
                    <w:right w:val="none" w:sz="0" w:space="0" w:color="auto"/>
                  </w:divBdr>
                </w:div>
              </w:divsChild>
            </w:div>
            <w:div w:id="146019734">
              <w:marLeft w:val="0"/>
              <w:marRight w:val="0"/>
              <w:marTop w:val="0"/>
              <w:marBottom w:val="0"/>
              <w:divBdr>
                <w:top w:val="none" w:sz="0" w:space="0" w:color="auto"/>
                <w:left w:val="none" w:sz="0" w:space="0" w:color="auto"/>
                <w:bottom w:val="none" w:sz="0" w:space="0" w:color="auto"/>
                <w:right w:val="none" w:sz="0" w:space="0" w:color="auto"/>
              </w:divBdr>
              <w:divsChild>
                <w:div w:id="1442258976">
                  <w:marLeft w:val="0"/>
                  <w:marRight w:val="0"/>
                  <w:marTop w:val="0"/>
                  <w:marBottom w:val="0"/>
                  <w:divBdr>
                    <w:top w:val="none" w:sz="0" w:space="0" w:color="auto"/>
                    <w:left w:val="none" w:sz="0" w:space="0" w:color="auto"/>
                    <w:bottom w:val="none" w:sz="0" w:space="0" w:color="auto"/>
                    <w:right w:val="none" w:sz="0" w:space="0" w:color="auto"/>
                  </w:divBdr>
                </w:div>
              </w:divsChild>
            </w:div>
            <w:div w:id="994259520">
              <w:marLeft w:val="0"/>
              <w:marRight w:val="0"/>
              <w:marTop w:val="0"/>
              <w:marBottom w:val="0"/>
              <w:divBdr>
                <w:top w:val="none" w:sz="0" w:space="0" w:color="auto"/>
                <w:left w:val="none" w:sz="0" w:space="0" w:color="auto"/>
                <w:bottom w:val="none" w:sz="0" w:space="0" w:color="auto"/>
                <w:right w:val="none" w:sz="0" w:space="0" w:color="auto"/>
              </w:divBdr>
              <w:divsChild>
                <w:div w:id="393820846">
                  <w:marLeft w:val="0"/>
                  <w:marRight w:val="0"/>
                  <w:marTop w:val="0"/>
                  <w:marBottom w:val="0"/>
                  <w:divBdr>
                    <w:top w:val="none" w:sz="0" w:space="0" w:color="auto"/>
                    <w:left w:val="none" w:sz="0" w:space="0" w:color="auto"/>
                    <w:bottom w:val="none" w:sz="0" w:space="0" w:color="auto"/>
                    <w:right w:val="none" w:sz="0" w:space="0" w:color="auto"/>
                  </w:divBdr>
                </w:div>
              </w:divsChild>
            </w:div>
            <w:div w:id="1302927653">
              <w:marLeft w:val="0"/>
              <w:marRight w:val="0"/>
              <w:marTop w:val="0"/>
              <w:marBottom w:val="0"/>
              <w:divBdr>
                <w:top w:val="none" w:sz="0" w:space="0" w:color="auto"/>
                <w:left w:val="none" w:sz="0" w:space="0" w:color="auto"/>
                <w:bottom w:val="none" w:sz="0" w:space="0" w:color="auto"/>
                <w:right w:val="none" w:sz="0" w:space="0" w:color="auto"/>
              </w:divBdr>
              <w:divsChild>
                <w:div w:id="1254708809">
                  <w:marLeft w:val="0"/>
                  <w:marRight w:val="0"/>
                  <w:marTop w:val="0"/>
                  <w:marBottom w:val="0"/>
                  <w:divBdr>
                    <w:top w:val="none" w:sz="0" w:space="0" w:color="auto"/>
                    <w:left w:val="none" w:sz="0" w:space="0" w:color="auto"/>
                    <w:bottom w:val="none" w:sz="0" w:space="0" w:color="auto"/>
                    <w:right w:val="none" w:sz="0" w:space="0" w:color="auto"/>
                  </w:divBdr>
                </w:div>
              </w:divsChild>
            </w:div>
            <w:div w:id="1740134108">
              <w:marLeft w:val="0"/>
              <w:marRight w:val="0"/>
              <w:marTop w:val="0"/>
              <w:marBottom w:val="0"/>
              <w:divBdr>
                <w:top w:val="none" w:sz="0" w:space="0" w:color="auto"/>
                <w:left w:val="none" w:sz="0" w:space="0" w:color="auto"/>
                <w:bottom w:val="none" w:sz="0" w:space="0" w:color="auto"/>
                <w:right w:val="none" w:sz="0" w:space="0" w:color="auto"/>
              </w:divBdr>
              <w:divsChild>
                <w:div w:id="843478244">
                  <w:marLeft w:val="0"/>
                  <w:marRight w:val="0"/>
                  <w:marTop w:val="0"/>
                  <w:marBottom w:val="0"/>
                  <w:divBdr>
                    <w:top w:val="none" w:sz="0" w:space="0" w:color="auto"/>
                    <w:left w:val="none" w:sz="0" w:space="0" w:color="auto"/>
                    <w:bottom w:val="none" w:sz="0" w:space="0" w:color="auto"/>
                    <w:right w:val="none" w:sz="0" w:space="0" w:color="auto"/>
                  </w:divBdr>
                </w:div>
              </w:divsChild>
            </w:div>
            <w:div w:id="369307510">
              <w:marLeft w:val="0"/>
              <w:marRight w:val="0"/>
              <w:marTop w:val="0"/>
              <w:marBottom w:val="0"/>
              <w:divBdr>
                <w:top w:val="none" w:sz="0" w:space="0" w:color="auto"/>
                <w:left w:val="none" w:sz="0" w:space="0" w:color="auto"/>
                <w:bottom w:val="none" w:sz="0" w:space="0" w:color="auto"/>
                <w:right w:val="none" w:sz="0" w:space="0" w:color="auto"/>
              </w:divBdr>
              <w:divsChild>
                <w:div w:id="155195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50147">
          <w:marLeft w:val="0"/>
          <w:marRight w:val="0"/>
          <w:marTop w:val="0"/>
          <w:marBottom w:val="600"/>
          <w:divBdr>
            <w:top w:val="none" w:sz="0" w:space="0" w:color="auto"/>
            <w:left w:val="none" w:sz="0" w:space="0" w:color="auto"/>
            <w:bottom w:val="none" w:sz="0" w:space="0" w:color="auto"/>
            <w:right w:val="none" w:sz="0" w:space="0" w:color="auto"/>
          </w:divBdr>
        </w:div>
      </w:divsChild>
    </w:div>
    <w:div w:id="630985756">
      <w:marLeft w:val="0"/>
      <w:marRight w:val="0"/>
      <w:marTop w:val="0"/>
      <w:marBottom w:val="0"/>
      <w:divBdr>
        <w:top w:val="none" w:sz="0" w:space="0" w:color="auto"/>
        <w:left w:val="none" w:sz="0" w:space="0" w:color="auto"/>
        <w:bottom w:val="none" w:sz="0" w:space="0" w:color="auto"/>
        <w:right w:val="none" w:sz="0" w:space="0" w:color="auto"/>
      </w:divBdr>
      <w:divsChild>
        <w:div w:id="327903619">
          <w:marLeft w:val="0"/>
          <w:marRight w:val="0"/>
          <w:marTop w:val="600"/>
          <w:marBottom w:val="0"/>
          <w:divBdr>
            <w:top w:val="none" w:sz="0" w:space="0" w:color="auto"/>
            <w:left w:val="none" w:sz="0" w:space="0" w:color="auto"/>
            <w:bottom w:val="none" w:sz="0" w:space="0" w:color="auto"/>
            <w:right w:val="none" w:sz="0" w:space="0" w:color="auto"/>
          </w:divBdr>
        </w:div>
        <w:div w:id="1775782675">
          <w:marLeft w:val="0"/>
          <w:marRight w:val="0"/>
          <w:marTop w:val="0"/>
          <w:marBottom w:val="0"/>
          <w:divBdr>
            <w:top w:val="none" w:sz="0" w:space="0" w:color="auto"/>
            <w:left w:val="none" w:sz="0" w:space="0" w:color="auto"/>
            <w:bottom w:val="none" w:sz="0" w:space="0" w:color="auto"/>
            <w:right w:val="none" w:sz="0" w:space="0" w:color="auto"/>
          </w:divBdr>
        </w:div>
        <w:div w:id="705640139">
          <w:marLeft w:val="0"/>
          <w:marRight w:val="0"/>
          <w:marTop w:val="0"/>
          <w:marBottom w:val="600"/>
          <w:divBdr>
            <w:top w:val="none" w:sz="0" w:space="0" w:color="auto"/>
            <w:left w:val="none" w:sz="0" w:space="0" w:color="auto"/>
            <w:bottom w:val="none" w:sz="0" w:space="0" w:color="auto"/>
            <w:right w:val="none" w:sz="0" w:space="0" w:color="auto"/>
          </w:divBdr>
        </w:div>
      </w:divsChild>
    </w:div>
    <w:div w:id="633102853">
      <w:marLeft w:val="0"/>
      <w:marRight w:val="0"/>
      <w:marTop w:val="0"/>
      <w:marBottom w:val="0"/>
      <w:divBdr>
        <w:top w:val="none" w:sz="0" w:space="0" w:color="auto"/>
        <w:left w:val="none" w:sz="0" w:space="0" w:color="auto"/>
        <w:bottom w:val="none" w:sz="0" w:space="0" w:color="auto"/>
        <w:right w:val="none" w:sz="0" w:space="0" w:color="auto"/>
      </w:divBdr>
      <w:divsChild>
        <w:div w:id="2027630401">
          <w:marLeft w:val="0"/>
          <w:marRight w:val="0"/>
          <w:marTop w:val="600"/>
          <w:marBottom w:val="0"/>
          <w:divBdr>
            <w:top w:val="none" w:sz="0" w:space="0" w:color="auto"/>
            <w:left w:val="none" w:sz="0" w:space="0" w:color="auto"/>
            <w:bottom w:val="none" w:sz="0" w:space="0" w:color="auto"/>
            <w:right w:val="none" w:sz="0" w:space="0" w:color="auto"/>
          </w:divBdr>
        </w:div>
        <w:div w:id="1688601510">
          <w:marLeft w:val="0"/>
          <w:marRight w:val="0"/>
          <w:marTop w:val="0"/>
          <w:marBottom w:val="0"/>
          <w:divBdr>
            <w:top w:val="none" w:sz="0" w:space="0" w:color="auto"/>
            <w:left w:val="none" w:sz="0" w:space="0" w:color="auto"/>
            <w:bottom w:val="none" w:sz="0" w:space="0" w:color="auto"/>
            <w:right w:val="none" w:sz="0" w:space="0" w:color="auto"/>
          </w:divBdr>
        </w:div>
        <w:div w:id="1906917595">
          <w:marLeft w:val="0"/>
          <w:marRight w:val="0"/>
          <w:marTop w:val="0"/>
          <w:marBottom w:val="600"/>
          <w:divBdr>
            <w:top w:val="none" w:sz="0" w:space="0" w:color="auto"/>
            <w:left w:val="none" w:sz="0" w:space="0" w:color="auto"/>
            <w:bottom w:val="none" w:sz="0" w:space="0" w:color="auto"/>
            <w:right w:val="none" w:sz="0" w:space="0" w:color="auto"/>
          </w:divBdr>
        </w:div>
      </w:divsChild>
    </w:div>
    <w:div w:id="636762137">
      <w:marLeft w:val="0"/>
      <w:marRight w:val="0"/>
      <w:marTop w:val="0"/>
      <w:marBottom w:val="0"/>
      <w:divBdr>
        <w:top w:val="none" w:sz="0" w:space="0" w:color="auto"/>
        <w:left w:val="none" w:sz="0" w:space="0" w:color="auto"/>
        <w:bottom w:val="none" w:sz="0" w:space="0" w:color="auto"/>
        <w:right w:val="none" w:sz="0" w:space="0" w:color="auto"/>
      </w:divBdr>
      <w:divsChild>
        <w:div w:id="1028138067">
          <w:marLeft w:val="0"/>
          <w:marRight w:val="0"/>
          <w:marTop w:val="600"/>
          <w:marBottom w:val="0"/>
          <w:divBdr>
            <w:top w:val="none" w:sz="0" w:space="0" w:color="auto"/>
            <w:left w:val="none" w:sz="0" w:space="0" w:color="auto"/>
            <w:bottom w:val="none" w:sz="0" w:space="0" w:color="auto"/>
            <w:right w:val="none" w:sz="0" w:space="0" w:color="auto"/>
          </w:divBdr>
        </w:div>
        <w:div w:id="161046862">
          <w:marLeft w:val="0"/>
          <w:marRight w:val="0"/>
          <w:marTop w:val="0"/>
          <w:marBottom w:val="0"/>
          <w:divBdr>
            <w:top w:val="none" w:sz="0" w:space="0" w:color="auto"/>
            <w:left w:val="none" w:sz="0" w:space="0" w:color="auto"/>
            <w:bottom w:val="none" w:sz="0" w:space="0" w:color="auto"/>
            <w:right w:val="none" w:sz="0" w:space="0" w:color="auto"/>
          </w:divBdr>
        </w:div>
        <w:div w:id="240919789">
          <w:marLeft w:val="0"/>
          <w:marRight w:val="0"/>
          <w:marTop w:val="0"/>
          <w:marBottom w:val="600"/>
          <w:divBdr>
            <w:top w:val="none" w:sz="0" w:space="0" w:color="auto"/>
            <w:left w:val="none" w:sz="0" w:space="0" w:color="auto"/>
            <w:bottom w:val="none" w:sz="0" w:space="0" w:color="auto"/>
            <w:right w:val="none" w:sz="0" w:space="0" w:color="auto"/>
          </w:divBdr>
        </w:div>
      </w:divsChild>
    </w:div>
    <w:div w:id="651713286">
      <w:marLeft w:val="0"/>
      <w:marRight w:val="0"/>
      <w:marTop w:val="0"/>
      <w:marBottom w:val="0"/>
      <w:divBdr>
        <w:top w:val="none" w:sz="0" w:space="0" w:color="auto"/>
        <w:left w:val="none" w:sz="0" w:space="0" w:color="auto"/>
        <w:bottom w:val="none" w:sz="0" w:space="0" w:color="auto"/>
        <w:right w:val="none" w:sz="0" w:space="0" w:color="auto"/>
      </w:divBdr>
      <w:divsChild>
        <w:div w:id="2135127769">
          <w:marLeft w:val="0"/>
          <w:marRight w:val="0"/>
          <w:marTop w:val="600"/>
          <w:marBottom w:val="0"/>
          <w:divBdr>
            <w:top w:val="none" w:sz="0" w:space="0" w:color="auto"/>
            <w:left w:val="none" w:sz="0" w:space="0" w:color="auto"/>
            <w:bottom w:val="none" w:sz="0" w:space="0" w:color="auto"/>
            <w:right w:val="none" w:sz="0" w:space="0" w:color="auto"/>
          </w:divBdr>
        </w:div>
        <w:div w:id="371275408">
          <w:marLeft w:val="0"/>
          <w:marRight w:val="0"/>
          <w:marTop w:val="0"/>
          <w:marBottom w:val="0"/>
          <w:divBdr>
            <w:top w:val="none" w:sz="0" w:space="0" w:color="auto"/>
            <w:left w:val="none" w:sz="0" w:space="0" w:color="auto"/>
            <w:bottom w:val="none" w:sz="0" w:space="0" w:color="auto"/>
            <w:right w:val="none" w:sz="0" w:space="0" w:color="auto"/>
          </w:divBdr>
        </w:div>
        <w:div w:id="1556624542">
          <w:marLeft w:val="0"/>
          <w:marRight w:val="0"/>
          <w:marTop w:val="0"/>
          <w:marBottom w:val="600"/>
          <w:divBdr>
            <w:top w:val="none" w:sz="0" w:space="0" w:color="auto"/>
            <w:left w:val="none" w:sz="0" w:space="0" w:color="auto"/>
            <w:bottom w:val="none" w:sz="0" w:space="0" w:color="auto"/>
            <w:right w:val="none" w:sz="0" w:space="0" w:color="auto"/>
          </w:divBdr>
        </w:div>
      </w:divsChild>
    </w:div>
    <w:div w:id="653796143">
      <w:marLeft w:val="0"/>
      <w:marRight w:val="0"/>
      <w:marTop w:val="0"/>
      <w:marBottom w:val="0"/>
      <w:divBdr>
        <w:top w:val="none" w:sz="0" w:space="0" w:color="auto"/>
        <w:left w:val="none" w:sz="0" w:space="0" w:color="auto"/>
        <w:bottom w:val="none" w:sz="0" w:space="0" w:color="auto"/>
        <w:right w:val="none" w:sz="0" w:space="0" w:color="auto"/>
      </w:divBdr>
      <w:divsChild>
        <w:div w:id="1196966322">
          <w:marLeft w:val="0"/>
          <w:marRight w:val="0"/>
          <w:marTop w:val="600"/>
          <w:marBottom w:val="0"/>
          <w:divBdr>
            <w:top w:val="none" w:sz="0" w:space="0" w:color="auto"/>
            <w:left w:val="none" w:sz="0" w:space="0" w:color="auto"/>
            <w:bottom w:val="none" w:sz="0" w:space="0" w:color="auto"/>
            <w:right w:val="none" w:sz="0" w:space="0" w:color="auto"/>
          </w:divBdr>
        </w:div>
        <w:div w:id="1302225477">
          <w:marLeft w:val="0"/>
          <w:marRight w:val="0"/>
          <w:marTop w:val="0"/>
          <w:marBottom w:val="0"/>
          <w:divBdr>
            <w:top w:val="none" w:sz="0" w:space="0" w:color="auto"/>
            <w:left w:val="none" w:sz="0" w:space="0" w:color="auto"/>
            <w:bottom w:val="none" w:sz="0" w:space="0" w:color="auto"/>
            <w:right w:val="none" w:sz="0" w:space="0" w:color="auto"/>
          </w:divBdr>
          <w:divsChild>
            <w:div w:id="439491323">
              <w:marLeft w:val="0"/>
              <w:marRight w:val="0"/>
              <w:marTop w:val="0"/>
              <w:marBottom w:val="0"/>
              <w:divBdr>
                <w:top w:val="none" w:sz="0" w:space="0" w:color="auto"/>
                <w:left w:val="none" w:sz="0" w:space="0" w:color="auto"/>
                <w:bottom w:val="none" w:sz="0" w:space="0" w:color="auto"/>
                <w:right w:val="none" w:sz="0" w:space="0" w:color="auto"/>
              </w:divBdr>
              <w:divsChild>
                <w:div w:id="1663119944">
                  <w:marLeft w:val="0"/>
                  <w:marRight w:val="0"/>
                  <w:marTop w:val="0"/>
                  <w:marBottom w:val="0"/>
                  <w:divBdr>
                    <w:top w:val="none" w:sz="0" w:space="0" w:color="auto"/>
                    <w:left w:val="none" w:sz="0" w:space="0" w:color="auto"/>
                    <w:bottom w:val="none" w:sz="0" w:space="0" w:color="auto"/>
                    <w:right w:val="none" w:sz="0" w:space="0" w:color="auto"/>
                  </w:divBdr>
                </w:div>
              </w:divsChild>
            </w:div>
            <w:div w:id="84502069">
              <w:marLeft w:val="0"/>
              <w:marRight w:val="0"/>
              <w:marTop w:val="0"/>
              <w:marBottom w:val="0"/>
              <w:divBdr>
                <w:top w:val="none" w:sz="0" w:space="0" w:color="auto"/>
                <w:left w:val="none" w:sz="0" w:space="0" w:color="auto"/>
                <w:bottom w:val="none" w:sz="0" w:space="0" w:color="auto"/>
                <w:right w:val="none" w:sz="0" w:space="0" w:color="auto"/>
              </w:divBdr>
              <w:divsChild>
                <w:div w:id="340937139">
                  <w:marLeft w:val="0"/>
                  <w:marRight w:val="0"/>
                  <w:marTop w:val="0"/>
                  <w:marBottom w:val="0"/>
                  <w:divBdr>
                    <w:top w:val="none" w:sz="0" w:space="0" w:color="auto"/>
                    <w:left w:val="none" w:sz="0" w:space="0" w:color="auto"/>
                    <w:bottom w:val="none" w:sz="0" w:space="0" w:color="auto"/>
                    <w:right w:val="none" w:sz="0" w:space="0" w:color="auto"/>
                  </w:divBdr>
                </w:div>
              </w:divsChild>
            </w:div>
            <w:div w:id="18940347">
              <w:marLeft w:val="0"/>
              <w:marRight w:val="0"/>
              <w:marTop w:val="0"/>
              <w:marBottom w:val="0"/>
              <w:divBdr>
                <w:top w:val="none" w:sz="0" w:space="0" w:color="auto"/>
                <w:left w:val="none" w:sz="0" w:space="0" w:color="auto"/>
                <w:bottom w:val="none" w:sz="0" w:space="0" w:color="auto"/>
                <w:right w:val="none" w:sz="0" w:space="0" w:color="auto"/>
              </w:divBdr>
              <w:divsChild>
                <w:div w:id="430274538">
                  <w:marLeft w:val="0"/>
                  <w:marRight w:val="0"/>
                  <w:marTop w:val="0"/>
                  <w:marBottom w:val="0"/>
                  <w:divBdr>
                    <w:top w:val="none" w:sz="0" w:space="0" w:color="auto"/>
                    <w:left w:val="none" w:sz="0" w:space="0" w:color="auto"/>
                    <w:bottom w:val="none" w:sz="0" w:space="0" w:color="auto"/>
                    <w:right w:val="none" w:sz="0" w:space="0" w:color="auto"/>
                  </w:divBdr>
                </w:div>
              </w:divsChild>
            </w:div>
            <w:div w:id="120265904">
              <w:marLeft w:val="0"/>
              <w:marRight w:val="0"/>
              <w:marTop w:val="0"/>
              <w:marBottom w:val="0"/>
              <w:divBdr>
                <w:top w:val="none" w:sz="0" w:space="0" w:color="auto"/>
                <w:left w:val="none" w:sz="0" w:space="0" w:color="auto"/>
                <w:bottom w:val="none" w:sz="0" w:space="0" w:color="auto"/>
                <w:right w:val="none" w:sz="0" w:space="0" w:color="auto"/>
              </w:divBdr>
              <w:divsChild>
                <w:div w:id="2116516399">
                  <w:marLeft w:val="0"/>
                  <w:marRight w:val="0"/>
                  <w:marTop w:val="0"/>
                  <w:marBottom w:val="0"/>
                  <w:divBdr>
                    <w:top w:val="none" w:sz="0" w:space="0" w:color="auto"/>
                    <w:left w:val="none" w:sz="0" w:space="0" w:color="auto"/>
                    <w:bottom w:val="none" w:sz="0" w:space="0" w:color="auto"/>
                    <w:right w:val="none" w:sz="0" w:space="0" w:color="auto"/>
                  </w:divBdr>
                </w:div>
              </w:divsChild>
            </w:div>
            <w:div w:id="1037270990">
              <w:marLeft w:val="0"/>
              <w:marRight w:val="0"/>
              <w:marTop w:val="0"/>
              <w:marBottom w:val="0"/>
              <w:divBdr>
                <w:top w:val="none" w:sz="0" w:space="0" w:color="auto"/>
                <w:left w:val="none" w:sz="0" w:space="0" w:color="auto"/>
                <w:bottom w:val="none" w:sz="0" w:space="0" w:color="auto"/>
                <w:right w:val="none" w:sz="0" w:space="0" w:color="auto"/>
              </w:divBdr>
              <w:divsChild>
                <w:div w:id="705259545">
                  <w:marLeft w:val="0"/>
                  <w:marRight w:val="0"/>
                  <w:marTop w:val="0"/>
                  <w:marBottom w:val="0"/>
                  <w:divBdr>
                    <w:top w:val="none" w:sz="0" w:space="0" w:color="auto"/>
                    <w:left w:val="none" w:sz="0" w:space="0" w:color="auto"/>
                    <w:bottom w:val="none" w:sz="0" w:space="0" w:color="auto"/>
                    <w:right w:val="none" w:sz="0" w:space="0" w:color="auto"/>
                  </w:divBdr>
                </w:div>
              </w:divsChild>
            </w:div>
            <w:div w:id="2058553254">
              <w:marLeft w:val="0"/>
              <w:marRight w:val="0"/>
              <w:marTop w:val="0"/>
              <w:marBottom w:val="0"/>
              <w:divBdr>
                <w:top w:val="none" w:sz="0" w:space="0" w:color="auto"/>
                <w:left w:val="none" w:sz="0" w:space="0" w:color="auto"/>
                <w:bottom w:val="none" w:sz="0" w:space="0" w:color="auto"/>
                <w:right w:val="none" w:sz="0" w:space="0" w:color="auto"/>
              </w:divBdr>
              <w:divsChild>
                <w:div w:id="547566328">
                  <w:marLeft w:val="0"/>
                  <w:marRight w:val="0"/>
                  <w:marTop w:val="0"/>
                  <w:marBottom w:val="0"/>
                  <w:divBdr>
                    <w:top w:val="none" w:sz="0" w:space="0" w:color="auto"/>
                    <w:left w:val="none" w:sz="0" w:space="0" w:color="auto"/>
                    <w:bottom w:val="none" w:sz="0" w:space="0" w:color="auto"/>
                    <w:right w:val="none" w:sz="0" w:space="0" w:color="auto"/>
                  </w:divBdr>
                </w:div>
              </w:divsChild>
            </w:div>
            <w:div w:id="2017413758">
              <w:marLeft w:val="0"/>
              <w:marRight w:val="0"/>
              <w:marTop w:val="0"/>
              <w:marBottom w:val="0"/>
              <w:divBdr>
                <w:top w:val="none" w:sz="0" w:space="0" w:color="auto"/>
                <w:left w:val="none" w:sz="0" w:space="0" w:color="auto"/>
                <w:bottom w:val="none" w:sz="0" w:space="0" w:color="auto"/>
                <w:right w:val="none" w:sz="0" w:space="0" w:color="auto"/>
              </w:divBdr>
              <w:divsChild>
                <w:div w:id="1947541039">
                  <w:marLeft w:val="0"/>
                  <w:marRight w:val="0"/>
                  <w:marTop w:val="0"/>
                  <w:marBottom w:val="0"/>
                  <w:divBdr>
                    <w:top w:val="none" w:sz="0" w:space="0" w:color="auto"/>
                    <w:left w:val="none" w:sz="0" w:space="0" w:color="auto"/>
                    <w:bottom w:val="none" w:sz="0" w:space="0" w:color="auto"/>
                    <w:right w:val="none" w:sz="0" w:space="0" w:color="auto"/>
                  </w:divBdr>
                </w:div>
              </w:divsChild>
            </w:div>
            <w:div w:id="967667856">
              <w:marLeft w:val="0"/>
              <w:marRight w:val="0"/>
              <w:marTop w:val="0"/>
              <w:marBottom w:val="0"/>
              <w:divBdr>
                <w:top w:val="none" w:sz="0" w:space="0" w:color="auto"/>
                <w:left w:val="none" w:sz="0" w:space="0" w:color="auto"/>
                <w:bottom w:val="none" w:sz="0" w:space="0" w:color="auto"/>
                <w:right w:val="none" w:sz="0" w:space="0" w:color="auto"/>
              </w:divBdr>
              <w:divsChild>
                <w:div w:id="1642612435">
                  <w:marLeft w:val="0"/>
                  <w:marRight w:val="0"/>
                  <w:marTop w:val="0"/>
                  <w:marBottom w:val="0"/>
                  <w:divBdr>
                    <w:top w:val="none" w:sz="0" w:space="0" w:color="auto"/>
                    <w:left w:val="none" w:sz="0" w:space="0" w:color="auto"/>
                    <w:bottom w:val="none" w:sz="0" w:space="0" w:color="auto"/>
                    <w:right w:val="none" w:sz="0" w:space="0" w:color="auto"/>
                  </w:divBdr>
                </w:div>
              </w:divsChild>
            </w:div>
            <w:div w:id="2131631539">
              <w:marLeft w:val="0"/>
              <w:marRight w:val="0"/>
              <w:marTop w:val="0"/>
              <w:marBottom w:val="0"/>
              <w:divBdr>
                <w:top w:val="none" w:sz="0" w:space="0" w:color="auto"/>
                <w:left w:val="none" w:sz="0" w:space="0" w:color="auto"/>
                <w:bottom w:val="none" w:sz="0" w:space="0" w:color="auto"/>
                <w:right w:val="none" w:sz="0" w:space="0" w:color="auto"/>
              </w:divBdr>
              <w:divsChild>
                <w:div w:id="5250197">
                  <w:marLeft w:val="0"/>
                  <w:marRight w:val="0"/>
                  <w:marTop w:val="0"/>
                  <w:marBottom w:val="0"/>
                  <w:divBdr>
                    <w:top w:val="none" w:sz="0" w:space="0" w:color="auto"/>
                    <w:left w:val="none" w:sz="0" w:space="0" w:color="auto"/>
                    <w:bottom w:val="none" w:sz="0" w:space="0" w:color="auto"/>
                    <w:right w:val="none" w:sz="0" w:space="0" w:color="auto"/>
                  </w:divBdr>
                </w:div>
              </w:divsChild>
            </w:div>
            <w:div w:id="1498493284">
              <w:marLeft w:val="0"/>
              <w:marRight w:val="0"/>
              <w:marTop w:val="0"/>
              <w:marBottom w:val="0"/>
              <w:divBdr>
                <w:top w:val="none" w:sz="0" w:space="0" w:color="auto"/>
                <w:left w:val="none" w:sz="0" w:space="0" w:color="auto"/>
                <w:bottom w:val="none" w:sz="0" w:space="0" w:color="auto"/>
                <w:right w:val="none" w:sz="0" w:space="0" w:color="auto"/>
              </w:divBdr>
              <w:divsChild>
                <w:div w:id="1859781468">
                  <w:marLeft w:val="0"/>
                  <w:marRight w:val="0"/>
                  <w:marTop w:val="0"/>
                  <w:marBottom w:val="0"/>
                  <w:divBdr>
                    <w:top w:val="none" w:sz="0" w:space="0" w:color="auto"/>
                    <w:left w:val="none" w:sz="0" w:space="0" w:color="auto"/>
                    <w:bottom w:val="none" w:sz="0" w:space="0" w:color="auto"/>
                    <w:right w:val="none" w:sz="0" w:space="0" w:color="auto"/>
                  </w:divBdr>
                </w:div>
              </w:divsChild>
            </w:div>
            <w:div w:id="342822262">
              <w:marLeft w:val="0"/>
              <w:marRight w:val="0"/>
              <w:marTop w:val="0"/>
              <w:marBottom w:val="0"/>
              <w:divBdr>
                <w:top w:val="none" w:sz="0" w:space="0" w:color="auto"/>
                <w:left w:val="none" w:sz="0" w:space="0" w:color="auto"/>
                <w:bottom w:val="none" w:sz="0" w:space="0" w:color="auto"/>
                <w:right w:val="none" w:sz="0" w:space="0" w:color="auto"/>
              </w:divBdr>
              <w:divsChild>
                <w:div w:id="1600408542">
                  <w:marLeft w:val="0"/>
                  <w:marRight w:val="0"/>
                  <w:marTop w:val="0"/>
                  <w:marBottom w:val="0"/>
                  <w:divBdr>
                    <w:top w:val="none" w:sz="0" w:space="0" w:color="auto"/>
                    <w:left w:val="none" w:sz="0" w:space="0" w:color="auto"/>
                    <w:bottom w:val="none" w:sz="0" w:space="0" w:color="auto"/>
                    <w:right w:val="none" w:sz="0" w:space="0" w:color="auto"/>
                  </w:divBdr>
                </w:div>
              </w:divsChild>
            </w:div>
            <w:div w:id="263853573">
              <w:marLeft w:val="0"/>
              <w:marRight w:val="0"/>
              <w:marTop w:val="0"/>
              <w:marBottom w:val="0"/>
              <w:divBdr>
                <w:top w:val="none" w:sz="0" w:space="0" w:color="auto"/>
                <w:left w:val="none" w:sz="0" w:space="0" w:color="auto"/>
                <w:bottom w:val="none" w:sz="0" w:space="0" w:color="auto"/>
                <w:right w:val="none" w:sz="0" w:space="0" w:color="auto"/>
              </w:divBdr>
              <w:divsChild>
                <w:div w:id="39205279">
                  <w:marLeft w:val="0"/>
                  <w:marRight w:val="0"/>
                  <w:marTop w:val="0"/>
                  <w:marBottom w:val="0"/>
                  <w:divBdr>
                    <w:top w:val="none" w:sz="0" w:space="0" w:color="auto"/>
                    <w:left w:val="none" w:sz="0" w:space="0" w:color="auto"/>
                    <w:bottom w:val="none" w:sz="0" w:space="0" w:color="auto"/>
                    <w:right w:val="none" w:sz="0" w:space="0" w:color="auto"/>
                  </w:divBdr>
                </w:div>
              </w:divsChild>
            </w:div>
            <w:div w:id="1406563960">
              <w:marLeft w:val="0"/>
              <w:marRight w:val="0"/>
              <w:marTop w:val="0"/>
              <w:marBottom w:val="0"/>
              <w:divBdr>
                <w:top w:val="none" w:sz="0" w:space="0" w:color="auto"/>
                <w:left w:val="none" w:sz="0" w:space="0" w:color="auto"/>
                <w:bottom w:val="none" w:sz="0" w:space="0" w:color="auto"/>
                <w:right w:val="none" w:sz="0" w:space="0" w:color="auto"/>
              </w:divBdr>
              <w:divsChild>
                <w:div w:id="1138958157">
                  <w:marLeft w:val="0"/>
                  <w:marRight w:val="0"/>
                  <w:marTop w:val="0"/>
                  <w:marBottom w:val="0"/>
                  <w:divBdr>
                    <w:top w:val="none" w:sz="0" w:space="0" w:color="auto"/>
                    <w:left w:val="none" w:sz="0" w:space="0" w:color="auto"/>
                    <w:bottom w:val="none" w:sz="0" w:space="0" w:color="auto"/>
                    <w:right w:val="none" w:sz="0" w:space="0" w:color="auto"/>
                  </w:divBdr>
                </w:div>
              </w:divsChild>
            </w:div>
            <w:div w:id="397361555">
              <w:marLeft w:val="0"/>
              <w:marRight w:val="0"/>
              <w:marTop w:val="0"/>
              <w:marBottom w:val="0"/>
              <w:divBdr>
                <w:top w:val="none" w:sz="0" w:space="0" w:color="auto"/>
                <w:left w:val="none" w:sz="0" w:space="0" w:color="auto"/>
                <w:bottom w:val="none" w:sz="0" w:space="0" w:color="auto"/>
                <w:right w:val="none" w:sz="0" w:space="0" w:color="auto"/>
              </w:divBdr>
              <w:divsChild>
                <w:div w:id="203518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1589">
          <w:marLeft w:val="0"/>
          <w:marRight w:val="0"/>
          <w:marTop w:val="0"/>
          <w:marBottom w:val="600"/>
          <w:divBdr>
            <w:top w:val="none" w:sz="0" w:space="0" w:color="auto"/>
            <w:left w:val="none" w:sz="0" w:space="0" w:color="auto"/>
            <w:bottom w:val="none" w:sz="0" w:space="0" w:color="auto"/>
            <w:right w:val="none" w:sz="0" w:space="0" w:color="auto"/>
          </w:divBdr>
        </w:div>
      </w:divsChild>
    </w:div>
    <w:div w:id="668219047">
      <w:marLeft w:val="0"/>
      <w:marRight w:val="0"/>
      <w:marTop w:val="0"/>
      <w:marBottom w:val="0"/>
      <w:divBdr>
        <w:top w:val="none" w:sz="0" w:space="0" w:color="auto"/>
        <w:left w:val="none" w:sz="0" w:space="0" w:color="auto"/>
        <w:bottom w:val="none" w:sz="0" w:space="0" w:color="auto"/>
        <w:right w:val="none" w:sz="0" w:space="0" w:color="auto"/>
      </w:divBdr>
      <w:divsChild>
        <w:div w:id="411389753">
          <w:marLeft w:val="0"/>
          <w:marRight w:val="0"/>
          <w:marTop w:val="600"/>
          <w:marBottom w:val="0"/>
          <w:divBdr>
            <w:top w:val="none" w:sz="0" w:space="0" w:color="auto"/>
            <w:left w:val="none" w:sz="0" w:space="0" w:color="auto"/>
            <w:bottom w:val="none" w:sz="0" w:space="0" w:color="auto"/>
            <w:right w:val="none" w:sz="0" w:space="0" w:color="auto"/>
          </w:divBdr>
        </w:div>
        <w:div w:id="1540127105">
          <w:marLeft w:val="0"/>
          <w:marRight w:val="0"/>
          <w:marTop w:val="0"/>
          <w:marBottom w:val="0"/>
          <w:divBdr>
            <w:top w:val="none" w:sz="0" w:space="0" w:color="auto"/>
            <w:left w:val="none" w:sz="0" w:space="0" w:color="auto"/>
            <w:bottom w:val="none" w:sz="0" w:space="0" w:color="auto"/>
            <w:right w:val="none" w:sz="0" w:space="0" w:color="auto"/>
          </w:divBdr>
          <w:divsChild>
            <w:div w:id="1806921677">
              <w:marLeft w:val="547"/>
              <w:marRight w:val="0"/>
              <w:marTop w:val="0"/>
              <w:marBottom w:val="0"/>
              <w:divBdr>
                <w:top w:val="none" w:sz="0" w:space="0" w:color="auto"/>
                <w:left w:val="none" w:sz="0" w:space="0" w:color="auto"/>
                <w:bottom w:val="none" w:sz="0" w:space="0" w:color="auto"/>
                <w:right w:val="none" w:sz="0" w:space="0" w:color="auto"/>
              </w:divBdr>
            </w:div>
            <w:div w:id="1015887926">
              <w:marLeft w:val="547"/>
              <w:marRight w:val="0"/>
              <w:marTop w:val="0"/>
              <w:marBottom w:val="0"/>
              <w:divBdr>
                <w:top w:val="none" w:sz="0" w:space="0" w:color="auto"/>
                <w:left w:val="none" w:sz="0" w:space="0" w:color="auto"/>
                <w:bottom w:val="none" w:sz="0" w:space="0" w:color="auto"/>
                <w:right w:val="none" w:sz="0" w:space="0" w:color="auto"/>
              </w:divBdr>
            </w:div>
            <w:div w:id="223227341">
              <w:marLeft w:val="547"/>
              <w:marRight w:val="0"/>
              <w:marTop w:val="0"/>
              <w:marBottom w:val="0"/>
              <w:divBdr>
                <w:top w:val="none" w:sz="0" w:space="0" w:color="auto"/>
                <w:left w:val="none" w:sz="0" w:space="0" w:color="auto"/>
                <w:bottom w:val="none" w:sz="0" w:space="0" w:color="auto"/>
                <w:right w:val="none" w:sz="0" w:space="0" w:color="auto"/>
              </w:divBdr>
            </w:div>
            <w:div w:id="957876036">
              <w:marLeft w:val="547"/>
              <w:marRight w:val="0"/>
              <w:marTop w:val="0"/>
              <w:marBottom w:val="0"/>
              <w:divBdr>
                <w:top w:val="none" w:sz="0" w:space="0" w:color="auto"/>
                <w:left w:val="none" w:sz="0" w:space="0" w:color="auto"/>
                <w:bottom w:val="none" w:sz="0" w:space="0" w:color="auto"/>
                <w:right w:val="none" w:sz="0" w:space="0" w:color="auto"/>
              </w:divBdr>
            </w:div>
            <w:div w:id="1045451405">
              <w:marLeft w:val="547"/>
              <w:marRight w:val="0"/>
              <w:marTop w:val="0"/>
              <w:marBottom w:val="0"/>
              <w:divBdr>
                <w:top w:val="none" w:sz="0" w:space="0" w:color="auto"/>
                <w:left w:val="none" w:sz="0" w:space="0" w:color="auto"/>
                <w:bottom w:val="none" w:sz="0" w:space="0" w:color="auto"/>
                <w:right w:val="none" w:sz="0" w:space="0" w:color="auto"/>
              </w:divBdr>
            </w:div>
            <w:div w:id="61099539">
              <w:marLeft w:val="547"/>
              <w:marRight w:val="0"/>
              <w:marTop w:val="0"/>
              <w:marBottom w:val="0"/>
              <w:divBdr>
                <w:top w:val="none" w:sz="0" w:space="0" w:color="auto"/>
                <w:left w:val="none" w:sz="0" w:space="0" w:color="auto"/>
                <w:bottom w:val="none" w:sz="0" w:space="0" w:color="auto"/>
                <w:right w:val="none" w:sz="0" w:space="0" w:color="auto"/>
              </w:divBdr>
            </w:div>
            <w:div w:id="1516576898">
              <w:marLeft w:val="547"/>
              <w:marRight w:val="0"/>
              <w:marTop w:val="0"/>
              <w:marBottom w:val="0"/>
              <w:divBdr>
                <w:top w:val="none" w:sz="0" w:space="0" w:color="auto"/>
                <w:left w:val="none" w:sz="0" w:space="0" w:color="auto"/>
                <w:bottom w:val="none" w:sz="0" w:space="0" w:color="auto"/>
                <w:right w:val="none" w:sz="0" w:space="0" w:color="auto"/>
              </w:divBdr>
            </w:div>
            <w:div w:id="479158993">
              <w:marLeft w:val="547"/>
              <w:marRight w:val="0"/>
              <w:marTop w:val="0"/>
              <w:marBottom w:val="0"/>
              <w:divBdr>
                <w:top w:val="none" w:sz="0" w:space="0" w:color="auto"/>
                <w:left w:val="none" w:sz="0" w:space="0" w:color="auto"/>
                <w:bottom w:val="none" w:sz="0" w:space="0" w:color="auto"/>
                <w:right w:val="none" w:sz="0" w:space="0" w:color="auto"/>
              </w:divBdr>
            </w:div>
            <w:div w:id="39668094">
              <w:marLeft w:val="547"/>
              <w:marRight w:val="0"/>
              <w:marTop w:val="0"/>
              <w:marBottom w:val="0"/>
              <w:divBdr>
                <w:top w:val="none" w:sz="0" w:space="0" w:color="auto"/>
                <w:left w:val="none" w:sz="0" w:space="0" w:color="auto"/>
                <w:bottom w:val="none" w:sz="0" w:space="0" w:color="auto"/>
                <w:right w:val="none" w:sz="0" w:space="0" w:color="auto"/>
              </w:divBdr>
            </w:div>
            <w:div w:id="2132241858">
              <w:marLeft w:val="547"/>
              <w:marRight w:val="0"/>
              <w:marTop w:val="0"/>
              <w:marBottom w:val="0"/>
              <w:divBdr>
                <w:top w:val="none" w:sz="0" w:space="0" w:color="auto"/>
                <w:left w:val="none" w:sz="0" w:space="0" w:color="auto"/>
                <w:bottom w:val="none" w:sz="0" w:space="0" w:color="auto"/>
                <w:right w:val="none" w:sz="0" w:space="0" w:color="auto"/>
              </w:divBdr>
            </w:div>
            <w:div w:id="1192375463">
              <w:marLeft w:val="547"/>
              <w:marRight w:val="0"/>
              <w:marTop w:val="0"/>
              <w:marBottom w:val="0"/>
              <w:divBdr>
                <w:top w:val="none" w:sz="0" w:space="0" w:color="auto"/>
                <w:left w:val="none" w:sz="0" w:space="0" w:color="auto"/>
                <w:bottom w:val="none" w:sz="0" w:space="0" w:color="auto"/>
                <w:right w:val="none" w:sz="0" w:space="0" w:color="auto"/>
              </w:divBdr>
            </w:div>
            <w:div w:id="55588266">
              <w:marLeft w:val="547"/>
              <w:marRight w:val="0"/>
              <w:marTop w:val="0"/>
              <w:marBottom w:val="0"/>
              <w:divBdr>
                <w:top w:val="none" w:sz="0" w:space="0" w:color="auto"/>
                <w:left w:val="none" w:sz="0" w:space="0" w:color="auto"/>
                <w:bottom w:val="none" w:sz="0" w:space="0" w:color="auto"/>
                <w:right w:val="none" w:sz="0" w:space="0" w:color="auto"/>
              </w:divBdr>
            </w:div>
          </w:divsChild>
        </w:div>
        <w:div w:id="1929189419">
          <w:marLeft w:val="0"/>
          <w:marRight w:val="0"/>
          <w:marTop w:val="0"/>
          <w:marBottom w:val="600"/>
          <w:divBdr>
            <w:top w:val="none" w:sz="0" w:space="0" w:color="auto"/>
            <w:left w:val="none" w:sz="0" w:space="0" w:color="auto"/>
            <w:bottom w:val="none" w:sz="0" w:space="0" w:color="auto"/>
            <w:right w:val="none" w:sz="0" w:space="0" w:color="auto"/>
          </w:divBdr>
        </w:div>
      </w:divsChild>
    </w:div>
    <w:div w:id="678701965">
      <w:marLeft w:val="0"/>
      <w:marRight w:val="0"/>
      <w:marTop w:val="0"/>
      <w:marBottom w:val="0"/>
      <w:divBdr>
        <w:top w:val="none" w:sz="0" w:space="0" w:color="auto"/>
        <w:left w:val="none" w:sz="0" w:space="0" w:color="auto"/>
        <w:bottom w:val="none" w:sz="0" w:space="0" w:color="auto"/>
        <w:right w:val="none" w:sz="0" w:space="0" w:color="auto"/>
      </w:divBdr>
      <w:divsChild>
        <w:div w:id="1339773070">
          <w:marLeft w:val="0"/>
          <w:marRight w:val="0"/>
          <w:marTop w:val="600"/>
          <w:marBottom w:val="0"/>
          <w:divBdr>
            <w:top w:val="none" w:sz="0" w:space="0" w:color="auto"/>
            <w:left w:val="none" w:sz="0" w:space="0" w:color="auto"/>
            <w:bottom w:val="none" w:sz="0" w:space="0" w:color="auto"/>
            <w:right w:val="none" w:sz="0" w:space="0" w:color="auto"/>
          </w:divBdr>
        </w:div>
        <w:div w:id="63335474">
          <w:marLeft w:val="0"/>
          <w:marRight w:val="0"/>
          <w:marTop w:val="0"/>
          <w:marBottom w:val="0"/>
          <w:divBdr>
            <w:top w:val="none" w:sz="0" w:space="0" w:color="auto"/>
            <w:left w:val="none" w:sz="0" w:space="0" w:color="auto"/>
            <w:bottom w:val="none" w:sz="0" w:space="0" w:color="auto"/>
            <w:right w:val="none" w:sz="0" w:space="0" w:color="auto"/>
          </w:divBdr>
        </w:div>
        <w:div w:id="1369718082">
          <w:marLeft w:val="0"/>
          <w:marRight w:val="0"/>
          <w:marTop w:val="0"/>
          <w:marBottom w:val="600"/>
          <w:divBdr>
            <w:top w:val="none" w:sz="0" w:space="0" w:color="auto"/>
            <w:left w:val="none" w:sz="0" w:space="0" w:color="auto"/>
            <w:bottom w:val="none" w:sz="0" w:space="0" w:color="auto"/>
            <w:right w:val="none" w:sz="0" w:space="0" w:color="auto"/>
          </w:divBdr>
        </w:div>
      </w:divsChild>
    </w:div>
    <w:div w:id="700395937">
      <w:marLeft w:val="0"/>
      <w:marRight w:val="0"/>
      <w:marTop w:val="0"/>
      <w:marBottom w:val="0"/>
      <w:divBdr>
        <w:top w:val="none" w:sz="0" w:space="0" w:color="auto"/>
        <w:left w:val="none" w:sz="0" w:space="0" w:color="auto"/>
        <w:bottom w:val="none" w:sz="0" w:space="0" w:color="auto"/>
        <w:right w:val="none" w:sz="0" w:space="0" w:color="auto"/>
      </w:divBdr>
      <w:divsChild>
        <w:div w:id="1418021949">
          <w:marLeft w:val="0"/>
          <w:marRight w:val="0"/>
          <w:marTop w:val="600"/>
          <w:marBottom w:val="0"/>
          <w:divBdr>
            <w:top w:val="none" w:sz="0" w:space="0" w:color="auto"/>
            <w:left w:val="none" w:sz="0" w:space="0" w:color="auto"/>
            <w:bottom w:val="none" w:sz="0" w:space="0" w:color="auto"/>
            <w:right w:val="none" w:sz="0" w:space="0" w:color="auto"/>
          </w:divBdr>
        </w:div>
        <w:div w:id="1593507949">
          <w:marLeft w:val="0"/>
          <w:marRight w:val="0"/>
          <w:marTop w:val="0"/>
          <w:marBottom w:val="0"/>
          <w:divBdr>
            <w:top w:val="none" w:sz="0" w:space="0" w:color="auto"/>
            <w:left w:val="none" w:sz="0" w:space="0" w:color="auto"/>
            <w:bottom w:val="none" w:sz="0" w:space="0" w:color="auto"/>
            <w:right w:val="none" w:sz="0" w:space="0" w:color="auto"/>
          </w:divBdr>
          <w:divsChild>
            <w:div w:id="1684286075">
              <w:marLeft w:val="547"/>
              <w:marRight w:val="0"/>
              <w:marTop w:val="0"/>
              <w:marBottom w:val="0"/>
              <w:divBdr>
                <w:top w:val="none" w:sz="0" w:space="0" w:color="auto"/>
                <w:left w:val="none" w:sz="0" w:space="0" w:color="auto"/>
                <w:bottom w:val="none" w:sz="0" w:space="0" w:color="auto"/>
                <w:right w:val="none" w:sz="0" w:space="0" w:color="auto"/>
              </w:divBdr>
            </w:div>
            <w:div w:id="1389567537">
              <w:marLeft w:val="547"/>
              <w:marRight w:val="0"/>
              <w:marTop w:val="0"/>
              <w:marBottom w:val="0"/>
              <w:divBdr>
                <w:top w:val="none" w:sz="0" w:space="0" w:color="auto"/>
                <w:left w:val="none" w:sz="0" w:space="0" w:color="auto"/>
                <w:bottom w:val="none" w:sz="0" w:space="0" w:color="auto"/>
                <w:right w:val="none" w:sz="0" w:space="0" w:color="auto"/>
              </w:divBdr>
            </w:div>
            <w:div w:id="1483934101">
              <w:marLeft w:val="547"/>
              <w:marRight w:val="0"/>
              <w:marTop w:val="0"/>
              <w:marBottom w:val="0"/>
              <w:divBdr>
                <w:top w:val="none" w:sz="0" w:space="0" w:color="auto"/>
                <w:left w:val="none" w:sz="0" w:space="0" w:color="auto"/>
                <w:bottom w:val="none" w:sz="0" w:space="0" w:color="auto"/>
                <w:right w:val="none" w:sz="0" w:space="0" w:color="auto"/>
              </w:divBdr>
            </w:div>
            <w:div w:id="712582288">
              <w:marLeft w:val="547"/>
              <w:marRight w:val="0"/>
              <w:marTop w:val="0"/>
              <w:marBottom w:val="0"/>
              <w:divBdr>
                <w:top w:val="none" w:sz="0" w:space="0" w:color="auto"/>
                <w:left w:val="none" w:sz="0" w:space="0" w:color="auto"/>
                <w:bottom w:val="none" w:sz="0" w:space="0" w:color="auto"/>
                <w:right w:val="none" w:sz="0" w:space="0" w:color="auto"/>
              </w:divBdr>
            </w:div>
            <w:div w:id="983194222">
              <w:marLeft w:val="547"/>
              <w:marRight w:val="0"/>
              <w:marTop w:val="0"/>
              <w:marBottom w:val="0"/>
              <w:divBdr>
                <w:top w:val="none" w:sz="0" w:space="0" w:color="auto"/>
                <w:left w:val="none" w:sz="0" w:space="0" w:color="auto"/>
                <w:bottom w:val="none" w:sz="0" w:space="0" w:color="auto"/>
                <w:right w:val="none" w:sz="0" w:space="0" w:color="auto"/>
              </w:divBdr>
            </w:div>
            <w:div w:id="1466893275">
              <w:marLeft w:val="547"/>
              <w:marRight w:val="0"/>
              <w:marTop w:val="0"/>
              <w:marBottom w:val="0"/>
              <w:divBdr>
                <w:top w:val="none" w:sz="0" w:space="0" w:color="auto"/>
                <w:left w:val="none" w:sz="0" w:space="0" w:color="auto"/>
                <w:bottom w:val="none" w:sz="0" w:space="0" w:color="auto"/>
                <w:right w:val="none" w:sz="0" w:space="0" w:color="auto"/>
              </w:divBdr>
            </w:div>
            <w:div w:id="1906794075">
              <w:marLeft w:val="547"/>
              <w:marRight w:val="0"/>
              <w:marTop w:val="0"/>
              <w:marBottom w:val="0"/>
              <w:divBdr>
                <w:top w:val="none" w:sz="0" w:space="0" w:color="auto"/>
                <w:left w:val="none" w:sz="0" w:space="0" w:color="auto"/>
                <w:bottom w:val="none" w:sz="0" w:space="0" w:color="auto"/>
                <w:right w:val="none" w:sz="0" w:space="0" w:color="auto"/>
              </w:divBdr>
            </w:div>
            <w:div w:id="1595936284">
              <w:marLeft w:val="547"/>
              <w:marRight w:val="0"/>
              <w:marTop w:val="0"/>
              <w:marBottom w:val="0"/>
              <w:divBdr>
                <w:top w:val="none" w:sz="0" w:space="0" w:color="auto"/>
                <w:left w:val="none" w:sz="0" w:space="0" w:color="auto"/>
                <w:bottom w:val="none" w:sz="0" w:space="0" w:color="auto"/>
                <w:right w:val="none" w:sz="0" w:space="0" w:color="auto"/>
              </w:divBdr>
            </w:div>
            <w:div w:id="1564028423">
              <w:marLeft w:val="547"/>
              <w:marRight w:val="0"/>
              <w:marTop w:val="0"/>
              <w:marBottom w:val="0"/>
              <w:divBdr>
                <w:top w:val="none" w:sz="0" w:space="0" w:color="auto"/>
                <w:left w:val="none" w:sz="0" w:space="0" w:color="auto"/>
                <w:bottom w:val="none" w:sz="0" w:space="0" w:color="auto"/>
                <w:right w:val="none" w:sz="0" w:space="0" w:color="auto"/>
              </w:divBdr>
            </w:div>
            <w:div w:id="1663582751">
              <w:marLeft w:val="547"/>
              <w:marRight w:val="0"/>
              <w:marTop w:val="0"/>
              <w:marBottom w:val="0"/>
              <w:divBdr>
                <w:top w:val="none" w:sz="0" w:space="0" w:color="auto"/>
                <w:left w:val="none" w:sz="0" w:space="0" w:color="auto"/>
                <w:bottom w:val="none" w:sz="0" w:space="0" w:color="auto"/>
                <w:right w:val="none" w:sz="0" w:space="0" w:color="auto"/>
              </w:divBdr>
            </w:div>
            <w:div w:id="699476320">
              <w:marLeft w:val="547"/>
              <w:marRight w:val="0"/>
              <w:marTop w:val="0"/>
              <w:marBottom w:val="0"/>
              <w:divBdr>
                <w:top w:val="none" w:sz="0" w:space="0" w:color="auto"/>
                <w:left w:val="none" w:sz="0" w:space="0" w:color="auto"/>
                <w:bottom w:val="none" w:sz="0" w:space="0" w:color="auto"/>
                <w:right w:val="none" w:sz="0" w:space="0" w:color="auto"/>
              </w:divBdr>
            </w:div>
          </w:divsChild>
        </w:div>
        <w:div w:id="1780371826">
          <w:marLeft w:val="0"/>
          <w:marRight w:val="0"/>
          <w:marTop w:val="0"/>
          <w:marBottom w:val="600"/>
          <w:divBdr>
            <w:top w:val="none" w:sz="0" w:space="0" w:color="auto"/>
            <w:left w:val="none" w:sz="0" w:space="0" w:color="auto"/>
            <w:bottom w:val="none" w:sz="0" w:space="0" w:color="auto"/>
            <w:right w:val="none" w:sz="0" w:space="0" w:color="auto"/>
          </w:divBdr>
        </w:div>
      </w:divsChild>
    </w:div>
    <w:div w:id="701246275">
      <w:marLeft w:val="0"/>
      <w:marRight w:val="0"/>
      <w:marTop w:val="0"/>
      <w:marBottom w:val="0"/>
      <w:divBdr>
        <w:top w:val="none" w:sz="0" w:space="0" w:color="auto"/>
        <w:left w:val="none" w:sz="0" w:space="0" w:color="auto"/>
        <w:bottom w:val="none" w:sz="0" w:space="0" w:color="auto"/>
        <w:right w:val="none" w:sz="0" w:space="0" w:color="auto"/>
      </w:divBdr>
      <w:divsChild>
        <w:div w:id="52244603">
          <w:marLeft w:val="0"/>
          <w:marRight w:val="0"/>
          <w:marTop w:val="600"/>
          <w:marBottom w:val="0"/>
          <w:divBdr>
            <w:top w:val="none" w:sz="0" w:space="0" w:color="auto"/>
            <w:left w:val="none" w:sz="0" w:space="0" w:color="auto"/>
            <w:bottom w:val="none" w:sz="0" w:space="0" w:color="auto"/>
            <w:right w:val="none" w:sz="0" w:space="0" w:color="auto"/>
          </w:divBdr>
        </w:div>
        <w:div w:id="2019040839">
          <w:marLeft w:val="0"/>
          <w:marRight w:val="0"/>
          <w:marTop w:val="0"/>
          <w:marBottom w:val="0"/>
          <w:divBdr>
            <w:top w:val="none" w:sz="0" w:space="0" w:color="auto"/>
            <w:left w:val="none" w:sz="0" w:space="0" w:color="auto"/>
            <w:bottom w:val="none" w:sz="0" w:space="0" w:color="auto"/>
            <w:right w:val="none" w:sz="0" w:space="0" w:color="auto"/>
          </w:divBdr>
        </w:div>
        <w:div w:id="531918657">
          <w:marLeft w:val="0"/>
          <w:marRight w:val="0"/>
          <w:marTop w:val="0"/>
          <w:marBottom w:val="600"/>
          <w:divBdr>
            <w:top w:val="none" w:sz="0" w:space="0" w:color="auto"/>
            <w:left w:val="none" w:sz="0" w:space="0" w:color="auto"/>
            <w:bottom w:val="none" w:sz="0" w:space="0" w:color="auto"/>
            <w:right w:val="none" w:sz="0" w:space="0" w:color="auto"/>
          </w:divBdr>
        </w:div>
      </w:divsChild>
    </w:div>
    <w:div w:id="702903758">
      <w:marLeft w:val="0"/>
      <w:marRight w:val="0"/>
      <w:marTop w:val="0"/>
      <w:marBottom w:val="0"/>
      <w:divBdr>
        <w:top w:val="none" w:sz="0" w:space="0" w:color="auto"/>
        <w:left w:val="none" w:sz="0" w:space="0" w:color="auto"/>
        <w:bottom w:val="none" w:sz="0" w:space="0" w:color="auto"/>
        <w:right w:val="none" w:sz="0" w:space="0" w:color="auto"/>
      </w:divBdr>
      <w:divsChild>
        <w:div w:id="1892040027">
          <w:marLeft w:val="0"/>
          <w:marRight w:val="0"/>
          <w:marTop w:val="600"/>
          <w:marBottom w:val="0"/>
          <w:divBdr>
            <w:top w:val="none" w:sz="0" w:space="0" w:color="auto"/>
            <w:left w:val="none" w:sz="0" w:space="0" w:color="auto"/>
            <w:bottom w:val="none" w:sz="0" w:space="0" w:color="auto"/>
            <w:right w:val="none" w:sz="0" w:space="0" w:color="auto"/>
          </w:divBdr>
        </w:div>
        <w:div w:id="566646238">
          <w:marLeft w:val="0"/>
          <w:marRight w:val="0"/>
          <w:marTop w:val="0"/>
          <w:marBottom w:val="0"/>
          <w:divBdr>
            <w:top w:val="none" w:sz="0" w:space="0" w:color="auto"/>
            <w:left w:val="none" w:sz="0" w:space="0" w:color="auto"/>
            <w:bottom w:val="none" w:sz="0" w:space="0" w:color="auto"/>
            <w:right w:val="none" w:sz="0" w:space="0" w:color="auto"/>
          </w:divBdr>
        </w:div>
        <w:div w:id="1159419060">
          <w:marLeft w:val="0"/>
          <w:marRight w:val="0"/>
          <w:marTop w:val="0"/>
          <w:marBottom w:val="600"/>
          <w:divBdr>
            <w:top w:val="none" w:sz="0" w:space="0" w:color="auto"/>
            <w:left w:val="none" w:sz="0" w:space="0" w:color="auto"/>
            <w:bottom w:val="none" w:sz="0" w:space="0" w:color="auto"/>
            <w:right w:val="none" w:sz="0" w:space="0" w:color="auto"/>
          </w:divBdr>
        </w:div>
      </w:divsChild>
    </w:div>
    <w:div w:id="741828105">
      <w:marLeft w:val="0"/>
      <w:marRight w:val="0"/>
      <w:marTop w:val="0"/>
      <w:marBottom w:val="0"/>
      <w:divBdr>
        <w:top w:val="none" w:sz="0" w:space="0" w:color="auto"/>
        <w:left w:val="none" w:sz="0" w:space="0" w:color="auto"/>
        <w:bottom w:val="none" w:sz="0" w:space="0" w:color="auto"/>
        <w:right w:val="none" w:sz="0" w:space="0" w:color="auto"/>
      </w:divBdr>
      <w:divsChild>
        <w:div w:id="71589289">
          <w:marLeft w:val="0"/>
          <w:marRight w:val="0"/>
          <w:marTop w:val="600"/>
          <w:marBottom w:val="0"/>
          <w:divBdr>
            <w:top w:val="none" w:sz="0" w:space="0" w:color="auto"/>
            <w:left w:val="none" w:sz="0" w:space="0" w:color="auto"/>
            <w:bottom w:val="none" w:sz="0" w:space="0" w:color="auto"/>
            <w:right w:val="none" w:sz="0" w:space="0" w:color="auto"/>
          </w:divBdr>
        </w:div>
        <w:div w:id="1107697254">
          <w:marLeft w:val="0"/>
          <w:marRight w:val="0"/>
          <w:marTop w:val="0"/>
          <w:marBottom w:val="0"/>
          <w:divBdr>
            <w:top w:val="none" w:sz="0" w:space="0" w:color="auto"/>
            <w:left w:val="none" w:sz="0" w:space="0" w:color="auto"/>
            <w:bottom w:val="none" w:sz="0" w:space="0" w:color="auto"/>
            <w:right w:val="none" w:sz="0" w:space="0" w:color="auto"/>
          </w:divBdr>
        </w:div>
        <w:div w:id="1024670759">
          <w:marLeft w:val="0"/>
          <w:marRight w:val="0"/>
          <w:marTop w:val="0"/>
          <w:marBottom w:val="600"/>
          <w:divBdr>
            <w:top w:val="none" w:sz="0" w:space="0" w:color="auto"/>
            <w:left w:val="none" w:sz="0" w:space="0" w:color="auto"/>
            <w:bottom w:val="none" w:sz="0" w:space="0" w:color="auto"/>
            <w:right w:val="none" w:sz="0" w:space="0" w:color="auto"/>
          </w:divBdr>
        </w:div>
      </w:divsChild>
    </w:div>
    <w:div w:id="753287022">
      <w:marLeft w:val="0"/>
      <w:marRight w:val="0"/>
      <w:marTop w:val="0"/>
      <w:marBottom w:val="0"/>
      <w:divBdr>
        <w:top w:val="none" w:sz="0" w:space="0" w:color="auto"/>
        <w:left w:val="none" w:sz="0" w:space="0" w:color="auto"/>
        <w:bottom w:val="none" w:sz="0" w:space="0" w:color="auto"/>
        <w:right w:val="none" w:sz="0" w:space="0" w:color="auto"/>
      </w:divBdr>
      <w:divsChild>
        <w:div w:id="1618682218">
          <w:marLeft w:val="0"/>
          <w:marRight w:val="0"/>
          <w:marTop w:val="600"/>
          <w:marBottom w:val="0"/>
          <w:divBdr>
            <w:top w:val="none" w:sz="0" w:space="0" w:color="auto"/>
            <w:left w:val="none" w:sz="0" w:space="0" w:color="auto"/>
            <w:bottom w:val="none" w:sz="0" w:space="0" w:color="auto"/>
            <w:right w:val="none" w:sz="0" w:space="0" w:color="auto"/>
          </w:divBdr>
        </w:div>
        <w:div w:id="1745370037">
          <w:marLeft w:val="0"/>
          <w:marRight w:val="0"/>
          <w:marTop w:val="0"/>
          <w:marBottom w:val="0"/>
          <w:divBdr>
            <w:top w:val="none" w:sz="0" w:space="0" w:color="auto"/>
            <w:left w:val="none" w:sz="0" w:space="0" w:color="auto"/>
            <w:bottom w:val="none" w:sz="0" w:space="0" w:color="auto"/>
            <w:right w:val="none" w:sz="0" w:space="0" w:color="auto"/>
          </w:divBdr>
        </w:div>
        <w:div w:id="901017515">
          <w:marLeft w:val="0"/>
          <w:marRight w:val="0"/>
          <w:marTop w:val="0"/>
          <w:marBottom w:val="600"/>
          <w:divBdr>
            <w:top w:val="none" w:sz="0" w:space="0" w:color="auto"/>
            <w:left w:val="none" w:sz="0" w:space="0" w:color="auto"/>
            <w:bottom w:val="none" w:sz="0" w:space="0" w:color="auto"/>
            <w:right w:val="none" w:sz="0" w:space="0" w:color="auto"/>
          </w:divBdr>
        </w:div>
      </w:divsChild>
    </w:div>
    <w:div w:id="758871101">
      <w:marLeft w:val="0"/>
      <w:marRight w:val="0"/>
      <w:marTop w:val="0"/>
      <w:marBottom w:val="0"/>
      <w:divBdr>
        <w:top w:val="none" w:sz="0" w:space="0" w:color="auto"/>
        <w:left w:val="none" w:sz="0" w:space="0" w:color="auto"/>
        <w:bottom w:val="none" w:sz="0" w:space="0" w:color="auto"/>
        <w:right w:val="none" w:sz="0" w:space="0" w:color="auto"/>
      </w:divBdr>
      <w:divsChild>
        <w:div w:id="473833423">
          <w:marLeft w:val="0"/>
          <w:marRight w:val="0"/>
          <w:marTop w:val="600"/>
          <w:marBottom w:val="0"/>
          <w:divBdr>
            <w:top w:val="none" w:sz="0" w:space="0" w:color="auto"/>
            <w:left w:val="none" w:sz="0" w:space="0" w:color="auto"/>
            <w:bottom w:val="none" w:sz="0" w:space="0" w:color="auto"/>
            <w:right w:val="none" w:sz="0" w:space="0" w:color="auto"/>
          </w:divBdr>
        </w:div>
        <w:div w:id="1206018943">
          <w:marLeft w:val="0"/>
          <w:marRight w:val="0"/>
          <w:marTop w:val="0"/>
          <w:marBottom w:val="0"/>
          <w:divBdr>
            <w:top w:val="none" w:sz="0" w:space="0" w:color="auto"/>
            <w:left w:val="none" w:sz="0" w:space="0" w:color="auto"/>
            <w:bottom w:val="none" w:sz="0" w:space="0" w:color="auto"/>
            <w:right w:val="none" w:sz="0" w:space="0" w:color="auto"/>
          </w:divBdr>
        </w:div>
        <w:div w:id="858130373">
          <w:marLeft w:val="0"/>
          <w:marRight w:val="0"/>
          <w:marTop w:val="0"/>
          <w:marBottom w:val="600"/>
          <w:divBdr>
            <w:top w:val="none" w:sz="0" w:space="0" w:color="auto"/>
            <w:left w:val="none" w:sz="0" w:space="0" w:color="auto"/>
            <w:bottom w:val="none" w:sz="0" w:space="0" w:color="auto"/>
            <w:right w:val="none" w:sz="0" w:space="0" w:color="auto"/>
          </w:divBdr>
        </w:div>
      </w:divsChild>
    </w:div>
    <w:div w:id="844054242">
      <w:marLeft w:val="0"/>
      <w:marRight w:val="0"/>
      <w:marTop w:val="0"/>
      <w:marBottom w:val="0"/>
      <w:divBdr>
        <w:top w:val="none" w:sz="0" w:space="0" w:color="auto"/>
        <w:left w:val="none" w:sz="0" w:space="0" w:color="auto"/>
        <w:bottom w:val="none" w:sz="0" w:space="0" w:color="auto"/>
        <w:right w:val="none" w:sz="0" w:space="0" w:color="auto"/>
      </w:divBdr>
      <w:divsChild>
        <w:div w:id="118493437">
          <w:marLeft w:val="0"/>
          <w:marRight w:val="0"/>
          <w:marTop w:val="600"/>
          <w:marBottom w:val="0"/>
          <w:divBdr>
            <w:top w:val="none" w:sz="0" w:space="0" w:color="auto"/>
            <w:left w:val="none" w:sz="0" w:space="0" w:color="auto"/>
            <w:bottom w:val="none" w:sz="0" w:space="0" w:color="auto"/>
            <w:right w:val="none" w:sz="0" w:space="0" w:color="auto"/>
          </w:divBdr>
        </w:div>
        <w:div w:id="938290302">
          <w:marLeft w:val="0"/>
          <w:marRight w:val="0"/>
          <w:marTop w:val="0"/>
          <w:marBottom w:val="0"/>
          <w:divBdr>
            <w:top w:val="none" w:sz="0" w:space="0" w:color="auto"/>
            <w:left w:val="none" w:sz="0" w:space="0" w:color="auto"/>
            <w:bottom w:val="none" w:sz="0" w:space="0" w:color="auto"/>
            <w:right w:val="none" w:sz="0" w:space="0" w:color="auto"/>
          </w:divBdr>
        </w:div>
        <w:div w:id="1675764042">
          <w:marLeft w:val="0"/>
          <w:marRight w:val="0"/>
          <w:marTop w:val="0"/>
          <w:marBottom w:val="600"/>
          <w:divBdr>
            <w:top w:val="none" w:sz="0" w:space="0" w:color="auto"/>
            <w:left w:val="none" w:sz="0" w:space="0" w:color="auto"/>
            <w:bottom w:val="none" w:sz="0" w:space="0" w:color="auto"/>
            <w:right w:val="none" w:sz="0" w:space="0" w:color="auto"/>
          </w:divBdr>
        </w:div>
      </w:divsChild>
    </w:div>
    <w:div w:id="855851510">
      <w:marLeft w:val="0"/>
      <w:marRight w:val="0"/>
      <w:marTop w:val="0"/>
      <w:marBottom w:val="0"/>
      <w:divBdr>
        <w:top w:val="none" w:sz="0" w:space="0" w:color="auto"/>
        <w:left w:val="none" w:sz="0" w:space="0" w:color="auto"/>
        <w:bottom w:val="none" w:sz="0" w:space="0" w:color="auto"/>
        <w:right w:val="none" w:sz="0" w:space="0" w:color="auto"/>
      </w:divBdr>
      <w:divsChild>
        <w:div w:id="1312442087">
          <w:marLeft w:val="0"/>
          <w:marRight w:val="0"/>
          <w:marTop w:val="600"/>
          <w:marBottom w:val="0"/>
          <w:divBdr>
            <w:top w:val="none" w:sz="0" w:space="0" w:color="auto"/>
            <w:left w:val="none" w:sz="0" w:space="0" w:color="auto"/>
            <w:bottom w:val="none" w:sz="0" w:space="0" w:color="auto"/>
            <w:right w:val="none" w:sz="0" w:space="0" w:color="auto"/>
          </w:divBdr>
        </w:div>
        <w:div w:id="668950544">
          <w:marLeft w:val="0"/>
          <w:marRight w:val="0"/>
          <w:marTop w:val="0"/>
          <w:marBottom w:val="0"/>
          <w:divBdr>
            <w:top w:val="none" w:sz="0" w:space="0" w:color="auto"/>
            <w:left w:val="none" w:sz="0" w:space="0" w:color="auto"/>
            <w:bottom w:val="none" w:sz="0" w:space="0" w:color="auto"/>
            <w:right w:val="none" w:sz="0" w:space="0" w:color="auto"/>
          </w:divBdr>
        </w:div>
        <w:div w:id="1974679293">
          <w:marLeft w:val="0"/>
          <w:marRight w:val="0"/>
          <w:marTop w:val="0"/>
          <w:marBottom w:val="600"/>
          <w:divBdr>
            <w:top w:val="none" w:sz="0" w:space="0" w:color="auto"/>
            <w:left w:val="none" w:sz="0" w:space="0" w:color="auto"/>
            <w:bottom w:val="none" w:sz="0" w:space="0" w:color="auto"/>
            <w:right w:val="none" w:sz="0" w:space="0" w:color="auto"/>
          </w:divBdr>
        </w:div>
      </w:divsChild>
    </w:div>
    <w:div w:id="868252673">
      <w:marLeft w:val="0"/>
      <w:marRight w:val="0"/>
      <w:marTop w:val="0"/>
      <w:marBottom w:val="0"/>
      <w:divBdr>
        <w:top w:val="none" w:sz="0" w:space="0" w:color="auto"/>
        <w:left w:val="none" w:sz="0" w:space="0" w:color="auto"/>
        <w:bottom w:val="none" w:sz="0" w:space="0" w:color="auto"/>
        <w:right w:val="none" w:sz="0" w:space="0" w:color="auto"/>
      </w:divBdr>
      <w:divsChild>
        <w:div w:id="513689401">
          <w:marLeft w:val="0"/>
          <w:marRight w:val="0"/>
          <w:marTop w:val="600"/>
          <w:marBottom w:val="0"/>
          <w:divBdr>
            <w:top w:val="none" w:sz="0" w:space="0" w:color="auto"/>
            <w:left w:val="none" w:sz="0" w:space="0" w:color="auto"/>
            <w:bottom w:val="none" w:sz="0" w:space="0" w:color="auto"/>
            <w:right w:val="none" w:sz="0" w:space="0" w:color="auto"/>
          </w:divBdr>
        </w:div>
        <w:div w:id="1841043807">
          <w:marLeft w:val="0"/>
          <w:marRight w:val="0"/>
          <w:marTop w:val="0"/>
          <w:marBottom w:val="0"/>
          <w:divBdr>
            <w:top w:val="none" w:sz="0" w:space="0" w:color="auto"/>
            <w:left w:val="none" w:sz="0" w:space="0" w:color="auto"/>
            <w:bottom w:val="none" w:sz="0" w:space="0" w:color="auto"/>
            <w:right w:val="none" w:sz="0" w:space="0" w:color="auto"/>
          </w:divBdr>
        </w:div>
        <w:div w:id="1559241748">
          <w:marLeft w:val="0"/>
          <w:marRight w:val="0"/>
          <w:marTop w:val="0"/>
          <w:marBottom w:val="600"/>
          <w:divBdr>
            <w:top w:val="none" w:sz="0" w:space="0" w:color="auto"/>
            <w:left w:val="none" w:sz="0" w:space="0" w:color="auto"/>
            <w:bottom w:val="none" w:sz="0" w:space="0" w:color="auto"/>
            <w:right w:val="none" w:sz="0" w:space="0" w:color="auto"/>
          </w:divBdr>
        </w:div>
      </w:divsChild>
    </w:div>
    <w:div w:id="880285137">
      <w:marLeft w:val="0"/>
      <w:marRight w:val="0"/>
      <w:marTop w:val="0"/>
      <w:marBottom w:val="0"/>
      <w:divBdr>
        <w:top w:val="none" w:sz="0" w:space="0" w:color="auto"/>
        <w:left w:val="none" w:sz="0" w:space="0" w:color="auto"/>
        <w:bottom w:val="none" w:sz="0" w:space="0" w:color="auto"/>
        <w:right w:val="none" w:sz="0" w:space="0" w:color="auto"/>
      </w:divBdr>
      <w:divsChild>
        <w:div w:id="511457796">
          <w:marLeft w:val="0"/>
          <w:marRight w:val="0"/>
          <w:marTop w:val="600"/>
          <w:marBottom w:val="0"/>
          <w:divBdr>
            <w:top w:val="none" w:sz="0" w:space="0" w:color="auto"/>
            <w:left w:val="none" w:sz="0" w:space="0" w:color="auto"/>
            <w:bottom w:val="none" w:sz="0" w:space="0" w:color="auto"/>
            <w:right w:val="none" w:sz="0" w:space="0" w:color="auto"/>
          </w:divBdr>
        </w:div>
        <w:div w:id="1516841621">
          <w:marLeft w:val="0"/>
          <w:marRight w:val="0"/>
          <w:marTop w:val="0"/>
          <w:marBottom w:val="0"/>
          <w:divBdr>
            <w:top w:val="none" w:sz="0" w:space="0" w:color="auto"/>
            <w:left w:val="none" w:sz="0" w:space="0" w:color="auto"/>
            <w:bottom w:val="none" w:sz="0" w:space="0" w:color="auto"/>
            <w:right w:val="none" w:sz="0" w:space="0" w:color="auto"/>
          </w:divBdr>
          <w:divsChild>
            <w:div w:id="1292008041">
              <w:marLeft w:val="547"/>
              <w:marRight w:val="0"/>
              <w:marTop w:val="0"/>
              <w:marBottom w:val="0"/>
              <w:divBdr>
                <w:top w:val="none" w:sz="0" w:space="0" w:color="auto"/>
                <w:left w:val="none" w:sz="0" w:space="0" w:color="auto"/>
                <w:bottom w:val="none" w:sz="0" w:space="0" w:color="auto"/>
                <w:right w:val="none" w:sz="0" w:space="0" w:color="auto"/>
              </w:divBdr>
            </w:div>
            <w:div w:id="1127045663">
              <w:marLeft w:val="547"/>
              <w:marRight w:val="0"/>
              <w:marTop w:val="0"/>
              <w:marBottom w:val="0"/>
              <w:divBdr>
                <w:top w:val="none" w:sz="0" w:space="0" w:color="auto"/>
                <w:left w:val="none" w:sz="0" w:space="0" w:color="auto"/>
                <w:bottom w:val="none" w:sz="0" w:space="0" w:color="auto"/>
                <w:right w:val="none" w:sz="0" w:space="0" w:color="auto"/>
              </w:divBdr>
            </w:div>
            <w:div w:id="1847749226">
              <w:marLeft w:val="547"/>
              <w:marRight w:val="0"/>
              <w:marTop w:val="0"/>
              <w:marBottom w:val="0"/>
              <w:divBdr>
                <w:top w:val="none" w:sz="0" w:space="0" w:color="auto"/>
                <w:left w:val="none" w:sz="0" w:space="0" w:color="auto"/>
                <w:bottom w:val="none" w:sz="0" w:space="0" w:color="auto"/>
                <w:right w:val="none" w:sz="0" w:space="0" w:color="auto"/>
              </w:divBdr>
            </w:div>
            <w:div w:id="235819676">
              <w:marLeft w:val="547"/>
              <w:marRight w:val="0"/>
              <w:marTop w:val="0"/>
              <w:marBottom w:val="0"/>
              <w:divBdr>
                <w:top w:val="none" w:sz="0" w:space="0" w:color="auto"/>
                <w:left w:val="none" w:sz="0" w:space="0" w:color="auto"/>
                <w:bottom w:val="none" w:sz="0" w:space="0" w:color="auto"/>
                <w:right w:val="none" w:sz="0" w:space="0" w:color="auto"/>
              </w:divBdr>
            </w:div>
            <w:div w:id="1532065535">
              <w:marLeft w:val="547"/>
              <w:marRight w:val="0"/>
              <w:marTop w:val="0"/>
              <w:marBottom w:val="0"/>
              <w:divBdr>
                <w:top w:val="none" w:sz="0" w:space="0" w:color="auto"/>
                <w:left w:val="none" w:sz="0" w:space="0" w:color="auto"/>
                <w:bottom w:val="none" w:sz="0" w:space="0" w:color="auto"/>
                <w:right w:val="none" w:sz="0" w:space="0" w:color="auto"/>
              </w:divBdr>
            </w:div>
            <w:div w:id="1245870957">
              <w:marLeft w:val="547"/>
              <w:marRight w:val="0"/>
              <w:marTop w:val="0"/>
              <w:marBottom w:val="0"/>
              <w:divBdr>
                <w:top w:val="none" w:sz="0" w:space="0" w:color="auto"/>
                <w:left w:val="none" w:sz="0" w:space="0" w:color="auto"/>
                <w:bottom w:val="none" w:sz="0" w:space="0" w:color="auto"/>
                <w:right w:val="none" w:sz="0" w:space="0" w:color="auto"/>
              </w:divBdr>
            </w:div>
            <w:div w:id="663121210">
              <w:marLeft w:val="547"/>
              <w:marRight w:val="0"/>
              <w:marTop w:val="0"/>
              <w:marBottom w:val="0"/>
              <w:divBdr>
                <w:top w:val="none" w:sz="0" w:space="0" w:color="auto"/>
                <w:left w:val="none" w:sz="0" w:space="0" w:color="auto"/>
                <w:bottom w:val="none" w:sz="0" w:space="0" w:color="auto"/>
                <w:right w:val="none" w:sz="0" w:space="0" w:color="auto"/>
              </w:divBdr>
            </w:div>
            <w:div w:id="1889340398">
              <w:marLeft w:val="547"/>
              <w:marRight w:val="0"/>
              <w:marTop w:val="0"/>
              <w:marBottom w:val="0"/>
              <w:divBdr>
                <w:top w:val="none" w:sz="0" w:space="0" w:color="auto"/>
                <w:left w:val="none" w:sz="0" w:space="0" w:color="auto"/>
                <w:bottom w:val="none" w:sz="0" w:space="0" w:color="auto"/>
                <w:right w:val="none" w:sz="0" w:space="0" w:color="auto"/>
              </w:divBdr>
            </w:div>
            <w:div w:id="993531000">
              <w:marLeft w:val="547"/>
              <w:marRight w:val="0"/>
              <w:marTop w:val="0"/>
              <w:marBottom w:val="0"/>
              <w:divBdr>
                <w:top w:val="none" w:sz="0" w:space="0" w:color="auto"/>
                <w:left w:val="none" w:sz="0" w:space="0" w:color="auto"/>
                <w:bottom w:val="none" w:sz="0" w:space="0" w:color="auto"/>
                <w:right w:val="none" w:sz="0" w:space="0" w:color="auto"/>
              </w:divBdr>
            </w:div>
            <w:div w:id="1548251971">
              <w:marLeft w:val="547"/>
              <w:marRight w:val="0"/>
              <w:marTop w:val="0"/>
              <w:marBottom w:val="0"/>
              <w:divBdr>
                <w:top w:val="none" w:sz="0" w:space="0" w:color="auto"/>
                <w:left w:val="none" w:sz="0" w:space="0" w:color="auto"/>
                <w:bottom w:val="none" w:sz="0" w:space="0" w:color="auto"/>
                <w:right w:val="none" w:sz="0" w:space="0" w:color="auto"/>
              </w:divBdr>
            </w:div>
            <w:div w:id="81996999">
              <w:marLeft w:val="547"/>
              <w:marRight w:val="0"/>
              <w:marTop w:val="0"/>
              <w:marBottom w:val="0"/>
              <w:divBdr>
                <w:top w:val="none" w:sz="0" w:space="0" w:color="auto"/>
                <w:left w:val="none" w:sz="0" w:space="0" w:color="auto"/>
                <w:bottom w:val="none" w:sz="0" w:space="0" w:color="auto"/>
                <w:right w:val="none" w:sz="0" w:space="0" w:color="auto"/>
              </w:divBdr>
            </w:div>
            <w:div w:id="1934625620">
              <w:marLeft w:val="547"/>
              <w:marRight w:val="0"/>
              <w:marTop w:val="0"/>
              <w:marBottom w:val="0"/>
              <w:divBdr>
                <w:top w:val="none" w:sz="0" w:space="0" w:color="auto"/>
                <w:left w:val="none" w:sz="0" w:space="0" w:color="auto"/>
                <w:bottom w:val="none" w:sz="0" w:space="0" w:color="auto"/>
                <w:right w:val="none" w:sz="0" w:space="0" w:color="auto"/>
              </w:divBdr>
            </w:div>
            <w:div w:id="498543167">
              <w:marLeft w:val="547"/>
              <w:marRight w:val="0"/>
              <w:marTop w:val="0"/>
              <w:marBottom w:val="0"/>
              <w:divBdr>
                <w:top w:val="none" w:sz="0" w:space="0" w:color="auto"/>
                <w:left w:val="none" w:sz="0" w:space="0" w:color="auto"/>
                <w:bottom w:val="none" w:sz="0" w:space="0" w:color="auto"/>
                <w:right w:val="none" w:sz="0" w:space="0" w:color="auto"/>
              </w:divBdr>
            </w:div>
            <w:div w:id="895244771">
              <w:marLeft w:val="547"/>
              <w:marRight w:val="0"/>
              <w:marTop w:val="0"/>
              <w:marBottom w:val="0"/>
              <w:divBdr>
                <w:top w:val="none" w:sz="0" w:space="0" w:color="auto"/>
                <w:left w:val="none" w:sz="0" w:space="0" w:color="auto"/>
                <w:bottom w:val="none" w:sz="0" w:space="0" w:color="auto"/>
                <w:right w:val="none" w:sz="0" w:space="0" w:color="auto"/>
              </w:divBdr>
            </w:div>
            <w:div w:id="2094546290">
              <w:marLeft w:val="547"/>
              <w:marRight w:val="0"/>
              <w:marTop w:val="0"/>
              <w:marBottom w:val="0"/>
              <w:divBdr>
                <w:top w:val="none" w:sz="0" w:space="0" w:color="auto"/>
                <w:left w:val="none" w:sz="0" w:space="0" w:color="auto"/>
                <w:bottom w:val="none" w:sz="0" w:space="0" w:color="auto"/>
                <w:right w:val="none" w:sz="0" w:space="0" w:color="auto"/>
              </w:divBdr>
            </w:div>
          </w:divsChild>
        </w:div>
        <w:div w:id="773552978">
          <w:marLeft w:val="0"/>
          <w:marRight w:val="0"/>
          <w:marTop w:val="0"/>
          <w:marBottom w:val="600"/>
          <w:divBdr>
            <w:top w:val="none" w:sz="0" w:space="0" w:color="auto"/>
            <w:left w:val="none" w:sz="0" w:space="0" w:color="auto"/>
            <w:bottom w:val="none" w:sz="0" w:space="0" w:color="auto"/>
            <w:right w:val="none" w:sz="0" w:space="0" w:color="auto"/>
          </w:divBdr>
        </w:div>
      </w:divsChild>
    </w:div>
    <w:div w:id="902374100">
      <w:marLeft w:val="0"/>
      <w:marRight w:val="0"/>
      <w:marTop w:val="0"/>
      <w:marBottom w:val="0"/>
      <w:divBdr>
        <w:top w:val="none" w:sz="0" w:space="0" w:color="auto"/>
        <w:left w:val="none" w:sz="0" w:space="0" w:color="auto"/>
        <w:bottom w:val="none" w:sz="0" w:space="0" w:color="auto"/>
        <w:right w:val="none" w:sz="0" w:space="0" w:color="auto"/>
      </w:divBdr>
      <w:divsChild>
        <w:div w:id="230771739">
          <w:marLeft w:val="0"/>
          <w:marRight w:val="0"/>
          <w:marTop w:val="600"/>
          <w:marBottom w:val="0"/>
          <w:divBdr>
            <w:top w:val="none" w:sz="0" w:space="0" w:color="auto"/>
            <w:left w:val="none" w:sz="0" w:space="0" w:color="auto"/>
            <w:bottom w:val="none" w:sz="0" w:space="0" w:color="auto"/>
            <w:right w:val="none" w:sz="0" w:space="0" w:color="auto"/>
          </w:divBdr>
        </w:div>
        <w:div w:id="1155997184">
          <w:marLeft w:val="0"/>
          <w:marRight w:val="0"/>
          <w:marTop w:val="0"/>
          <w:marBottom w:val="0"/>
          <w:divBdr>
            <w:top w:val="none" w:sz="0" w:space="0" w:color="auto"/>
            <w:left w:val="none" w:sz="0" w:space="0" w:color="auto"/>
            <w:bottom w:val="none" w:sz="0" w:space="0" w:color="auto"/>
            <w:right w:val="none" w:sz="0" w:space="0" w:color="auto"/>
          </w:divBdr>
        </w:div>
        <w:div w:id="2140150213">
          <w:marLeft w:val="0"/>
          <w:marRight w:val="0"/>
          <w:marTop w:val="0"/>
          <w:marBottom w:val="600"/>
          <w:divBdr>
            <w:top w:val="none" w:sz="0" w:space="0" w:color="auto"/>
            <w:left w:val="none" w:sz="0" w:space="0" w:color="auto"/>
            <w:bottom w:val="none" w:sz="0" w:space="0" w:color="auto"/>
            <w:right w:val="none" w:sz="0" w:space="0" w:color="auto"/>
          </w:divBdr>
        </w:div>
      </w:divsChild>
    </w:div>
    <w:div w:id="918177996">
      <w:marLeft w:val="0"/>
      <w:marRight w:val="0"/>
      <w:marTop w:val="0"/>
      <w:marBottom w:val="0"/>
      <w:divBdr>
        <w:top w:val="none" w:sz="0" w:space="0" w:color="auto"/>
        <w:left w:val="none" w:sz="0" w:space="0" w:color="auto"/>
        <w:bottom w:val="none" w:sz="0" w:space="0" w:color="auto"/>
        <w:right w:val="none" w:sz="0" w:space="0" w:color="auto"/>
      </w:divBdr>
      <w:divsChild>
        <w:div w:id="1954021667">
          <w:marLeft w:val="0"/>
          <w:marRight w:val="0"/>
          <w:marTop w:val="600"/>
          <w:marBottom w:val="0"/>
          <w:divBdr>
            <w:top w:val="none" w:sz="0" w:space="0" w:color="auto"/>
            <w:left w:val="none" w:sz="0" w:space="0" w:color="auto"/>
            <w:bottom w:val="none" w:sz="0" w:space="0" w:color="auto"/>
            <w:right w:val="none" w:sz="0" w:space="0" w:color="auto"/>
          </w:divBdr>
        </w:div>
        <w:div w:id="753355970">
          <w:marLeft w:val="0"/>
          <w:marRight w:val="0"/>
          <w:marTop w:val="0"/>
          <w:marBottom w:val="0"/>
          <w:divBdr>
            <w:top w:val="none" w:sz="0" w:space="0" w:color="auto"/>
            <w:left w:val="none" w:sz="0" w:space="0" w:color="auto"/>
            <w:bottom w:val="none" w:sz="0" w:space="0" w:color="auto"/>
            <w:right w:val="none" w:sz="0" w:space="0" w:color="auto"/>
          </w:divBdr>
        </w:div>
        <w:div w:id="1028137534">
          <w:marLeft w:val="0"/>
          <w:marRight w:val="0"/>
          <w:marTop w:val="0"/>
          <w:marBottom w:val="600"/>
          <w:divBdr>
            <w:top w:val="none" w:sz="0" w:space="0" w:color="auto"/>
            <w:left w:val="none" w:sz="0" w:space="0" w:color="auto"/>
            <w:bottom w:val="none" w:sz="0" w:space="0" w:color="auto"/>
            <w:right w:val="none" w:sz="0" w:space="0" w:color="auto"/>
          </w:divBdr>
        </w:div>
      </w:divsChild>
    </w:div>
    <w:div w:id="949816254">
      <w:marLeft w:val="0"/>
      <w:marRight w:val="0"/>
      <w:marTop w:val="0"/>
      <w:marBottom w:val="0"/>
      <w:divBdr>
        <w:top w:val="none" w:sz="0" w:space="0" w:color="auto"/>
        <w:left w:val="none" w:sz="0" w:space="0" w:color="auto"/>
        <w:bottom w:val="none" w:sz="0" w:space="0" w:color="auto"/>
        <w:right w:val="none" w:sz="0" w:space="0" w:color="auto"/>
      </w:divBdr>
      <w:divsChild>
        <w:div w:id="1918519140">
          <w:marLeft w:val="0"/>
          <w:marRight w:val="0"/>
          <w:marTop w:val="600"/>
          <w:marBottom w:val="0"/>
          <w:divBdr>
            <w:top w:val="none" w:sz="0" w:space="0" w:color="auto"/>
            <w:left w:val="none" w:sz="0" w:space="0" w:color="auto"/>
            <w:bottom w:val="none" w:sz="0" w:space="0" w:color="auto"/>
            <w:right w:val="none" w:sz="0" w:space="0" w:color="auto"/>
          </w:divBdr>
        </w:div>
        <w:div w:id="1065495008">
          <w:marLeft w:val="0"/>
          <w:marRight w:val="0"/>
          <w:marTop w:val="0"/>
          <w:marBottom w:val="0"/>
          <w:divBdr>
            <w:top w:val="none" w:sz="0" w:space="0" w:color="auto"/>
            <w:left w:val="none" w:sz="0" w:space="0" w:color="auto"/>
            <w:bottom w:val="none" w:sz="0" w:space="0" w:color="auto"/>
            <w:right w:val="none" w:sz="0" w:space="0" w:color="auto"/>
          </w:divBdr>
          <w:divsChild>
            <w:div w:id="1809663247">
              <w:marLeft w:val="547"/>
              <w:marRight w:val="0"/>
              <w:marTop w:val="0"/>
              <w:marBottom w:val="0"/>
              <w:divBdr>
                <w:top w:val="none" w:sz="0" w:space="0" w:color="auto"/>
                <w:left w:val="none" w:sz="0" w:space="0" w:color="auto"/>
                <w:bottom w:val="none" w:sz="0" w:space="0" w:color="auto"/>
                <w:right w:val="none" w:sz="0" w:space="0" w:color="auto"/>
              </w:divBdr>
            </w:div>
            <w:div w:id="1889800674">
              <w:marLeft w:val="547"/>
              <w:marRight w:val="0"/>
              <w:marTop w:val="0"/>
              <w:marBottom w:val="0"/>
              <w:divBdr>
                <w:top w:val="none" w:sz="0" w:space="0" w:color="auto"/>
                <w:left w:val="none" w:sz="0" w:space="0" w:color="auto"/>
                <w:bottom w:val="none" w:sz="0" w:space="0" w:color="auto"/>
                <w:right w:val="none" w:sz="0" w:space="0" w:color="auto"/>
              </w:divBdr>
            </w:div>
            <w:div w:id="573855787">
              <w:marLeft w:val="547"/>
              <w:marRight w:val="0"/>
              <w:marTop w:val="0"/>
              <w:marBottom w:val="0"/>
              <w:divBdr>
                <w:top w:val="none" w:sz="0" w:space="0" w:color="auto"/>
                <w:left w:val="none" w:sz="0" w:space="0" w:color="auto"/>
                <w:bottom w:val="none" w:sz="0" w:space="0" w:color="auto"/>
                <w:right w:val="none" w:sz="0" w:space="0" w:color="auto"/>
              </w:divBdr>
            </w:div>
            <w:div w:id="81100431">
              <w:marLeft w:val="547"/>
              <w:marRight w:val="0"/>
              <w:marTop w:val="0"/>
              <w:marBottom w:val="0"/>
              <w:divBdr>
                <w:top w:val="none" w:sz="0" w:space="0" w:color="auto"/>
                <w:left w:val="none" w:sz="0" w:space="0" w:color="auto"/>
                <w:bottom w:val="none" w:sz="0" w:space="0" w:color="auto"/>
                <w:right w:val="none" w:sz="0" w:space="0" w:color="auto"/>
              </w:divBdr>
            </w:div>
            <w:div w:id="1911770454">
              <w:marLeft w:val="547"/>
              <w:marRight w:val="0"/>
              <w:marTop w:val="0"/>
              <w:marBottom w:val="0"/>
              <w:divBdr>
                <w:top w:val="none" w:sz="0" w:space="0" w:color="auto"/>
                <w:left w:val="none" w:sz="0" w:space="0" w:color="auto"/>
                <w:bottom w:val="none" w:sz="0" w:space="0" w:color="auto"/>
                <w:right w:val="none" w:sz="0" w:space="0" w:color="auto"/>
              </w:divBdr>
            </w:div>
            <w:div w:id="161701045">
              <w:marLeft w:val="547"/>
              <w:marRight w:val="0"/>
              <w:marTop w:val="0"/>
              <w:marBottom w:val="0"/>
              <w:divBdr>
                <w:top w:val="none" w:sz="0" w:space="0" w:color="auto"/>
                <w:left w:val="none" w:sz="0" w:space="0" w:color="auto"/>
                <w:bottom w:val="none" w:sz="0" w:space="0" w:color="auto"/>
                <w:right w:val="none" w:sz="0" w:space="0" w:color="auto"/>
              </w:divBdr>
            </w:div>
          </w:divsChild>
        </w:div>
        <w:div w:id="280771149">
          <w:marLeft w:val="0"/>
          <w:marRight w:val="0"/>
          <w:marTop w:val="0"/>
          <w:marBottom w:val="600"/>
          <w:divBdr>
            <w:top w:val="none" w:sz="0" w:space="0" w:color="auto"/>
            <w:left w:val="none" w:sz="0" w:space="0" w:color="auto"/>
            <w:bottom w:val="none" w:sz="0" w:space="0" w:color="auto"/>
            <w:right w:val="none" w:sz="0" w:space="0" w:color="auto"/>
          </w:divBdr>
        </w:div>
      </w:divsChild>
    </w:div>
    <w:div w:id="956449236">
      <w:marLeft w:val="0"/>
      <w:marRight w:val="0"/>
      <w:marTop w:val="0"/>
      <w:marBottom w:val="0"/>
      <w:divBdr>
        <w:top w:val="none" w:sz="0" w:space="0" w:color="auto"/>
        <w:left w:val="none" w:sz="0" w:space="0" w:color="auto"/>
        <w:bottom w:val="none" w:sz="0" w:space="0" w:color="auto"/>
        <w:right w:val="none" w:sz="0" w:space="0" w:color="auto"/>
      </w:divBdr>
      <w:divsChild>
        <w:div w:id="1910264216">
          <w:marLeft w:val="0"/>
          <w:marRight w:val="0"/>
          <w:marTop w:val="600"/>
          <w:marBottom w:val="0"/>
          <w:divBdr>
            <w:top w:val="none" w:sz="0" w:space="0" w:color="auto"/>
            <w:left w:val="none" w:sz="0" w:space="0" w:color="auto"/>
            <w:bottom w:val="none" w:sz="0" w:space="0" w:color="auto"/>
            <w:right w:val="none" w:sz="0" w:space="0" w:color="auto"/>
          </w:divBdr>
        </w:div>
        <w:div w:id="1155488275">
          <w:marLeft w:val="0"/>
          <w:marRight w:val="0"/>
          <w:marTop w:val="0"/>
          <w:marBottom w:val="0"/>
          <w:divBdr>
            <w:top w:val="none" w:sz="0" w:space="0" w:color="auto"/>
            <w:left w:val="none" w:sz="0" w:space="0" w:color="auto"/>
            <w:bottom w:val="none" w:sz="0" w:space="0" w:color="auto"/>
            <w:right w:val="none" w:sz="0" w:space="0" w:color="auto"/>
          </w:divBdr>
          <w:divsChild>
            <w:div w:id="1750034299">
              <w:marLeft w:val="0"/>
              <w:marRight w:val="0"/>
              <w:marTop w:val="0"/>
              <w:marBottom w:val="0"/>
              <w:divBdr>
                <w:top w:val="none" w:sz="0" w:space="0" w:color="auto"/>
                <w:left w:val="none" w:sz="0" w:space="0" w:color="auto"/>
                <w:bottom w:val="none" w:sz="0" w:space="0" w:color="auto"/>
                <w:right w:val="none" w:sz="0" w:space="0" w:color="auto"/>
              </w:divBdr>
              <w:divsChild>
                <w:div w:id="1406801664">
                  <w:marLeft w:val="0"/>
                  <w:marRight w:val="0"/>
                  <w:marTop w:val="0"/>
                  <w:marBottom w:val="0"/>
                  <w:divBdr>
                    <w:top w:val="none" w:sz="0" w:space="0" w:color="auto"/>
                    <w:left w:val="none" w:sz="0" w:space="0" w:color="auto"/>
                    <w:bottom w:val="none" w:sz="0" w:space="0" w:color="auto"/>
                    <w:right w:val="none" w:sz="0" w:space="0" w:color="auto"/>
                  </w:divBdr>
                </w:div>
              </w:divsChild>
            </w:div>
            <w:div w:id="939483747">
              <w:marLeft w:val="0"/>
              <w:marRight w:val="0"/>
              <w:marTop w:val="0"/>
              <w:marBottom w:val="0"/>
              <w:divBdr>
                <w:top w:val="none" w:sz="0" w:space="0" w:color="auto"/>
                <w:left w:val="none" w:sz="0" w:space="0" w:color="auto"/>
                <w:bottom w:val="none" w:sz="0" w:space="0" w:color="auto"/>
                <w:right w:val="none" w:sz="0" w:space="0" w:color="auto"/>
              </w:divBdr>
              <w:divsChild>
                <w:div w:id="1866363496">
                  <w:marLeft w:val="0"/>
                  <w:marRight w:val="0"/>
                  <w:marTop w:val="0"/>
                  <w:marBottom w:val="0"/>
                  <w:divBdr>
                    <w:top w:val="none" w:sz="0" w:space="0" w:color="auto"/>
                    <w:left w:val="none" w:sz="0" w:space="0" w:color="auto"/>
                    <w:bottom w:val="none" w:sz="0" w:space="0" w:color="auto"/>
                    <w:right w:val="none" w:sz="0" w:space="0" w:color="auto"/>
                  </w:divBdr>
                </w:div>
              </w:divsChild>
            </w:div>
            <w:div w:id="238760397">
              <w:marLeft w:val="0"/>
              <w:marRight w:val="0"/>
              <w:marTop w:val="0"/>
              <w:marBottom w:val="0"/>
              <w:divBdr>
                <w:top w:val="none" w:sz="0" w:space="0" w:color="auto"/>
                <w:left w:val="none" w:sz="0" w:space="0" w:color="auto"/>
                <w:bottom w:val="none" w:sz="0" w:space="0" w:color="auto"/>
                <w:right w:val="none" w:sz="0" w:space="0" w:color="auto"/>
              </w:divBdr>
              <w:divsChild>
                <w:div w:id="92022230">
                  <w:marLeft w:val="0"/>
                  <w:marRight w:val="0"/>
                  <w:marTop w:val="0"/>
                  <w:marBottom w:val="0"/>
                  <w:divBdr>
                    <w:top w:val="none" w:sz="0" w:space="0" w:color="auto"/>
                    <w:left w:val="none" w:sz="0" w:space="0" w:color="auto"/>
                    <w:bottom w:val="none" w:sz="0" w:space="0" w:color="auto"/>
                    <w:right w:val="none" w:sz="0" w:space="0" w:color="auto"/>
                  </w:divBdr>
                </w:div>
              </w:divsChild>
            </w:div>
            <w:div w:id="1107458088">
              <w:marLeft w:val="0"/>
              <w:marRight w:val="0"/>
              <w:marTop w:val="0"/>
              <w:marBottom w:val="0"/>
              <w:divBdr>
                <w:top w:val="none" w:sz="0" w:space="0" w:color="auto"/>
                <w:left w:val="none" w:sz="0" w:space="0" w:color="auto"/>
                <w:bottom w:val="none" w:sz="0" w:space="0" w:color="auto"/>
                <w:right w:val="none" w:sz="0" w:space="0" w:color="auto"/>
              </w:divBdr>
              <w:divsChild>
                <w:div w:id="220285732">
                  <w:marLeft w:val="0"/>
                  <w:marRight w:val="0"/>
                  <w:marTop w:val="0"/>
                  <w:marBottom w:val="0"/>
                  <w:divBdr>
                    <w:top w:val="none" w:sz="0" w:space="0" w:color="auto"/>
                    <w:left w:val="none" w:sz="0" w:space="0" w:color="auto"/>
                    <w:bottom w:val="none" w:sz="0" w:space="0" w:color="auto"/>
                    <w:right w:val="none" w:sz="0" w:space="0" w:color="auto"/>
                  </w:divBdr>
                </w:div>
              </w:divsChild>
            </w:div>
            <w:div w:id="1224440867">
              <w:marLeft w:val="0"/>
              <w:marRight w:val="0"/>
              <w:marTop w:val="0"/>
              <w:marBottom w:val="0"/>
              <w:divBdr>
                <w:top w:val="none" w:sz="0" w:space="0" w:color="auto"/>
                <w:left w:val="none" w:sz="0" w:space="0" w:color="auto"/>
                <w:bottom w:val="none" w:sz="0" w:space="0" w:color="auto"/>
                <w:right w:val="none" w:sz="0" w:space="0" w:color="auto"/>
              </w:divBdr>
              <w:divsChild>
                <w:div w:id="1103720514">
                  <w:marLeft w:val="0"/>
                  <w:marRight w:val="0"/>
                  <w:marTop w:val="0"/>
                  <w:marBottom w:val="0"/>
                  <w:divBdr>
                    <w:top w:val="none" w:sz="0" w:space="0" w:color="auto"/>
                    <w:left w:val="none" w:sz="0" w:space="0" w:color="auto"/>
                    <w:bottom w:val="none" w:sz="0" w:space="0" w:color="auto"/>
                    <w:right w:val="none" w:sz="0" w:space="0" w:color="auto"/>
                  </w:divBdr>
                </w:div>
              </w:divsChild>
            </w:div>
            <w:div w:id="1841312458">
              <w:marLeft w:val="0"/>
              <w:marRight w:val="0"/>
              <w:marTop w:val="0"/>
              <w:marBottom w:val="0"/>
              <w:divBdr>
                <w:top w:val="none" w:sz="0" w:space="0" w:color="auto"/>
                <w:left w:val="none" w:sz="0" w:space="0" w:color="auto"/>
                <w:bottom w:val="none" w:sz="0" w:space="0" w:color="auto"/>
                <w:right w:val="none" w:sz="0" w:space="0" w:color="auto"/>
              </w:divBdr>
              <w:divsChild>
                <w:div w:id="1688167567">
                  <w:marLeft w:val="0"/>
                  <w:marRight w:val="0"/>
                  <w:marTop w:val="0"/>
                  <w:marBottom w:val="0"/>
                  <w:divBdr>
                    <w:top w:val="none" w:sz="0" w:space="0" w:color="auto"/>
                    <w:left w:val="none" w:sz="0" w:space="0" w:color="auto"/>
                    <w:bottom w:val="none" w:sz="0" w:space="0" w:color="auto"/>
                    <w:right w:val="none" w:sz="0" w:space="0" w:color="auto"/>
                  </w:divBdr>
                </w:div>
              </w:divsChild>
            </w:div>
            <w:div w:id="1129786860">
              <w:marLeft w:val="0"/>
              <w:marRight w:val="0"/>
              <w:marTop w:val="0"/>
              <w:marBottom w:val="0"/>
              <w:divBdr>
                <w:top w:val="none" w:sz="0" w:space="0" w:color="auto"/>
                <w:left w:val="none" w:sz="0" w:space="0" w:color="auto"/>
                <w:bottom w:val="none" w:sz="0" w:space="0" w:color="auto"/>
                <w:right w:val="none" w:sz="0" w:space="0" w:color="auto"/>
              </w:divBdr>
              <w:divsChild>
                <w:div w:id="243295414">
                  <w:marLeft w:val="0"/>
                  <w:marRight w:val="0"/>
                  <w:marTop w:val="0"/>
                  <w:marBottom w:val="0"/>
                  <w:divBdr>
                    <w:top w:val="none" w:sz="0" w:space="0" w:color="auto"/>
                    <w:left w:val="none" w:sz="0" w:space="0" w:color="auto"/>
                    <w:bottom w:val="none" w:sz="0" w:space="0" w:color="auto"/>
                    <w:right w:val="none" w:sz="0" w:space="0" w:color="auto"/>
                  </w:divBdr>
                </w:div>
              </w:divsChild>
            </w:div>
            <w:div w:id="1559199235">
              <w:marLeft w:val="0"/>
              <w:marRight w:val="0"/>
              <w:marTop w:val="0"/>
              <w:marBottom w:val="0"/>
              <w:divBdr>
                <w:top w:val="none" w:sz="0" w:space="0" w:color="auto"/>
                <w:left w:val="none" w:sz="0" w:space="0" w:color="auto"/>
                <w:bottom w:val="none" w:sz="0" w:space="0" w:color="auto"/>
                <w:right w:val="none" w:sz="0" w:space="0" w:color="auto"/>
              </w:divBdr>
              <w:divsChild>
                <w:div w:id="1333752399">
                  <w:marLeft w:val="0"/>
                  <w:marRight w:val="0"/>
                  <w:marTop w:val="0"/>
                  <w:marBottom w:val="0"/>
                  <w:divBdr>
                    <w:top w:val="none" w:sz="0" w:space="0" w:color="auto"/>
                    <w:left w:val="none" w:sz="0" w:space="0" w:color="auto"/>
                    <w:bottom w:val="none" w:sz="0" w:space="0" w:color="auto"/>
                    <w:right w:val="none" w:sz="0" w:space="0" w:color="auto"/>
                  </w:divBdr>
                </w:div>
              </w:divsChild>
            </w:div>
            <w:div w:id="355348451">
              <w:marLeft w:val="0"/>
              <w:marRight w:val="0"/>
              <w:marTop w:val="0"/>
              <w:marBottom w:val="0"/>
              <w:divBdr>
                <w:top w:val="none" w:sz="0" w:space="0" w:color="auto"/>
                <w:left w:val="none" w:sz="0" w:space="0" w:color="auto"/>
                <w:bottom w:val="none" w:sz="0" w:space="0" w:color="auto"/>
                <w:right w:val="none" w:sz="0" w:space="0" w:color="auto"/>
              </w:divBdr>
              <w:divsChild>
                <w:div w:id="2004121288">
                  <w:marLeft w:val="0"/>
                  <w:marRight w:val="0"/>
                  <w:marTop w:val="0"/>
                  <w:marBottom w:val="0"/>
                  <w:divBdr>
                    <w:top w:val="none" w:sz="0" w:space="0" w:color="auto"/>
                    <w:left w:val="none" w:sz="0" w:space="0" w:color="auto"/>
                    <w:bottom w:val="none" w:sz="0" w:space="0" w:color="auto"/>
                    <w:right w:val="none" w:sz="0" w:space="0" w:color="auto"/>
                  </w:divBdr>
                </w:div>
              </w:divsChild>
            </w:div>
            <w:div w:id="657611957">
              <w:marLeft w:val="0"/>
              <w:marRight w:val="0"/>
              <w:marTop w:val="0"/>
              <w:marBottom w:val="0"/>
              <w:divBdr>
                <w:top w:val="none" w:sz="0" w:space="0" w:color="auto"/>
                <w:left w:val="none" w:sz="0" w:space="0" w:color="auto"/>
                <w:bottom w:val="none" w:sz="0" w:space="0" w:color="auto"/>
                <w:right w:val="none" w:sz="0" w:space="0" w:color="auto"/>
              </w:divBdr>
              <w:divsChild>
                <w:div w:id="63460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75373">
          <w:marLeft w:val="0"/>
          <w:marRight w:val="0"/>
          <w:marTop w:val="0"/>
          <w:marBottom w:val="600"/>
          <w:divBdr>
            <w:top w:val="none" w:sz="0" w:space="0" w:color="auto"/>
            <w:left w:val="none" w:sz="0" w:space="0" w:color="auto"/>
            <w:bottom w:val="none" w:sz="0" w:space="0" w:color="auto"/>
            <w:right w:val="none" w:sz="0" w:space="0" w:color="auto"/>
          </w:divBdr>
        </w:div>
      </w:divsChild>
    </w:div>
    <w:div w:id="969358847">
      <w:marLeft w:val="0"/>
      <w:marRight w:val="0"/>
      <w:marTop w:val="0"/>
      <w:marBottom w:val="0"/>
      <w:divBdr>
        <w:top w:val="none" w:sz="0" w:space="0" w:color="auto"/>
        <w:left w:val="none" w:sz="0" w:space="0" w:color="auto"/>
        <w:bottom w:val="none" w:sz="0" w:space="0" w:color="auto"/>
        <w:right w:val="none" w:sz="0" w:space="0" w:color="auto"/>
      </w:divBdr>
      <w:divsChild>
        <w:div w:id="1791826685">
          <w:marLeft w:val="0"/>
          <w:marRight w:val="0"/>
          <w:marTop w:val="600"/>
          <w:marBottom w:val="0"/>
          <w:divBdr>
            <w:top w:val="none" w:sz="0" w:space="0" w:color="auto"/>
            <w:left w:val="none" w:sz="0" w:space="0" w:color="auto"/>
            <w:bottom w:val="none" w:sz="0" w:space="0" w:color="auto"/>
            <w:right w:val="none" w:sz="0" w:space="0" w:color="auto"/>
          </w:divBdr>
        </w:div>
        <w:div w:id="1589382432">
          <w:marLeft w:val="0"/>
          <w:marRight w:val="0"/>
          <w:marTop w:val="0"/>
          <w:marBottom w:val="0"/>
          <w:divBdr>
            <w:top w:val="none" w:sz="0" w:space="0" w:color="auto"/>
            <w:left w:val="none" w:sz="0" w:space="0" w:color="auto"/>
            <w:bottom w:val="none" w:sz="0" w:space="0" w:color="auto"/>
            <w:right w:val="none" w:sz="0" w:space="0" w:color="auto"/>
          </w:divBdr>
        </w:div>
        <w:div w:id="406654528">
          <w:marLeft w:val="0"/>
          <w:marRight w:val="0"/>
          <w:marTop w:val="0"/>
          <w:marBottom w:val="600"/>
          <w:divBdr>
            <w:top w:val="none" w:sz="0" w:space="0" w:color="auto"/>
            <w:left w:val="none" w:sz="0" w:space="0" w:color="auto"/>
            <w:bottom w:val="none" w:sz="0" w:space="0" w:color="auto"/>
            <w:right w:val="none" w:sz="0" w:space="0" w:color="auto"/>
          </w:divBdr>
        </w:div>
      </w:divsChild>
    </w:div>
    <w:div w:id="974027125">
      <w:marLeft w:val="0"/>
      <w:marRight w:val="0"/>
      <w:marTop w:val="0"/>
      <w:marBottom w:val="0"/>
      <w:divBdr>
        <w:top w:val="none" w:sz="0" w:space="0" w:color="auto"/>
        <w:left w:val="none" w:sz="0" w:space="0" w:color="auto"/>
        <w:bottom w:val="none" w:sz="0" w:space="0" w:color="auto"/>
        <w:right w:val="none" w:sz="0" w:space="0" w:color="auto"/>
      </w:divBdr>
      <w:divsChild>
        <w:div w:id="2096121605">
          <w:marLeft w:val="0"/>
          <w:marRight w:val="0"/>
          <w:marTop w:val="600"/>
          <w:marBottom w:val="0"/>
          <w:divBdr>
            <w:top w:val="none" w:sz="0" w:space="0" w:color="auto"/>
            <w:left w:val="none" w:sz="0" w:space="0" w:color="auto"/>
            <w:bottom w:val="none" w:sz="0" w:space="0" w:color="auto"/>
            <w:right w:val="none" w:sz="0" w:space="0" w:color="auto"/>
          </w:divBdr>
        </w:div>
        <w:div w:id="928273288">
          <w:marLeft w:val="0"/>
          <w:marRight w:val="0"/>
          <w:marTop w:val="0"/>
          <w:marBottom w:val="0"/>
          <w:divBdr>
            <w:top w:val="none" w:sz="0" w:space="0" w:color="auto"/>
            <w:left w:val="none" w:sz="0" w:space="0" w:color="auto"/>
            <w:bottom w:val="none" w:sz="0" w:space="0" w:color="auto"/>
            <w:right w:val="none" w:sz="0" w:space="0" w:color="auto"/>
          </w:divBdr>
          <w:divsChild>
            <w:div w:id="337738143">
              <w:marLeft w:val="0"/>
              <w:marRight w:val="0"/>
              <w:marTop w:val="0"/>
              <w:marBottom w:val="0"/>
              <w:divBdr>
                <w:top w:val="none" w:sz="0" w:space="0" w:color="auto"/>
                <w:left w:val="none" w:sz="0" w:space="0" w:color="auto"/>
                <w:bottom w:val="none" w:sz="0" w:space="0" w:color="auto"/>
                <w:right w:val="none" w:sz="0" w:space="0" w:color="auto"/>
              </w:divBdr>
              <w:divsChild>
                <w:div w:id="887112235">
                  <w:marLeft w:val="0"/>
                  <w:marRight w:val="0"/>
                  <w:marTop w:val="0"/>
                  <w:marBottom w:val="0"/>
                  <w:divBdr>
                    <w:top w:val="none" w:sz="0" w:space="0" w:color="auto"/>
                    <w:left w:val="none" w:sz="0" w:space="0" w:color="auto"/>
                    <w:bottom w:val="none" w:sz="0" w:space="0" w:color="auto"/>
                    <w:right w:val="none" w:sz="0" w:space="0" w:color="auto"/>
                  </w:divBdr>
                </w:div>
              </w:divsChild>
            </w:div>
            <w:div w:id="2084177873">
              <w:marLeft w:val="0"/>
              <w:marRight w:val="0"/>
              <w:marTop w:val="0"/>
              <w:marBottom w:val="0"/>
              <w:divBdr>
                <w:top w:val="none" w:sz="0" w:space="0" w:color="auto"/>
                <w:left w:val="none" w:sz="0" w:space="0" w:color="auto"/>
                <w:bottom w:val="none" w:sz="0" w:space="0" w:color="auto"/>
                <w:right w:val="none" w:sz="0" w:space="0" w:color="auto"/>
              </w:divBdr>
              <w:divsChild>
                <w:div w:id="2146313772">
                  <w:marLeft w:val="0"/>
                  <w:marRight w:val="0"/>
                  <w:marTop w:val="0"/>
                  <w:marBottom w:val="0"/>
                  <w:divBdr>
                    <w:top w:val="none" w:sz="0" w:space="0" w:color="auto"/>
                    <w:left w:val="none" w:sz="0" w:space="0" w:color="auto"/>
                    <w:bottom w:val="none" w:sz="0" w:space="0" w:color="auto"/>
                    <w:right w:val="none" w:sz="0" w:space="0" w:color="auto"/>
                  </w:divBdr>
                </w:div>
              </w:divsChild>
            </w:div>
            <w:div w:id="452099517">
              <w:marLeft w:val="0"/>
              <w:marRight w:val="0"/>
              <w:marTop w:val="0"/>
              <w:marBottom w:val="0"/>
              <w:divBdr>
                <w:top w:val="none" w:sz="0" w:space="0" w:color="auto"/>
                <w:left w:val="none" w:sz="0" w:space="0" w:color="auto"/>
                <w:bottom w:val="none" w:sz="0" w:space="0" w:color="auto"/>
                <w:right w:val="none" w:sz="0" w:space="0" w:color="auto"/>
              </w:divBdr>
              <w:divsChild>
                <w:div w:id="1959531378">
                  <w:marLeft w:val="0"/>
                  <w:marRight w:val="0"/>
                  <w:marTop w:val="0"/>
                  <w:marBottom w:val="0"/>
                  <w:divBdr>
                    <w:top w:val="none" w:sz="0" w:space="0" w:color="auto"/>
                    <w:left w:val="none" w:sz="0" w:space="0" w:color="auto"/>
                    <w:bottom w:val="none" w:sz="0" w:space="0" w:color="auto"/>
                    <w:right w:val="none" w:sz="0" w:space="0" w:color="auto"/>
                  </w:divBdr>
                </w:div>
              </w:divsChild>
            </w:div>
            <w:div w:id="1093866458">
              <w:marLeft w:val="0"/>
              <w:marRight w:val="0"/>
              <w:marTop w:val="0"/>
              <w:marBottom w:val="0"/>
              <w:divBdr>
                <w:top w:val="none" w:sz="0" w:space="0" w:color="auto"/>
                <w:left w:val="none" w:sz="0" w:space="0" w:color="auto"/>
                <w:bottom w:val="none" w:sz="0" w:space="0" w:color="auto"/>
                <w:right w:val="none" w:sz="0" w:space="0" w:color="auto"/>
              </w:divBdr>
              <w:divsChild>
                <w:div w:id="1928732702">
                  <w:marLeft w:val="0"/>
                  <w:marRight w:val="0"/>
                  <w:marTop w:val="0"/>
                  <w:marBottom w:val="0"/>
                  <w:divBdr>
                    <w:top w:val="none" w:sz="0" w:space="0" w:color="auto"/>
                    <w:left w:val="none" w:sz="0" w:space="0" w:color="auto"/>
                    <w:bottom w:val="none" w:sz="0" w:space="0" w:color="auto"/>
                    <w:right w:val="none" w:sz="0" w:space="0" w:color="auto"/>
                  </w:divBdr>
                </w:div>
              </w:divsChild>
            </w:div>
            <w:div w:id="329598419">
              <w:marLeft w:val="0"/>
              <w:marRight w:val="0"/>
              <w:marTop w:val="0"/>
              <w:marBottom w:val="0"/>
              <w:divBdr>
                <w:top w:val="none" w:sz="0" w:space="0" w:color="auto"/>
                <w:left w:val="none" w:sz="0" w:space="0" w:color="auto"/>
                <w:bottom w:val="none" w:sz="0" w:space="0" w:color="auto"/>
                <w:right w:val="none" w:sz="0" w:space="0" w:color="auto"/>
              </w:divBdr>
              <w:divsChild>
                <w:div w:id="391470761">
                  <w:marLeft w:val="0"/>
                  <w:marRight w:val="0"/>
                  <w:marTop w:val="0"/>
                  <w:marBottom w:val="0"/>
                  <w:divBdr>
                    <w:top w:val="none" w:sz="0" w:space="0" w:color="auto"/>
                    <w:left w:val="none" w:sz="0" w:space="0" w:color="auto"/>
                    <w:bottom w:val="none" w:sz="0" w:space="0" w:color="auto"/>
                    <w:right w:val="none" w:sz="0" w:space="0" w:color="auto"/>
                  </w:divBdr>
                </w:div>
              </w:divsChild>
            </w:div>
            <w:div w:id="585236800">
              <w:marLeft w:val="0"/>
              <w:marRight w:val="0"/>
              <w:marTop w:val="0"/>
              <w:marBottom w:val="0"/>
              <w:divBdr>
                <w:top w:val="none" w:sz="0" w:space="0" w:color="auto"/>
                <w:left w:val="none" w:sz="0" w:space="0" w:color="auto"/>
                <w:bottom w:val="none" w:sz="0" w:space="0" w:color="auto"/>
                <w:right w:val="none" w:sz="0" w:space="0" w:color="auto"/>
              </w:divBdr>
              <w:divsChild>
                <w:div w:id="1413888095">
                  <w:marLeft w:val="0"/>
                  <w:marRight w:val="0"/>
                  <w:marTop w:val="0"/>
                  <w:marBottom w:val="0"/>
                  <w:divBdr>
                    <w:top w:val="none" w:sz="0" w:space="0" w:color="auto"/>
                    <w:left w:val="none" w:sz="0" w:space="0" w:color="auto"/>
                    <w:bottom w:val="none" w:sz="0" w:space="0" w:color="auto"/>
                    <w:right w:val="none" w:sz="0" w:space="0" w:color="auto"/>
                  </w:divBdr>
                </w:div>
              </w:divsChild>
            </w:div>
            <w:div w:id="1367874110">
              <w:marLeft w:val="0"/>
              <w:marRight w:val="0"/>
              <w:marTop w:val="0"/>
              <w:marBottom w:val="0"/>
              <w:divBdr>
                <w:top w:val="none" w:sz="0" w:space="0" w:color="auto"/>
                <w:left w:val="none" w:sz="0" w:space="0" w:color="auto"/>
                <w:bottom w:val="none" w:sz="0" w:space="0" w:color="auto"/>
                <w:right w:val="none" w:sz="0" w:space="0" w:color="auto"/>
              </w:divBdr>
              <w:divsChild>
                <w:div w:id="172843901">
                  <w:marLeft w:val="0"/>
                  <w:marRight w:val="0"/>
                  <w:marTop w:val="0"/>
                  <w:marBottom w:val="0"/>
                  <w:divBdr>
                    <w:top w:val="none" w:sz="0" w:space="0" w:color="auto"/>
                    <w:left w:val="none" w:sz="0" w:space="0" w:color="auto"/>
                    <w:bottom w:val="none" w:sz="0" w:space="0" w:color="auto"/>
                    <w:right w:val="none" w:sz="0" w:space="0" w:color="auto"/>
                  </w:divBdr>
                </w:div>
              </w:divsChild>
            </w:div>
            <w:div w:id="659232704">
              <w:marLeft w:val="0"/>
              <w:marRight w:val="0"/>
              <w:marTop w:val="0"/>
              <w:marBottom w:val="0"/>
              <w:divBdr>
                <w:top w:val="none" w:sz="0" w:space="0" w:color="auto"/>
                <w:left w:val="none" w:sz="0" w:space="0" w:color="auto"/>
                <w:bottom w:val="none" w:sz="0" w:space="0" w:color="auto"/>
                <w:right w:val="none" w:sz="0" w:space="0" w:color="auto"/>
              </w:divBdr>
              <w:divsChild>
                <w:div w:id="1143307587">
                  <w:marLeft w:val="0"/>
                  <w:marRight w:val="0"/>
                  <w:marTop w:val="0"/>
                  <w:marBottom w:val="0"/>
                  <w:divBdr>
                    <w:top w:val="none" w:sz="0" w:space="0" w:color="auto"/>
                    <w:left w:val="none" w:sz="0" w:space="0" w:color="auto"/>
                    <w:bottom w:val="none" w:sz="0" w:space="0" w:color="auto"/>
                    <w:right w:val="none" w:sz="0" w:space="0" w:color="auto"/>
                  </w:divBdr>
                </w:div>
              </w:divsChild>
            </w:div>
            <w:div w:id="1296137017">
              <w:marLeft w:val="0"/>
              <w:marRight w:val="0"/>
              <w:marTop w:val="0"/>
              <w:marBottom w:val="0"/>
              <w:divBdr>
                <w:top w:val="none" w:sz="0" w:space="0" w:color="auto"/>
                <w:left w:val="none" w:sz="0" w:space="0" w:color="auto"/>
                <w:bottom w:val="none" w:sz="0" w:space="0" w:color="auto"/>
                <w:right w:val="none" w:sz="0" w:space="0" w:color="auto"/>
              </w:divBdr>
              <w:divsChild>
                <w:div w:id="824929790">
                  <w:marLeft w:val="0"/>
                  <w:marRight w:val="0"/>
                  <w:marTop w:val="0"/>
                  <w:marBottom w:val="0"/>
                  <w:divBdr>
                    <w:top w:val="none" w:sz="0" w:space="0" w:color="auto"/>
                    <w:left w:val="none" w:sz="0" w:space="0" w:color="auto"/>
                    <w:bottom w:val="none" w:sz="0" w:space="0" w:color="auto"/>
                    <w:right w:val="none" w:sz="0" w:space="0" w:color="auto"/>
                  </w:divBdr>
                </w:div>
              </w:divsChild>
            </w:div>
            <w:div w:id="549221964">
              <w:marLeft w:val="0"/>
              <w:marRight w:val="0"/>
              <w:marTop w:val="0"/>
              <w:marBottom w:val="0"/>
              <w:divBdr>
                <w:top w:val="none" w:sz="0" w:space="0" w:color="auto"/>
                <w:left w:val="none" w:sz="0" w:space="0" w:color="auto"/>
                <w:bottom w:val="none" w:sz="0" w:space="0" w:color="auto"/>
                <w:right w:val="none" w:sz="0" w:space="0" w:color="auto"/>
              </w:divBdr>
              <w:divsChild>
                <w:div w:id="1578591840">
                  <w:marLeft w:val="0"/>
                  <w:marRight w:val="0"/>
                  <w:marTop w:val="0"/>
                  <w:marBottom w:val="0"/>
                  <w:divBdr>
                    <w:top w:val="none" w:sz="0" w:space="0" w:color="auto"/>
                    <w:left w:val="none" w:sz="0" w:space="0" w:color="auto"/>
                    <w:bottom w:val="none" w:sz="0" w:space="0" w:color="auto"/>
                    <w:right w:val="none" w:sz="0" w:space="0" w:color="auto"/>
                  </w:divBdr>
                </w:div>
              </w:divsChild>
            </w:div>
            <w:div w:id="1342320926">
              <w:marLeft w:val="0"/>
              <w:marRight w:val="0"/>
              <w:marTop w:val="0"/>
              <w:marBottom w:val="0"/>
              <w:divBdr>
                <w:top w:val="none" w:sz="0" w:space="0" w:color="auto"/>
                <w:left w:val="none" w:sz="0" w:space="0" w:color="auto"/>
                <w:bottom w:val="none" w:sz="0" w:space="0" w:color="auto"/>
                <w:right w:val="none" w:sz="0" w:space="0" w:color="auto"/>
              </w:divBdr>
              <w:divsChild>
                <w:div w:id="1997414571">
                  <w:marLeft w:val="0"/>
                  <w:marRight w:val="0"/>
                  <w:marTop w:val="0"/>
                  <w:marBottom w:val="0"/>
                  <w:divBdr>
                    <w:top w:val="none" w:sz="0" w:space="0" w:color="auto"/>
                    <w:left w:val="none" w:sz="0" w:space="0" w:color="auto"/>
                    <w:bottom w:val="none" w:sz="0" w:space="0" w:color="auto"/>
                    <w:right w:val="none" w:sz="0" w:space="0" w:color="auto"/>
                  </w:divBdr>
                </w:div>
              </w:divsChild>
            </w:div>
            <w:div w:id="1121462847">
              <w:marLeft w:val="0"/>
              <w:marRight w:val="0"/>
              <w:marTop w:val="0"/>
              <w:marBottom w:val="0"/>
              <w:divBdr>
                <w:top w:val="none" w:sz="0" w:space="0" w:color="auto"/>
                <w:left w:val="none" w:sz="0" w:space="0" w:color="auto"/>
                <w:bottom w:val="none" w:sz="0" w:space="0" w:color="auto"/>
                <w:right w:val="none" w:sz="0" w:space="0" w:color="auto"/>
              </w:divBdr>
              <w:divsChild>
                <w:div w:id="1358889452">
                  <w:marLeft w:val="0"/>
                  <w:marRight w:val="0"/>
                  <w:marTop w:val="0"/>
                  <w:marBottom w:val="0"/>
                  <w:divBdr>
                    <w:top w:val="none" w:sz="0" w:space="0" w:color="auto"/>
                    <w:left w:val="none" w:sz="0" w:space="0" w:color="auto"/>
                    <w:bottom w:val="none" w:sz="0" w:space="0" w:color="auto"/>
                    <w:right w:val="none" w:sz="0" w:space="0" w:color="auto"/>
                  </w:divBdr>
                </w:div>
              </w:divsChild>
            </w:div>
            <w:div w:id="1837187268">
              <w:marLeft w:val="0"/>
              <w:marRight w:val="0"/>
              <w:marTop w:val="0"/>
              <w:marBottom w:val="0"/>
              <w:divBdr>
                <w:top w:val="none" w:sz="0" w:space="0" w:color="auto"/>
                <w:left w:val="none" w:sz="0" w:space="0" w:color="auto"/>
                <w:bottom w:val="none" w:sz="0" w:space="0" w:color="auto"/>
                <w:right w:val="none" w:sz="0" w:space="0" w:color="auto"/>
              </w:divBdr>
              <w:divsChild>
                <w:div w:id="987053700">
                  <w:marLeft w:val="0"/>
                  <w:marRight w:val="0"/>
                  <w:marTop w:val="0"/>
                  <w:marBottom w:val="0"/>
                  <w:divBdr>
                    <w:top w:val="none" w:sz="0" w:space="0" w:color="auto"/>
                    <w:left w:val="none" w:sz="0" w:space="0" w:color="auto"/>
                    <w:bottom w:val="none" w:sz="0" w:space="0" w:color="auto"/>
                    <w:right w:val="none" w:sz="0" w:space="0" w:color="auto"/>
                  </w:divBdr>
                </w:div>
              </w:divsChild>
            </w:div>
            <w:div w:id="1412968892">
              <w:marLeft w:val="0"/>
              <w:marRight w:val="0"/>
              <w:marTop w:val="0"/>
              <w:marBottom w:val="0"/>
              <w:divBdr>
                <w:top w:val="none" w:sz="0" w:space="0" w:color="auto"/>
                <w:left w:val="none" w:sz="0" w:space="0" w:color="auto"/>
                <w:bottom w:val="none" w:sz="0" w:space="0" w:color="auto"/>
                <w:right w:val="none" w:sz="0" w:space="0" w:color="auto"/>
              </w:divBdr>
              <w:divsChild>
                <w:div w:id="899095369">
                  <w:marLeft w:val="0"/>
                  <w:marRight w:val="0"/>
                  <w:marTop w:val="0"/>
                  <w:marBottom w:val="0"/>
                  <w:divBdr>
                    <w:top w:val="none" w:sz="0" w:space="0" w:color="auto"/>
                    <w:left w:val="none" w:sz="0" w:space="0" w:color="auto"/>
                    <w:bottom w:val="none" w:sz="0" w:space="0" w:color="auto"/>
                    <w:right w:val="none" w:sz="0" w:space="0" w:color="auto"/>
                  </w:divBdr>
                </w:div>
              </w:divsChild>
            </w:div>
            <w:div w:id="1319307603">
              <w:marLeft w:val="0"/>
              <w:marRight w:val="0"/>
              <w:marTop w:val="0"/>
              <w:marBottom w:val="0"/>
              <w:divBdr>
                <w:top w:val="none" w:sz="0" w:space="0" w:color="auto"/>
                <w:left w:val="none" w:sz="0" w:space="0" w:color="auto"/>
                <w:bottom w:val="none" w:sz="0" w:space="0" w:color="auto"/>
                <w:right w:val="none" w:sz="0" w:space="0" w:color="auto"/>
              </w:divBdr>
              <w:divsChild>
                <w:div w:id="17313724">
                  <w:marLeft w:val="0"/>
                  <w:marRight w:val="0"/>
                  <w:marTop w:val="0"/>
                  <w:marBottom w:val="0"/>
                  <w:divBdr>
                    <w:top w:val="none" w:sz="0" w:space="0" w:color="auto"/>
                    <w:left w:val="none" w:sz="0" w:space="0" w:color="auto"/>
                    <w:bottom w:val="none" w:sz="0" w:space="0" w:color="auto"/>
                    <w:right w:val="none" w:sz="0" w:space="0" w:color="auto"/>
                  </w:divBdr>
                </w:div>
              </w:divsChild>
            </w:div>
            <w:div w:id="555773962">
              <w:marLeft w:val="0"/>
              <w:marRight w:val="0"/>
              <w:marTop w:val="0"/>
              <w:marBottom w:val="0"/>
              <w:divBdr>
                <w:top w:val="none" w:sz="0" w:space="0" w:color="auto"/>
                <w:left w:val="none" w:sz="0" w:space="0" w:color="auto"/>
                <w:bottom w:val="none" w:sz="0" w:space="0" w:color="auto"/>
                <w:right w:val="none" w:sz="0" w:space="0" w:color="auto"/>
              </w:divBdr>
              <w:divsChild>
                <w:div w:id="865798662">
                  <w:marLeft w:val="0"/>
                  <w:marRight w:val="0"/>
                  <w:marTop w:val="0"/>
                  <w:marBottom w:val="0"/>
                  <w:divBdr>
                    <w:top w:val="none" w:sz="0" w:space="0" w:color="auto"/>
                    <w:left w:val="none" w:sz="0" w:space="0" w:color="auto"/>
                    <w:bottom w:val="none" w:sz="0" w:space="0" w:color="auto"/>
                    <w:right w:val="none" w:sz="0" w:space="0" w:color="auto"/>
                  </w:divBdr>
                </w:div>
              </w:divsChild>
            </w:div>
            <w:div w:id="842862500">
              <w:marLeft w:val="0"/>
              <w:marRight w:val="0"/>
              <w:marTop w:val="0"/>
              <w:marBottom w:val="0"/>
              <w:divBdr>
                <w:top w:val="none" w:sz="0" w:space="0" w:color="auto"/>
                <w:left w:val="none" w:sz="0" w:space="0" w:color="auto"/>
                <w:bottom w:val="none" w:sz="0" w:space="0" w:color="auto"/>
                <w:right w:val="none" w:sz="0" w:space="0" w:color="auto"/>
              </w:divBdr>
              <w:divsChild>
                <w:div w:id="1570265783">
                  <w:marLeft w:val="0"/>
                  <w:marRight w:val="0"/>
                  <w:marTop w:val="0"/>
                  <w:marBottom w:val="0"/>
                  <w:divBdr>
                    <w:top w:val="none" w:sz="0" w:space="0" w:color="auto"/>
                    <w:left w:val="none" w:sz="0" w:space="0" w:color="auto"/>
                    <w:bottom w:val="none" w:sz="0" w:space="0" w:color="auto"/>
                    <w:right w:val="none" w:sz="0" w:space="0" w:color="auto"/>
                  </w:divBdr>
                </w:div>
              </w:divsChild>
            </w:div>
            <w:div w:id="1268655972">
              <w:marLeft w:val="0"/>
              <w:marRight w:val="0"/>
              <w:marTop w:val="0"/>
              <w:marBottom w:val="0"/>
              <w:divBdr>
                <w:top w:val="none" w:sz="0" w:space="0" w:color="auto"/>
                <w:left w:val="none" w:sz="0" w:space="0" w:color="auto"/>
                <w:bottom w:val="none" w:sz="0" w:space="0" w:color="auto"/>
                <w:right w:val="none" w:sz="0" w:space="0" w:color="auto"/>
              </w:divBdr>
              <w:divsChild>
                <w:div w:id="526917332">
                  <w:marLeft w:val="0"/>
                  <w:marRight w:val="0"/>
                  <w:marTop w:val="0"/>
                  <w:marBottom w:val="0"/>
                  <w:divBdr>
                    <w:top w:val="none" w:sz="0" w:space="0" w:color="auto"/>
                    <w:left w:val="none" w:sz="0" w:space="0" w:color="auto"/>
                    <w:bottom w:val="none" w:sz="0" w:space="0" w:color="auto"/>
                    <w:right w:val="none" w:sz="0" w:space="0" w:color="auto"/>
                  </w:divBdr>
                </w:div>
              </w:divsChild>
            </w:div>
            <w:div w:id="1649286156">
              <w:marLeft w:val="0"/>
              <w:marRight w:val="0"/>
              <w:marTop w:val="0"/>
              <w:marBottom w:val="0"/>
              <w:divBdr>
                <w:top w:val="none" w:sz="0" w:space="0" w:color="auto"/>
                <w:left w:val="none" w:sz="0" w:space="0" w:color="auto"/>
                <w:bottom w:val="none" w:sz="0" w:space="0" w:color="auto"/>
                <w:right w:val="none" w:sz="0" w:space="0" w:color="auto"/>
              </w:divBdr>
              <w:divsChild>
                <w:div w:id="895778330">
                  <w:marLeft w:val="0"/>
                  <w:marRight w:val="0"/>
                  <w:marTop w:val="0"/>
                  <w:marBottom w:val="0"/>
                  <w:divBdr>
                    <w:top w:val="none" w:sz="0" w:space="0" w:color="auto"/>
                    <w:left w:val="none" w:sz="0" w:space="0" w:color="auto"/>
                    <w:bottom w:val="none" w:sz="0" w:space="0" w:color="auto"/>
                    <w:right w:val="none" w:sz="0" w:space="0" w:color="auto"/>
                  </w:divBdr>
                </w:div>
              </w:divsChild>
            </w:div>
            <w:div w:id="1682201425">
              <w:marLeft w:val="0"/>
              <w:marRight w:val="0"/>
              <w:marTop w:val="0"/>
              <w:marBottom w:val="0"/>
              <w:divBdr>
                <w:top w:val="none" w:sz="0" w:space="0" w:color="auto"/>
                <w:left w:val="none" w:sz="0" w:space="0" w:color="auto"/>
                <w:bottom w:val="none" w:sz="0" w:space="0" w:color="auto"/>
                <w:right w:val="none" w:sz="0" w:space="0" w:color="auto"/>
              </w:divBdr>
              <w:divsChild>
                <w:div w:id="2098937943">
                  <w:marLeft w:val="0"/>
                  <w:marRight w:val="0"/>
                  <w:marTop w:val="0"/>
                  <w:marBottom w:val="0"/>
                  <w:divBdr>
                    <w:top w:val="none" w:sz="0" w:space="0" w:color="auto"/>
                    <w:left w:val="none" w:sz="0" w:space="0" w:color="auto"/>
                    <w:bottom w:val="none" w:sz="0" w:space="0" w:color="auto"/>
                    <w:right w:val="none" w:sz="0" w:space="0" w:color="auto"/>
                  </w:divBdr>
                </w:div>
              </w:divsChild>
            </w:div>
            <w:div w:id="16005978">
              <w:marLeft w:val="0"/>
              <w:marRight w:val="0"/>
              <w:marTop w:val="0"/>
              <w:marBottom w:val="0"/>
              <w:divBdr>
                <w:top w:val="none" w:sz="0" w:space="0" w:color="auto"/>
                <w:left w:val="none" w:sz="0" w:space="0" w:color="auto"/>
                <w:bottom w:val="none" w:sz="0" w:space="0" w:color="auto"/>
                <w:right w:val="none" w:sz="0" w:space="0" w:color="auto"/>
              </w:divBdr>
              <w:divsChild>
                <w:div w:id="1481656975">
                  <w:marLeft w:val="0"/>
                  <w:marRight w:val="0"/>
                  <w:marTop w:val="0"/>
                  <w:marBottom w:val="0"/>
                  <w:divBdr>
                    <w:top w:val="none" w:sz="0" w:space="0" w:color="auto"/>
                    <w:left w:val="none" w:sz="0" w:space="0" w:color="auto"/>
                    <w:bottom w:val="none" w:sz="0" w:space="0" w:color="auto"/>
                    <w:right w:val="none" w:sz="0" w:space="0" w:color="auto"/>
                  </w:divBdr>
                </w:div>
              </w:divsChild>
            </w:div>
            <w:div w:id="26685025">
              <w:marLeft w:val="0"/>
              <w:marRight w:val="0"/>
              <w:marTop w:val="0"/>
              <w:marBottom w:val="0"/>
              <w:divBdr>
                <w:top w:val="none" w:sz="0" w:space="0" w:color="auto"/>
                <w:left w:val="none" w:sz="0" w:space="0" w:color="auto"/>
                <w:bottom w:val="none" w:sz="0" w:space="0" w:color="auto"/>
                <w:right w:val="none" w:sz="0" w:space="0" w:color="auto"/>
              </w:divBdr>
              <w:divsChild>
                <w:div w:id="154733515">
                  <w:marLeft w:val="0"/>
                  <w:marRight w:val="0"/>
                  <w:marTop w:val="0"/>
                  <w:marBottom w:val="0"/>
                  <w:divBdr>
                    <w:top w:val="none" w:sz="0" w:space="0" w:color="auto"/>
                    <w:left w:val="none" w:sz="0" w:space="0" w:color="auto"/>
                    <w:bottom w:val="none" w:sz="0" w:space="0" w:color="auto"/>
                    <w:right w:val="none" w:sz="0" w:space="0" w:color="auto"/>
                  </w:divBdr>
                </w:div>
              </w:divsChild>
            </w:div>
            <w:div w:id="409615917">
              <w:marLeft w:val="0"/>
              <w:marRight w:val="0"/>
              <w:marTop w:val="0"/>
              <w:marBottom w:val="0"/>
              <w:divBdr>
                <w:top w:val="none" w:sz="0" w:space="0" w:color="auto"/>
                <w:left w:val="none" w:sz="0" w:space="0" w:color="auto"/>
                <w:bottom w:val="none" w:sz="0" w:space="0" w:color="auto"/>
                <w:right w:val="none" w:sz="0" w:space="0" w:color="auto"/>
              </w:divBdr>
              <w:divsChild>
                <w:div w:id="1301610667">
                  <w:marLeft w:val="0"/>
                  <w:marRight w:val="0"/>
                  <w:marTop w:val="0"/>
                  <w:marBottom w:val="0"/>
                  <w:divBdr>
                    <w:top w:val="none" w:sz="0" w:space="0" w:color="auto"/>
                    <w:left w:val="none" w:sz="0" w:space="0" w:color="auto"/>
                    <w:bottom w:val="none" w:sz="0" w:space="0" w:color="auto"/>
                    <w:right w:val="none" w:sz="0" w:space="0" w:color="auto"/>
                  </w:divBdr>
                </w:div>
              </w:divsChild>
            </w:div>
            <w:div w:id="55975446">
              <w:marLeft w:val="0"/>
              <w:marRight w:val="0"/>
              <w:marTop w:val="0"/>
              <w:marBottom w:val="0"/>
              <w:divBdr>
                <w:top w:val="none" w:sz="0" w:space="0" w:color="auto"/>
                <w:left w:val="none" w:sz="0" w:space="0" w:color="auto"/>
                <w:bottom w:val="none" w:sz="0" w:space="0" w:color="auto"/>
                <w:right w:val="none" w:sz="0" w:space="0" w:color="auto"/>
              </w:divBdr>
              <w:divsChild>
                <w:div w:id="1765564703">
                  <w:marLeft w:val="0"/>
                  <w:marRight w:val="0"/>
                  <w:marTop w:val="0"/>
                  <w:marBottom w:val="0"/>
                  <w:divBdr>
                    <w:top w:val="none" w:sz="0" w:space="0" w:color="auto"/>
                    <w:left w:val="none" w:sz="0" w:space="0" w:color="auto"/>
                    <w:bottom w:val="none" w:sz="0" w:space="0" w:color="auto"/>
                    <w:right w:val="none" w:sz="0" w:space="0" w:color="auto"/>
                  </w:divBdr>
                </w:div>
              </w:divsChild>
            </w:div>
            <w:div w:id="1399404899">
              <w:marLeft w:val="0"/>
              <w:marRight w:val="0"/>
              <w:marTop w:val="0"/>
              <w:marBottom w:val="0"/>
              <w:divBdr>
                <w:top w:val="none" w:sz="0" w:space="0" w:color="auto"/>
                <w:left w:val="none" w:sz="0" w:space="0" w:color="auto"/>
                <w:bottom w:val="none" w:sz="0" w:space="0" w:color="auto"/>
                <w:right w:val="none" w:sz="0" w:space="0" w:color="auto"/>
              </w:divBdr>
              <w:divsChild>
                <w:div w:id="959529313">
                  <w:marLeft w:val="0"/>
                  <w:marRight w:val="0"/>
                  <w:marTop w:val="0"/>
                  <w:marBottom w:val="0"/>
                  <w:divBdr>
                    <w:top w:val="none" w:sz="0" w:space="0" w:color="auto"/>
                    <w:left w:val="none" w:sz="0" w:space="0" w:color="auto"/>
                    <w:bottom w:val="none" w:sz="0" w:space="0" w:color="auto"/>
                    <w:right w:val="none" w:sz="0" w:space="0" w:color="auto"/>
                  </w:divBdr>
                </w:div>
              </w:divsChild>
            </w:div>
            <w:div w:id="578560701">
              <w:marLeft w:val="0"/>
              <w:marRight w:val="0"/>
              <w:marTop w:val="0"/>
              <w:marBottom w:val="0"/>
              <w:divBdr>
                <w:top w:val="none" w:sz="0" w:space="0" w:color="auto"/>
                <w:left w:val="none" w:sz="0" w:space="0" w:color="auto"/>
                <w:bottom w:val="none" w:sz="0" w:space="0" w:color="auto"/>
                <w:right w:val="none" w:sz="0" w:space="0" w:color="auto"/>
              </w:divBdr>
              <w:divsChild>
                <w:div w:id="835654068">
                  <w:marLeft w:val="0"/>
                  <w:marRight w:val="0"/>
                  <w:marTop w:val="0"/>
                  <w:marBottom w:val="0"/>
                  <w:divBdr>
                    <w:top w:val="none" w:sz="0" w:space="0" w:color="auto"/>
                    <w:left w:val="none" w:sz="0" w:space="0" w:color="auto"/>
                    <w:bottom w:val="none" w:sz="0" w:space="0" w:color="auto"/>
                    <w:right w:val="none" w:sz="0" w:space="0" w:color="auto"/>
                  </w:divBdr>
                </w:div>
              </w:divsChild>
            </w:div>
            <w:div w:id="2092657469">
              <w:marLeft w:val="0"/>
              <w:marRight w:val="0"/>
              <w:marTop w:val="0"/>
              <w:marBottom w:val="0"/>
              <w:divBdr>
                <w:top w:val="none" w:sz="0" w:space="0" w:color="auto"/>
                <w:left w:val="none" w:sz="0" w:space="0" w:color="auto"/>
                <w:bottom w:val="none" w:sz="0" w:space="0" w:color="auto"/>
                <w:right w:val="none" w:sz="0" w:space="0" w:color="auto"/>
              </w:divBdr>
              <w:divsChild>
                <w:div w:id="1053233783">
                  <w:marLeft w:val="0"/>
                  <w:marRight w:val="0"/>
                  <w:marTop w:val="0"/>
                  <w:marBottom w:val="0"/>
                  <w:divBdr>
                    <w:top w:val="none" w:sz="0" w:space="0" w:color="auto"/>
                    <w:left w:val="none" w:sz="0" w:space="0" w:color="auto"/>
                    <w:bottom w:val="none" w:sz="0" w:space="0" w:color="auto"/>
                    <w:right w:val="none" w:sz="0" w:space="0" w:color="auto"/>
                  </w:divBdr>
                </w:div>
              </w:divsChild>
            </w:div>
            <w:div w:id="1804155030">
              <w:marLeft w:val="0"/>
              <w:marRight w:val="0"/>
              <w:marTop w:val="0"/>
              <w:marBottom w:val="0"/>
              <w:divBdr>
                <w:top w:val="none" w:sz="0" w:space="0" w:color="auto"/>
                <w:left w:val="none" w:sz="0" w:space="0" w:color="auto"/>
                <w:bottom w:val="none" w:sz="0" w:space="0" w:color="auto"/>
                <w:right w:val="none" w:sz="0" w:space="0" w:color="auto"/>
              </w:divBdr>
              <w:divsChild>
                <w:div w:id="41867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8866">
          <w:marLeft w:val="0"/>
          <w:marRight w:val="0"/>
          <w:marTop w:val="0"/>
          <w:marBottom w:val="600"/>
          <w:divBdr>
            <w:top w:val="none" w:sz="0" w:space="0" w:color="auto"/>
            <w:left w:val="none" w:sz="0" w:space="0" w:color="auto"/>
            <w:bottom w:val="none" w:sz="0" w:space="0" w:color="auto"/>
            <w:right w:val="none" w:sz="0" w:space="0" w:color="auto"/>
          </w:divBdr>
        </w:div>
      </w:divsChild>
    </w:div>
    <w:div w:id="1026521233">
      <w:marLeft w:val="0"/>
      <w:marRight w:val="0"/>
      <w:marTop w:val="0"/>
      <w:marBottom w:val="0"/>
      <w:divBdr>
        <w:top w:val="none" w:sz="0" w:space="0" w:color="auto"/>
        <w:left w:val="none" w:sz="0" w:space="0" w:color="auto"/>
        <w:bottom w:val="none" w:sz="0" w:space="0" w:color="auto"/>
        <w:right w:val="none" w:sz="0" w:space="0" w:color="auto"/>
      </w:divBdr>
      <w:divsChild>
        <w:div w:id="593243165">
          <w:marLeft w:val="0"/>
          <w:marRight w:val="0"/>
          <w:marTop w:val="600"/>
          <w:marBottom w:val="0"/>
          <w:divBdr>
            <w:top w:val="none" w:sz="0" w:space="0" w:color="auto"/>
            <w:left w:val="none" w:sz="0" w:space="0" w:color="auto"/>
            <w:bottom w:val="none" w:sz="0" w:space="0" w:color="auto"/>
            <w:right w:val="none" w:sz="0" w:space="0" w:color="auto"/>
          </w:divBdr>
        </w:div>
        <w:div w:id="249003675">
          <w:marLeft w:val="0"/>
          <w:marRight w:val="0"/>
          <w:marTop w:val="0"/>
          <w:marBottom w:val="0"/>
          <w:divBdr>
            <w:top w:val="none" w:sz="0" w:space="0" w:color="auto"/>
            <w:left w:val="none" w:sz="0" w:space="0" w:color="auto"/>
            <w:bottom w:val="none" w:sz="0" w:space="0" w:color="auto"/>
            <w:right w:val="none" w:sz="0" w:space="0" w:color="auto"/>
          </w:divBdr>
          <w:divsChild>
            <w:div w:id="1686323312">
              <w:marLeft w:val="547"/>
              <w:marRight w:val="0"/>
              <w:marTop w:val="0"/>
              <w:marBottom w:val="0"/>
              <w:divBdr>
                <w:top w:val="none" w:sz="0" w:space="0" w:color="auto"/>
                <w:left w:val="none" w:sz="0" w:space="0" w:color="auto"/>
                <w:bottom w:val="none" w:sz="0" w:space="0" w:color="auto"/>
                <w:right w:val="none" w:sz="0" w:space="0" w:color="auto"/>
              </w:divBdr>
            </w:div>
            <w:div w:id="380250063">
              <w:marLeft w:val="547"/>
              <w:marRight w:val="0"/>
              <w:marTop w:val="0"/>
              <w:marBottom w:val="0"/>
              <w:divBdr>
                <w:top w:val="none" w:sz="0" w:space="0" w:color="auto"/>
                <w:left w:val="none" w:sz="0" w:space="0" w:color="auto"/>
                <w:bottom w:val="none" w:sz="0" w:space="0" w:color="auto"/>
                <w:right w:val="none" w:sz="0" w:space="0" w:color="auto"/>
              </w:divBdr>
            </w:div>
            <w:div w:id="827675412">
              <w:marLeft w:val="547"/>
              <w:marRight w:val="0"/>
              <w:marTop w:val="0"/>
              <w:marBottom w:val="0"/>
              <w:divBdr>
                <w:top w:val="none" w:sz="0" w:space="0" w:color="auto"/>
                <w:left w:val="none" w:sz="0" w:space="0" w:color="auto"/>
                <w:bottom w:val="none" w:sz="0" w:space="0" w:color="auto"/>
                <w:right w:val="none" w:sz="0" w:space="0" w:color="auto"/>
              </w:divBdr>
            </w:div>
            <w:div w:id="1105805690">
              <w:marLeft w:val="547"/>
              <w:marRight w:val="0"/>
              <w:marTop w:val="0"/>
              <w:marBottom w:val="0"/>
              <w:divBdr>
                <w:top w:val="none" w:sz="0" w:space="0" w:color="auto"/>
                <w:left w:val="none" w:sz="0" w:space="0" w:color="auto"/>
                <w:bottom w:val="none" w:sz="0" w:space="0" w:color="auto"/>
                <w:right w:val="none" w:sz="0" w:space="0" w:color="auto"/>
              </w:divBdr>
            </w:div>
            <w:div w:id="87774165">
              <w:marLeft w:val="547"/>
              <w:marRight w:val="0"/>
              <w:marTop w:val="0"/>
              <w:marBottom w:val="0"/>
              <w:divBdr>
                <w:top w:val="none" w:sz="0" w:space="0" w:color="auto"/>
                <w:left w:val="none" w:sz="0" w:space="0" w:color="auto"/>
                <w:bottom w:val="none" w:sz="0" w:space="0" w:color="auto"/>
                <w:right w:val="none" w:sz="0" w:space="0" w:color="auto"/>
              </w:divBdr>
            </w:div>
            <w:div w:id="594360038">
              <w:marLeft w:val="547"/>
              <w:marRight w:val="0"/>
              <w:marTop w:val="0"/>
              <w:marBottom w:val="0"/>
              <w:divBdr>
                <w:top w:val="none" w:sz="0" w:space="0" w:color="auto"/>
                <w:left w:val="none" w:sz="0" w:space="0" w:color="auto"/>
                <w:bottom w:val="none" w:sz="0" w:space="0" w:color="auto"/>
                <w:right w:val="none" w:sz="0" w:space="0" w:color="auto"/>
              </w:divBdr>
            </w:div>
            <w:div w:id="783768506">
              <w:marLeft w:val="547"/>
              <w:marRight w:val="0"/>
              <w:marTop w:val="0"/>
              <w:marBottom w:val="0"/>
              <w:divBdr>
                <w:top w:val="none" w:sz="0" w:space="0" w:color="auto"/>
                <w:left w:val="none" w:sz="0" w:space="0" w:color="auto"/>
                <w:bottom w:val="none" w:sz="0" w:space="0" w:color="auto"/>
                <w:right w:val="none" w:sz="0" w:space="0" w:color="auto"/>
              </w:divBdr>
            </w:div>
          </w:divsChild>
        </w:div>
        <w:div w:id="1081953097">
          <w:marLeft w:val="0"/>
          <w:marRight w:val="0"/>
          <w:marTop w:val="0"/>
          <w:marBottom w:val="600"/>
          <w:divBdr>
            <w:top w:val="none" w:sz="0" w:space="0" w:color="auto"/>
            <w:left w:val="none" w:sz="0" w:space="0" w:color="auto"/>
            <w:bottom w:val="none" w:sz="0" w:space="0" w:color="auto"/>
            <w:right w:val="none" w:sz="0" w:space="0" w:color="auto"/>
          </w:divBdr>
        </w:div>
      </w:divsChild>
    </w:div>
    <w:div w:id="1047030956">
      <w:marLeft w:val="0"/>
      <w:marRight w:val="0"/>
      <w:marTop w:val="0"/>
      <w:marBottom w:val="0"/>
      <w:divBdr>
        <w:top w:val="none" w:sz="0" w:space="0" w:color="auto"/>
        <w:left w:val="none" w:sz="0" w:space="0" w:color="auto"/>
        <w:bottom w:val="none" w:sz="0" w:space="0" w:color="auto"/>
        <w:right w:val="none" w:sz="0" w:space="0" w:color="auto"/>
      </w:divBdr>
      <w:divsChild>
        <w:div w:id="1239289599">
          <w:marLeft w:val="0"/>
          <w:marRight w:val="0"/>
          <w:marTop w:val="600"/>
          <w:marBottom w:val="0"/>
          <w:divBdr>
            <w:top w:val="none" w:sz="0" w:space="0" w:color="auto"/>
            <w:left w:val="none" w:sz="0" w:space="0" w:color="auto"/>
            <w:bottom w:val="none" w:sz="0" w:space="0" w:color="auto"/>
            <w:right w:val="none" w:sz="0" w:space="0" w:color="auto"/>
          </w:divBdr>
        </w:div>
        <w:div w:id="972095562">
          <w:marLeft w:val="0"/>
          <w:marRight w:val="0"/>
          <w:marTop w:val="0"/>
          <w:marBottom w:val="0"/>
          <w:divBdr>
            <w:top w:val="none" w:sz="0" w:space="0" w:color="auto"/>
            <w:left w:val="none" w:sz="0" w:space="0" w:color="auto"/>
            <w:bottom w:val="none" w:sz="0" w:space="0" w:color="auto"/>
            <w:right w:val="none" w:sz="0" w:space="0" w:color="auto"/>
          </w:divBdr>
          <w:divsChild>
            <w:div w:id="765343844">
              <w:marLeft w:val="0"/>
              <w:marRight w:val="0"/>
              <w:marTop w:val="0"/>
              <w:marBottom w:val="0"/>
              <w:divBdr>
                <w:top w:val="none" w:sz="0" w:space="0" w:color="auto"/>
                <w:left w:val="none" w:sz="0" w:space="0" w:color="auto"/>
                <w:bottom w:val="none" w:sz="0" w:space="0" w:color="auto"/>
                <w:right w:val="none" w:sz="0" w:space="0" w:color="auto"/>
              </w:divBdr>
              <w:divsChild>
                <w:div w:id="1479221458">
                  <w:marLeft w:val="0"/>
                  <w:marRight w:val="0"/>
                  <w:marTop w:val="0"/>
                  <w:marBottom w:val="0"/>
                  <w:divBdr>
                    <w:top w:val="none" w:sz="0" w:space="0" w:color="auto"/>
                    <w:left w:val="none" w:sz="0" w:space="0" w:color="auto"/>
                    <w:bottom w:val="none" w:sz="0" w:space="0" w:color="auto"/>
                    <w:right w:val="none" w:sz="0" w:space="0" w:color="auto"/>
                  </w:divBdr>
                </w:div>
              </w:divsChild>
            </w:div>
            <w:div w:id="1852792455">
              <w:marLeft w:val="0"/>
              <w:marRight w:val="0"/>
              <w:marTop w:val="0"/>
              <w:marBottom w:val="0"/>
              <w:divBdr>
                <w:top w:val="none" w:sz="0" w:space="0" w:color="auto"/>
                <w:left w:val="none" w:sz="0" w:space="0" w:color="auto"/>
                <w:bottom w:val="none" w:sz="0" w:space="0" w:color="auto"/>
                <w:right w:val="none" w:sz="0" w:space="0" w:color="auto"/>
              </w:divBdr>
              <w:divsChild>
                <w:div w:id="1893543281">
                  <w:marLeft w:val="0"/>
                  <w:marRight w:val="0"/>
                  <w:marTop w:val="0"/>
                  <w:marBottom w:val="0"/>
                  <w:divBdr>
                    <w:top w:val="none" w:sz="0" w:space="0" w:color="auto"/>
                    <w:left w:val="none" w:sz="0" w:space="0" w:color="auto"/>
                    <w:bottom w:val="none" w:sz="0" w:space="0" w:color="auto"/>
                    <w:right w:val="none" w:sz="0" w:space="0" w:color="auto"/>
                  </w:divBdr>
                </w:div>
              </w:divsChild>
            </w:div>
            <w:div w:id="1871646996">
              <w:marLeft w:val="0"/>
              <w:marRight w:val="0"/>
              <w:marTop w:val="0"/>
              <w:marBottom w:val="0"/>
              <w:divBdr>
                <w:top w:val="none" w:sz="0" w:space="0" w:color="auto"/>
                <w:left w:val="none" w:sz="0" w:space="0" w:color="auto"/>
                <w:bottom w:val="none" w:sz="0" w:space="0" w:color="auto"/>
                <w:right w:val="none" w:sz="0" w:space="0" w:color="auto"/>
              </w:divBdr>
              <w:divsChild>
                <w:div w:id="1958951659">
                  <w:marLeft w:val="0"/>
                  <w:marRight w:val="0"/>
                  <w:marTop w:val="0"/>
                  <w:marBottom w:val="0"/>
                  <w:divBdr>
                    <w:top w:val="none" w:sz="0" w:space="0" w:color="auto"/>
                    <w:left w:val="none" w:sz="0" w:space="0" w:color="auto"/>
                    <w:bottom w:val="none" w:sz="0" w:space="0" w:color="auto"/>
                    <w:right w:val="none" w:sz="0" w:space="0" w:color="auto"/>
                  </w:divBdr>
                </w:div>
              </w:divsChild>
            </w:div>
            <w:div w:id="726731317">
              <w:marLeft w:val="0"/>
              <w:marRight w:val="0"/>
              <w:marTop w:val="0"/>
              <w:marBottom w:val="0"/>
              <w:divBdr>
                <w:top w:val="none" w:sz="0" w:space="0" w:color="auto"/>
                <w:left w:val="none" w:sz="0" w:space="0" w:color="auto"/>
                <w:bottom w:val="none" w:sz="0" w:space="0" w:color="auto"/>
                <w:right w:val="none" w:sz="0" w:space="0" w:color="auto"/>
              </w:divBdr>
              <w:divsChild>
                <w:div w:id="1139957464">
                  <w:marLeft w:val="0"/>
                  <w:marRight w:val="0"/>
                  <w:marTop w:val="0"/>
                  <w:marBottom w:val="0"/>
                  <w:divBdr>
                    <w:top w:val="none" w:sz="0" w:space="0" w:color="auto"/>
                    <w:left w:val="none" w:sz="0" w:space="0" w:color="auto"/>
                    <w:bottom w:val="none" w:sz="0" w:space="0" w:color="auto"/>
                    <w:right w:val="none" w:sz="0" w:space="0" w:color="auto"/>
                  </w:divBdr>
                </w:div>
              </w:divsChild>
            </w:div>
            <w:div w:id="1711150654">
              <w:marLeft w:val="0"/>
              <w:marRight w:val="0"/>
              <w:marTop w:val="0"/>
              <w:marBottom w:val="0"/>
              <w:divBdr>
                <w:top w:val="none" w:sz="0" w:space="0" w:color="auto"/>
                <w:left w:val="none" w:sz="0" w:space="0" w:color="auto"/>
                <w:bottom w:val="none" w:sz="0" w:space="0" w:color="auto"/>
                <w:right w:val="none" w:sz="0" w:space="0" w:color="auto"/>
              </w:divBdr>
              <w:divsChild>
                <w:div w:id="676810383">
                  <w:marLeft w:val="0"/>
                  <w:marRight w:val="0"/>
                  <w:marTop w:val="0"/>
                  <w:marBottom w:val="0"/>
                  <w:divBdr>
                    <w:top w:val="none" w:sz="0" w:space="0" w:color="auto"/>
                    <w:left w:val="none" w:sz="0" w:space="0" w:color="auto"/>
                    <w:bottom w:val="none" w:sz="0" w:space="0" w:color="auto"/>
                    <w:right w:val="none" w:sz="0" w:space="0" w:color="auto"/>
                  </w:divBdr>
                </w:div>
              </w:divsChild>
            </w:div>
            <w:div w:id="780026076">
              <w:marLeft w:val="0"/>
              <w:marRight w:val="0"/>
              <w:marTop w:val="0"/>
              <w:marBottom w:val="0"/>
              <w:divBdr>
                <w:top w:val="none" w:sz="0" w:space="0" w:color="auto"/>
                <w:left w:val="none" w:sz="0" w:space="0" w:color="auto"/>
                <w:bottom w:val="none" w:sz="0" w:space="0" w:color="auto"/>
                <w:right w:val="none" w:sz="0" w:space="0" w:color="auto"/>
              </w:divBdr>
              <w:divsChild>
                <w:div w:id="1493839406">
                  <w:marLeft w:val="0"/>
                  <w:marRight w:val="0"/>
                  <w:marTop w:val="0"/>
                  <w:marBottom w:val="0"/>
                  <w:divBdr>
                    <w:top w:val="none" w:sz="0" w:space="0" w:color="auto"/>
                    <w:left w:val="none" w:sz="0" w:space="0" w:color="auto"/>
                    <w:bottom w:val="none" w:sz="0" w:space="0" w:color="auto"/>
                    <w:right w:val="none" w:sz="0" w:space="0" w:color="auto"/>
                  </w:divBdr>
                </w:div>
              </w:divsChild>
            </w:div>
            <w:div w:id="2036535011">
              <w:marLeft w:val="0"/>
              <w:marRight w:val="0"/>
              <w:marTop w:val="0"/>
              <w:marBottom w:val="0"/>
              <w:divBdr>
                <w:top w:val="none" w:sz="0" w:space="0" w:color="auto"/>
                <w:left w:val="none" w:sz="0" w:space="0" w:color="auto"/>
                <w:bottom w:val="none" w:sz="0" w:space="0" w:color="auto"/>
                <w:right w:val="none" w:sz="0" w:space="0" w:color="auto"/>
              </w:divBdr>
              <w:divsChild>
                <w:div w:id="1268924477">
                  <w:marLeft w:val="0"/>
                  <w:marRight w:val="0"/>
                  <w:marTop w:val="0"/>
                  <w:marBottom w:val="0"/>
                  <w:divBdr>
                    <w:top w:val="none" w:sz="0" w:space="0" w:color="auto"/>
                    <w:left w:val="none" w:sz="0" w:space="0" w:color="auto"/>
                    <w:bottom w:val="none" w:sz="0" w:space="0" w:color="auto"/>
                    <w:right w:val="none" w:sz="0" w:space="0" w:color="auto"/>
                  </w:divBdr>
                </w:div>
              </w:divsChild>
            </w:div>
            <w:div w:id="1844472117">
              <w:marLeft w:val="0"/>
              <w:marRight w:val="0"/>
              <w:marTop w:val="0"/>
              <w:marBottom w:val="0"/>
              <w:divBdr>
                <w:top w:val="none" w:sz="0" w:space="0" w:color="auto"/>
                <w:left w:val="none" w:sz="0" w:space="0" w:color="auto"/>
                <w:bottom w:val="none" w:sz="0" w:space="0" w:color="auto"/>
                <w:right w:val="none" w:sz="0" w:space="0" w:color="auto"/>
              </w:divBdr>
              <w:divsChild>
                <w:div w:id="565183271">
                  <w:marLeft w:val="0"/>
                  <w:marRight w:val="0"/>
                  <w:marTop w:val="0"/>
                  <w:marBottom w:val="0"/>
                  <w:divBdr>
                    <w:top w:val="none" w:sz="0" w:space="0" w:color="auto"/>
                    <w:left w:val="none" w:sz="0" w:space="0" w:color="auto"/>
                    <w:bottom w:val="none" w:sz="0" w:space="0" w:color="auto"/>
                    <w:right w:val="none" w:sz="0" w:space="0" w:color="auto"/>
                  </w:divBdr>
                </w:div>
              </w:divsChild>
            </w:div>
            <w:div w:id="82802781">
              <w:marLeft w:val="0"/>
              <w:marRight w:val="0"/>
              <w:marTop w:val="0"/>
              <w:marBottom w:val="0"/>
              <w:divBdr>
                <w:top w:val="none" w:sz="0" w:space="0" w:color="auto"/>
                <w:left w:val="none" w:sz="0" w:space="0" w:color="auto"/>
                <w:bottom w:val="none" w:sz="0" w:space="0" w:color="auto"/>
                <w:right w:val="none" w:sz="0" w:space="0" w:color="auto"/>
              </w:divBdr>
              <w:divsChild>
                <w:div w:id="1329678021">
                  <w:marLeft w:val="0"/>
                  <w:marRight w:val="0"/>
                  <w:marTop w:val="0"/>
                  <w:marBottom w:val="0"/>
                  <w:divBdr>
                    <w:top w:val="none" w:sz="0" w:space="0" w:color="auto"/>
                    <w:left w:val="none" w:sz="0" w:space="0" w:color="auto"/>
                    <w:bottom w:val="none" w:sz="0" w:space="0" w:color="auto"/>
                    <w:right w:val="none" w:sz="0" w:space="0" w:color="auto"/>
                  </w:divBdr>
                </w:div>
              </w:divsChild>
            </w:div>
            <w:div w:id="1634555838">
              <w:marLeft w:val="0"/>
              <w:marRight w:val="0"/>
              <w:marTop w:val="0"/>
              <w:marBottom w:val="0"/>
              <w:divBdr>
                <w:top w:val="none" w:sz="0" w:space="0" w:color="auto"/>
                <w:left w:val="none" w:sz="0" w:space="0" w:color="auto"/>
                <w:bottom w:val="none" w:sz="0" w:space="0" w:color="auto"/>
                <w:right w:val="none" w:sz="0" w:space="0" w:color="auto"/>
              </w:divBdr>
              <w:divsChild>
                <w:div w:id="586693288">
                  <w:marLeft w:val="0"/>
                  <w:marRight w:val="0"/>
                  <w:marTop w:val="0"/>
                  <w:marBottom w:val="0"/>
                  <w:divBdr>
                    <w:top w:val="none" w:sz="0" w:space="0" w:color="auto"/>
                    <w:left w:val="none" w:sz="0" w:space="0" w:color="auto"/>
                    <w:bottom w:val="none" w:sz="0" w:space="0" w:color="auto"/>
                    <w:right w:val="none" w:sz="0" w:space="0" w:color="auto"/>
                  </w:divBdr>
                </w:div>
              </w:divsChild>
            </w:div>
            <w:div w:id="815997831">
              <w:marLeft w:val="0"/>
              <w:marRight w:val="0"/>
              <w:marTop w:val="0"/>
              <w:marBottom w:val="0"/>
              <w:divBdr>
                <w:top w:val="none" w:sz="0" w:space="0" w:color="auto"/>
                <w:left w:val="none" w:sz="0" w:space="0" w:color="auto"/>
                <w:bottom w:val="none" w:sz="0" w:space="0" w:color="auto"/>
                <w:right w:val="none" w:sz="0" w:space="0" w:color="auto"/>
              </w:divBdr>
              <w:divsChild>
                <w:div w:id="1094015017">
                  <w:marLeft w:val="0"/>
                  <w:marRight w:val="0"/>
                  <w:marTop w:val="0"/>
                  <w:marBottom w:val="0"/>
                  <w:divBdr>
                    <w:top w:val="none" w:sz="0" w:space="0" w:color="auto"/>
                    <w:left w:val="none" w:sz="0" w:space="0" w:color="auto"/>
                    <w:bottom w:val="none" w:sz="0" w:space="0" w:color="auto"/>
                    <w:right w:val="none" w:sz="0" w:space="0" w:color="auto"/>
                  </w:divBdr>
                </w:div>
              </w:divsChild>
            </w:div>
            <w:div w:id="1011759225">
              <w:marLeft w:val="0"/>
              <w:marRight w:val="0"/>
              <w:marTop w:val="0"/>
              <w:marBottom w:val="0"/>
              <w:divBdr>
                <w:top w:val="none" w:sz="0" w:space="0" w:color="auto"/>
                <w:left w:val="none" w:sz="0" w:space="0" w:color="auto"/>
                <w:bottom w:val="none" w:sz="0" w:space="0" w:color="auto"/>
                <w:right w:val="none" w:sz="0" w:space="0" w:color="auto"/>
              </w:divBdr>
              <w:divsChild>
                <w:div w:id="944653315">
                  <w:marLeft w:val="0"/>
                  <w:marRight w:val="0"/>
                  <w:marTop w:val="0"/>
                  <w:marBottom w:val="0"/>
                  <w:divBdr>
                    <w:top w:val="none" w:sz="0" w:space="0" w:color="auto"/>
                    <w:left w:val="none" w:sz="0" w:space="0" w:color="auto"/>
                    <w:bottom w:val="none" w:sz="0" w:space="0" w:color="auto"/>
                    <w:right w:val="none" w:sz="0" w:space="0" w:color="auto"/>
                  </w:divBdr>
                </w:div>
              </w:divsChild>
            </w:div>
            <w:div w:id="2129157190">
              <w:marLeft w:val="0"/>
              <w:marRight w:val="0"/>
              <w:marTop w:val="0"/>
              <w:marBottom w:val="0"/>
              <w:divBdr>
                <w:top w:val="none" w:sz="0" w:space="0" w:color="auto"/>
                <w:left w:val="none" w:sz="0" w:space="0" w:color="auto"/>
                <w:bottom w:val="none" w:sz="0" w:space="0" w:color="auto"/>
                <w:right w:val="none" w:sz="0" w:space="0" w:color="auto"/>
              </w:divBdr>
              <w:divsChild>
                <w:div w:id="279266996">
                  <w:marLeft w:val="0"/>
                  <w:marRight w:val="0"/>
                  <w:marTop w:val="0"/>
                  <w:marBottom w:val="0"/>
                  <w:divBdr>
                    <w:top w:val="none" w:sz="0" w:space="0" w:color="auto"/>
                    <w:left w:val="none" w:sz="0" w:space="0" w:color="auto"/>
                    <w:bottom w:val="none" w:sz="0" w:space="0" w:color="auto"/>
                    <w:right w:val="none" w:sz="0" w:space="0" w:color="auto"/>
                  </w:divBdr>
                </w:div>
              </w:divsChild>
            </w:div>
            <w:div w:id="1126773125">
              <w:marLeft w:val="0"/>
              <w:marRight w:val="0"/>
              <w:marTop w:val="0"/>
              <w:marBottom w:val="0"/>
              <w:divBdr>
                <w:top w:val="none" w:sz="0" w:space="0" w:color="auto"/>
                <w:left w:val="none" w:sz="0" w:space="0" w:color="auto"/>
                <w:bottom w:val="none" w:sz="0" w:space="0" w:color="auto"/>
                <w:right w:val="none" w:sz="0" w:space="0" w:color="auto"/>
              </w:divBdr>
              <w:divsChild>
                <w:div w:id="2088574920">
                  <w:marLeft w:val="0"/>
                  <w:marRight w:val="0"/>
                  <w:marTop w:val="0"/>
                  <w:marBottom w:val="0"/>
                  <w:divBdr>
                    <w:top w:val="none" w:sz="0" w:space="0" w:color="auto"/>
                    <w:left w:val="none" w:sz="0" w:space="0" w:color="auto"/>
                    <w:bottom w:val="none" w:sz="0" w:space="0" w:color="auto"/>
                    <w:right w:val="none" w:sz="0" w:space="0" w:color="auto"/>
                  </w:divBdr>
                </w:div>
              </w:divsChild>
            </w:div>
            <w:div w:id="1764570855">
              <w:marLeft w:val="0"/>
              <w:marRight w:val="0"/>
              <w:marTop w:val="0"/>
              <w:marBottom w:val="0"/>
              <w:divBdr>
                <w:top w:val="none" w:sz="0" w:space="0" w:color="auto"/>
                <w:left w:val="none" w:sz="0" w:space="0" w:color="auto"/>
                <w:bottom w:val="none" w:sz="0" w:space="0" w:color="auto"/>
                <w:right w:val="none" w:sz="0" w:space="0" w:color="auto"/>
              </w:divBdr>
              <w:divsChild>
                <w:div w:id="1640643397">
                  <w:marLeft w:val="0"/>
                  <w:marRight w:val="0"/>
                  <w:marTop w:val="0"/>
                  <w:marBottom w:val="0"/>
                  <w:divBdr>
                    <w:top w:val="none" w:sz="0" w:space="0" w:color="auto"/>
                    <w:left w:val="none" w:sz="0" w:space="0" w:color="auto"/>
                    <w:bottom w:val="none" w:sz="0" w:space="0" w:color="auto"/>
                    <w:right w:val="none" w:sz="0" w:space="0" w:color="auto"/>
                  </w:divBdr>
                </w:div>
              </w:divsChild>
            </w:div>
            <w:div w:id="1183279089">
              <w:marLeft w:val="0"/>
              <w:marRight w:val="0"/>
              <w:marTop w:val="0"/>
              <w:marBottom w:val="0"/>
              <w:divBdr>
                <w:top w:val="none" w:sz="0" w:space="0" w:color="auto"/>
                <w:left w:val="none" w:sz="0" w:space="0" w:color="auto"/>
                <w:bottom w:val="none" w:sz="0" w:space="0" w:color="auto"/>
                <w:right w:val="none" w:sz="0" w:space="0" w:color="auto"/>
              </w:divBdr>
              <w:divsChild>
                <w:div w:id="1357585278">
                  <w:marLeft w:val="0"/>
                  <w:marRight w:val="0"/>
                  <w:marTop w:val="0"/>
                  <w:marBottom w:val="0"/>
                  <w:divBdr>
                    <w:top w:val="none" w:sz="0" w:space="0" w:color="auto"/>
                    <w:left w:val="none" w:sz="0" w:space="0" w:color="auto"/>
                    <w:bottom w:val="none" w:sz="0" w:space="0" w:color="auto"/>
                    <w:right w:val="none" w:sz="0" w:space="0" w:color="auto"/>
                  </w:divBdr>
                </w:div>
              </w:divsChild>
            </w:div>
            <w:div w:id="1739093656">
              <w:marLeft w:val="0"/>
              <w:marRight w:val="0"/>
              <w:marTop w:val="0"/>
              <w:marBottom w:val="0"/>
              <w:divBdr>
                <w:top w:val="none" w:sz="0" w:space="0" w:color="auto"/>
                <w:left w:val="none" w:sz="0" w:space="0" w:color="auto"/>
                <w:bottom w:val="none" w:sz="0" w:space="0" w:color="auto"/>
                <w:right w:val="none" w:sz="0" w:space="0" w:color="auto"/>
              </w:divBdr>
              <w:divsChild>
                <w:div w:id="88664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20287">
          <w:marLeft w:val="0"/>
          <w:marRight w:val="0"/>
          <w:marTop w:val="0"/>
          <w:marBottom w:val="600"/>
          <w:divBdr>
            <w:top w:val="none" w:sz="0" w:space="0" w:color="auto"/>
            <w:left w:val="none" w:sz="0" w:space="0" w:color="auto"/>
            <w:bottom w:val="none" w:sz="0" w:space="0" w:color="auto"/>
            <w:right w:val="none" w:sz="0" w:space="0" w:color="auto"/>
          </w:divBdr>
        </w:div>
      </w:divsChild>
    </w:div>
    <w:div w:id="1063483132">
      <w:marLeft w:val="0"/>
      <w:marRight w:val="0"/>
      <w:marTop w:val="0"/>
      <w:marBottom w:val="0"/>
      <w:divBdr>
        <w:top w:val="none" w:sz="0" w:space="0" w:color="auto"/>
        <w:left w:val="none" w:sz="0" w:space="0" w:color="auto"/>
        <w:bottom w:val="none" w:sz="0" w:space="0" w:color="auto"/>
        <w:right w:val="none" w:sz="0" w:space="0" w:color="auto"/>
      </w:divBdr>
      <w:divsChild>
        <w:div w:id="844629418">
          <w:marLeft w:val="0"/>
          <w:marRight w:val="0"/>
          <w:marTop w:val="600"/>
          <w:marBottom w:val="0"/>
          <w:divBdr>
            <w:top w:val="none" w:sz="0" w:space="0" w:color="auto"/>
            <w:left w:val="none" w:sz="0" w:space="0" w:color="auto"/>
            <w:bottom w:val="none" w:sz="0" w:space="0" w:color="auto"/>
            <w:right w:val="none" w:sz="0" w:space="0" w:color="auto"/>
          </w:divBdr>
        </w:div>
        <w:div w:id="2045251609">
          <w:marLeft w:val="0"/>
          <w:marRight w:val="0"/>
          <w:marTop w:val="0"/>
          <w:marBottom w:val="0"/>
          <w:divBdr>
            <w:top w:val="none" w:sz="0" w:space="0" w:color="auto"/>
            <w:left w:val="none" w:sz="0" w:space="0" w:color="auto"/>
            <w:bottom w:val="none" w:sz="0" w:space="0" w:color="auto"/>
            <w:right w:val="none" w:sz="0" w:space="0" w:color="auto"/>
          </w:divBdr>
          <w:divsChild>
            <w:div w:id="1496919573">
              <w:marLeft w:val="547"/>
              <w:marRight w:val="0"/>
              <w:marTop w:val="0"/>
              <w:marBottom w:val="0"/>
              <w:divBdr>
                <w:top w:val="none" w:sz="0" w:space="0" w:color="auto"/>
                <w:left w:val="none" w:sz="0" w:space="0" w:color="auto"/>
                <w:bottom w:val="none" w:sz="0" w:space="0" w:color="auto"/>
                <w:right w:val="none" w:sz="0" w:space="0" w:color="auto"/>
              </w:divBdr>
            </w:div>
            <w:div w:id="2126582052">
              <w:marLeft w:val="547"/>
              <w:marRight w:val="0"/>
              <w:marTop w:val="0"/>
              <w:marBottom w:val="0"/>
              <w:divBdr>
                <w:top w:val="none" w:sz="0" w:space="0" w:color="auto"/>
                <w:left w:val="none" w:sz="0" w:space="0" w:color="auto"/>
                <w:bottom w:val="none" w:sz="0" w:space="0" w:color="auto"/>
                <w:right w:val="none" w:sz="0" w:space="0" w:color="auto"/>
              </w:divBdr>
            </w:div>
            <w:div w:id="385302989">
              <w:marLeft w:val="547"/>
              <w:marRight w:val="0"/>
              <w:marTop w:val="0"/>
              <w:marBottom w:val="0"/>
              <w:divBdr>
                <w:top w:val="none" w:sz="0" w:space="0" w:color="auto"/>
                <w:left w:val="none" w:sz="0" w:space="0" w:color="auto"/>
                <w:bottom w:val="none" w:sz="0" w:space="0" w:color="auto"/>
                <w:right w:val="none" w:sz="0" w:space="0" w:color="auto"/>
              </w:divBdr>
            </w:div>
          </w:divsChild>
        </w:div>
        <w:div w:id="599528281">
          <w:marLeft w:val="0"/>
          <w:marRight w:val="0"/>
          <w:marTop w:val="0"/>
          <w:marBottom w:val="600"/>
          <w:divBdr>
            <w:top w:val="none" w:sz="0" w:space="0" w:color="auto"/>
            <w:left w:val="none" w:sz="0" w:space="0" w:color="auto"/>
            <w:bottom w:val="none" w:sz="0" w:space="0" w:color="auto"/>
            <w:right w:val="none" w:sz="0" w:space="0" w:color="auto"/>
          </w:divBdr>
        </w:div>
      </w:divsChild>
    </w:div>
    <w:div w:id="1079787272">
      <w:marLeft w:val="0"/>
      <w:marRight w:val="0"/>
      <w:marTop w:val="0"/>
      <w:marBottom w:val="0"/>
      <w:divBdr>
        <w:top w:val="none" w:sz="0" w:space="0" w:color="auto"/>
        <w:left w:val="none" w:sz="0" w:space="0" w:color="auto"/>
        <w:bottom w:val="none" w:sz="0" w:space="0" w:color="auto"/>
        <w:right w:val="none" w:sz="0" w:space="0" w:color="auto"/>
      </w:divBdr>
      <w:divsChild>
        <w:div w:id="229658183">
          <w:marLeft w:val="0"/>
          <w:marRight w:val="0"/>
          <w:marTop w:val="600"/>
          <w:marBottom w:val="0"/>
          <w:divBdr>
            <w:top w:val="none" w:sz="0" w:space="0" w:color="auto"/>
            <w:left w:val="none" w:sz="0" w:space="0" w:color="auto"/>
            <w:bottom w:val="none" w:sz="0" w:space="0" w:color="auto"/>
            <w:right w:val="none" w:sz="0" w:space="0" w:color="auto"/>
          </w:divBdr>
        </w:div>
        <w:div w:id="1029600268">
          <w:marLeft w:val="0"/>
          <w:marRight w:val="0"/>
          <w:marTop w:val="0"/>
          <w:marBottom w:val="0"/>
          <w:divBdr>
            <w:top w:val="none" w:sz="0" w:space="0" w:color="auto"/>
            <w:left w:val="none" w:sz="0" w:space="0" w:color="auto"/>
            <w:bottom w:val="none" w:sz="0" w:space="0" w:color="auto"/>
            <w:right w:val="none" w:sz="0" w:space="0" w:color="auto"/>
          </w:divBdr>
          <w:divsChild>
            <w:div w:id="928151811">
              <w:marLeft w:val="0"/>
              <w:marRight w:val="0"/>
              <w:marTop w:val="0"/>
              <w:marBottom w:val="0"/>
              <w:divBdr>
                <w:top w:val="none" w:sz="0" w:space="0" w:color="auto"/>
                <w:left w:val="none" w:sz="0" w:space="0" w:color="auto"/>
                <w:bottom w:val="none" w:sz="0" w:space="0" w:color="auto"/>
                <w:right w:val="none" w:sz="0" w:space="0" w:color="auto"/>
              </w:divBdr>
              <w:divsChild>
                <w:div w:id="685600003">
                  <w:marLeft w:val="0"/>
                  <w:marRight w:val="0"/>
                  <w:marTop w:val="0"/>
                  <w:marBottom w:val="0"/>
                  <w:divBdr>
                    <w:top w:val="none" w:sz="0" w:space="0" w:color="auto"/>
                    <w:left w:val="none" w:sz="0" w:space="0" w:color="auto"/>
                    <w:bottom w:val="none" w:sz="0" w:space="0" w:color="auto"/>
                    <w:right w:val="none" w:sz="0" w:space="0" w:color="auto"/>
                  </w:divBdr>
                </w:div>
              </w:divsChild>
            </w:div>
            <w:div w:id="361592184">
              <w:marLeft w:val="0"/>
              <w:marRight w:val="0"/>
              <w:marTop w:val="0"/>
              <w:marBottom w:val="0"/>
              <w:divBdr>
                <w:top w:val="none" w:sz="0" w:space="0" w:color="auto"/>
                <w:left w:val="none" w:sz="0" w:space="0" w:color="auto"/>
                <w:bottom w:val="none" w:sz="0" w:space="0" w:color="auto"/>
                <w:right w:val="none" w:sz="0" w:space="0" w:color="auto"/>
              </w:divBdr>
              <w:divsChild>
                <w:div w:id="476148564">
                  <w:marLeft w:val="0"/>
                  <w:marRight w:val="0"/>
                  <w:marTop w:val="0"/>
                  <w:marBottom w:val="0"/>
                  <w:divBdr>
                    <w:top w:val="none" w:sz="0" w:space="0" w:color="auto"/>
                    <w:left w:val="none" w:sz="0" w:space="0" w:color="auto"/>
                    <w:bottom w:val="none" w:sz="0" w:space="0" w:color="auto"/>
                    <w:right w:val="none" w:sz="0" w:space="0" w:color="auto"/>
                  </w:divBdr>
                </w:div>
              </w:divsChild>
            </w:div>
            <w:div w:id="1110007967">
              <w:marLeft w:val="0"/>
              <w:marRight w:val="0"/>
              <w:marTop w:val="0"/>
              <w:marBottom w:val="0"/>
              <w:divBdr>
                <w:top w:val="none" w:sz="0" w:space="0" w:color="auto"/>
                <w:left w:val="none" w:sz="0" w:space="0" w:color="auto"/>
                <w:bottom w:val="none" w:sz="0" w:space="0" w:color="auto"/>
                <w:right w:val="none" w:sz="0" w:space="0" w:color="auto"/>
              </w:divBdr>
              <w:divsChild>
                <w:div w:id="888758747">
                  <w:marLeft w:val="0"/>
                  <w:marRight w:val="0"/>
                  <w:marTop w:val="0"/>
                  <w:marBottom w:val="0"/>
                  <w:divBdr>
                    <w:top w:val="none" w:sz="0" w:space="0" w:color="auto"/>
                    <w:left w:val="none" w:sz="0" w:space="0" w:color="auto"/>
                    <w:bottom w:val="none" w:sz="0" w:space="0" w:color="auto"/>
                    <w:right w:val="none" w:sz="0" w:space="0" w:color="auto"/>
                  </w:divBdr>
                </w:div>
              </w:divsChild>
            </w:div>
            <w:div w:id="35735730">
              <w:marLeft w:val="0"/>
              <w:marRight w:val="0"/>
              <w:marTop w:val="0"/>
              <w:marBottom w:val="0"/>
              <w:divBdr>
                <w:top w:val="none" w:sz="0" w:space="0" w:color="auto"/>
                <w:left w:val="none" w:sz="0" w:space="0" w:color="auto"/>
                <w:bottom w:val="none" w:sz="0" w:space="0" w:color="auto"/>
                <w:right w:val="none" w:sz="0" w:space="0" w:color="auto"/>
              </w:divBdr>
              <w:divsChild>
                <w:div w:id="1397632777">
                  <w:marLeft w:val="0"/>
                  <w:marRight w:val="0"/>
                  <w:marTop w:val="0"/>
                  <w:marBottom w:val="0"/>
                  <w:divBdr>
                    <w:top w:val="none" w:sz="0" w:space="0" w:color="auto"/>
                    <w:left w:val="none" w:sz="0" w:space="0" w:color="auto"/>
                    <w:bottom w:val="none" w:sz="0" w:space="0" w:color="auto"/>
                    <w:right w:val="none" w:sz="0" w:space="0" w:color="auto"/>
                  </w:divBdr>
                </w:div>
              </w:divsChild>
            </w:div>
            <w:div w:id="902764166">
              <w:marLeft w:val="0"/>
              <w:marRight w:val="0"/>
              <w:marTop w:val="0"/>
              <w:marBottom w:val="0"/>
              <w:divBdr>
                <w:top w:val="none" w:sz="0" w:space="0" w:color="auto"/>
                <w:left w:val="none" w:sz="0" w:space="0" w:color="auto"/>
                <w:bottom w:val="none" w:sz="0" w:space="0" w:color="auto"/>
                <w:right w:val="none" w:sz="0" w:space="0" w:color="auto"/>
              </w:divBdr>
              <w:divsChild>
                <w:div w:id="1881359396">
                  <w:marLeft w:val="0"/>
                  <w:marRight w:val="0"/>
                  <w:marTop w:val="0"/>
                  <w:marBottom w:val="0"/>
                  <w:divBdr>
                    <w:top w:val="none" w:sz="0" w:space="0" w:color="auto"/>
                    <w:left w:val="none" w:sz="0" w:space="0" w:color="auto"/>
                    <w:bottom w:val="none" w:sz="0" w:space="0" w:color="auto"/>
                    <w:right w:val="none" w:sz="0" w:space="0" w:color="auto"/>
                  </w:divBdr>
                </w:div>
              </w:divsChild>
            </w:div>
            <w:div w:id="1231766827">
              <w:marLeft w:val="0"/>
              <w:marRight w:val="0"/>
              <w:marTop w:val="0"/>
              <w:marBottom w:val="0"/>
              <w:divBdr>
                <w:top w:val="none" w:sz="0" w:space="0" w:color="auto"/>
                <w:left w:val="none" w:sz="0" w:space="0" w:color="auto"/>
                <w:bottom w:val="none" w:sz="0" w:space="0" w:color="auto"/>
                <w:right w:val="none" w:sz="0" w:space="0" w:color="auto"/>
              </w:divBdr>
              <w:divsChild>
                <w:div w:id="791676850">
                  <w:marLeft w:val="0"/>
                  <w:marRight w:val="0"/>
                  <w:marTop w:val="0"/>
                  <w:marBottom w:val="0"/>
                  <w:divBdr>
                    <w:top w:val="none" w:sz="0" w:space="0" w:color="auto"/>
                    <w:left w:val="none" w:sz="0" w:space="0" w:color="auto"/>
                    <w:bottom w:val="none" w:sz="0" w:space="0" w:color="auto"/>
                    <w:right w:val="none" w:sz="0" w:space="0" w:color="auto"/>
                  </w:divBdr>
                </w:div>
              </w:divsChild>
            </w:div>
            <w:div w:id="1757163634">
              <w:marLeft w:val="0"/>
              <w:marRight w:val="0"/>
              <w:marTop w:val="0"/>
              <w:marBottom w:val="0"/>
              <w:divBdr>
                <w:top w:val="none" w:sz="0" w:space="0" w:color="auto"/>
                <w:left w:val="none" w:sz="0" w:space="0" w:color="auto"/>
                <w:bottom w:val="none" w:sz="0" w:space="0" w:color="auto"/>
                <w:right w:val="none" w:sz="0" w:space="0" w:color="auto"/>
              </w:divBdr>
              <w:divsChild>
                <w:div w:id="311758551">
                  <w:marLeft w:val="0"/>
                  <w:marRight w:val="0"/>
                  <w:marTop w:val="0"/>
                  <w:marBottom w:val="0"/>
                  <w:divBdr>
                    <w:top w:val="none" w:sz="0" w:space="0" w:color="auto"/>
                    <w:left w:val="none" w:sz="0" w:space="0" w:color="auto"/>
                    <w:bottom w:val="none" w:sz="0" w:space="0" w:color="auto"/>
                    <w:right w:val="none" w:sz="0" w:space="0" w:color="auto"/>
                  </w:divBdr>
                </w:div>
              </w:divsChild>
            </w:div>
            <w:div w:id="1939948014">
              <w:marLeft w:val="0"/>
              <w:marRight w:val="0"/>
              <w:marTop w:val="0"/>
              <w:marBottom w:val="0"/>
              <w:divBdr>
                <w:top w:val="none" w:sz="0" w:space="0" w:color="auto"/>
                <w:left w:val="none" w:sz="0" w:space="0" w:color="auto"/>
                <w:bottom w:val="none" w:sz="0" w:space="0" w:color="auto"/>
                <w:right w:val="none" w:sz="0" w:space="0" w:color="auto"/>
              </w:divBdr>
              <w:divsChild>
                <w:div w:id="243032194">
                  <w:marLeft w:val="0"/>
                  <w:marRight w:val="0"/>
                  <w:marTop w:val="0"/>
                  <w:marBottom w:val="0"/>
                  <w:divBdr>
                    <w:top w:val="none" w:sz="0" w:space="0" w:color="auto"/>
                    <w:left w:val="none" w:sz="0" w:space="0" w:color="auto"/>
                    <w:bottom w:val="none" w:sz="0" w:space="0" w:color="auto"/>
                    <w:right w:val="none" w:sz="0" w:space="0" w:color="auto"/>
                  </w:divBdr>
                </w:div>
              </w:divsChild>
            </w:div>
            <w:div w:id="720977385">
              <w:marLeft w:val="0"/>
              <w:marRight w:val="0"/>
              <w:marTop w:val="0"/>
              <w:marBottom w:val="0"/>
              <w:divBdr>
                <w:top w:val="none" w:sz="0" w:space="0" w:color="auto"/>
                <w:left w:val="none" w:sz="0" w:space="0" w:color="auto"/>
                <w:bottom w:val="none" w:sz="0" w:space="0" w:color="auto"/>
                <w:right w:val="none" w:sz="0" w:space="0" w:color="auto"/>
              </w:divBdr>
              <w:divsChild>
                <w:div w:id="1965232724">
                  <w:marLeft w:val="0"/>
                  <w:marRight w:val="0"/>
                  <w:marTop w:val="0"/>
                  <w:marBottom w:val="0"/>
                  <w:divBdr>
                    <w:top w:val="none" w:sz="0" w:space="0" w:color="auto"/>
                    <w:left w:val="none" w:sz="0" w:space="0" w:color="auto"/>
                    <w:bottom w:val="none" w:sz="0" w:space="0" w:color="auto"/>
                    <w:right w:val="none" w:sz="0" w:space="0" w:color="auto"/>
                  </w:divBdr>
                </w:div>
              </w:divsChild>
            </w:div>
            <w:div w:id="1670644165">
              <w:marLeft w:val="0"/>
              <w:marRight w:val="0"/>
              <w:marTop w:val="0"/>
              <w:marBottom w:val="0"/>
              <w:divBdr>
                <w:top w:val="none" w:sz="0" w:space="0" w:color="auto"/>
                <w:left w:val="none" w:sz="0" w:space="0" w:color="auto"/>
                <w:bottom w:val="none" w:sz="0" w:space="0" w:color="auto"/>
                <w:right w:val="none" w:sz="0" w:space="0" w:color="auto"/>
              </w:divBdr>
              <w:divsChild>
                <w:div w:id="1042747335">
                  <w:marLeft w:val="0"/>
                  <w:marRight w:val="0"/>
                  <w:marTop w:val="0"/>
                  <w:marBottom w:val="0"/>
                  <w:divBdr>
                    <w:top w:val="none" w:sz="0" w:space="0" w:color="auto"/>
                    <w:left w:val="none" w:sz="0" w:space="0" w:color="auto"/>
                    <w:bottom w:val="none" w:sz="0" w:space="0" w:color="auto"/>
                    <w:right w:val="none" w:sz="0" w:space="0" w:color="auto"/>
                  </w:divBdr>
                </w:div>
              </w:divsChild>
            </w:div>
            <w:div w:id="79327456">
              <w:marLeft w:val="0"/>
              <w:marRight w:val="0"/>
              <w:marTop w:val="0"/>
              <w:marBottom w:val="0"/>
              <w:divBdr>
                <w:top w:val="none" w:sz="0" w:space="0" w:color="auto"/>
                <w:left w:val="none" w:sz="0" w:space="0" w:color="auto"/>
                <w:bottom w:val="none" w:sz="0" w:space="0" w:color="auto"/>
                <w:right w:val="none" w:sz="0" w:space="0" w:color="auto"/>
              </w:divBdr>
              <w:divsChild>
                <w:div w:id="1799492136">
                  <w:marLeft w:val="0"/>
                  <w:marRight w:val="0"/>
                  <w:marTop w:val="0"/>
                  <w:marBottom w:val="0"/>
                  <w:divBdr>
                    <w:top w:val="none" w:sz="0" w:space="0" w:color="auto"/>
                    <w:left w:val="none" w:sz="0" w:space="0" w:color="auto"/>
                    <w:bottom w:val="none" w:sz="0" w:space="0" w:color="auto"/>
                    <w:right w:val="none" w:sz="0" w:space="0" w:color="auto"/>
                  </w:divBdr>
                </w:div>
              </w:divsChild>
            </w:div>
            <w:div w:id="2067944707">
              <w:marLeft w:val="0"/>
              <w:marRight w:val="0"/>
              <w:marTop w:val="0"/>
              <w:marBottom w:val="0"/>
              <w:divBdr>
                <w:top w:val="none" w:sz="0" w:space="0" w:color="auto"/>
                <w:left w:val="none" w:sz="0" w:space="0" w:color="auto"/>
                <w:bottom w:val="none" w:sz="0" w:space="0" w:color="auto"/>
                <w:right w:val="none" w:sz="0" w:space="0" w:color="auto"/>
              </w:divBdr>
              <w:divsChild>
                <w:div w:id="1646157176">
                  <w:marLeft w:val="0"/>
                  <w:marRight w:val="0"/>
                  <w:marTop w:val="0"/>
                  <w:marBottom w:val="0"/>
                  <w:divBdr>
                    <w:top w:val="none" w:sz="0" w:space="0" w:color="auto"/>
                    <w:left w:val="none" w:sz="0" w:space="0" w:color="auto"/>
                    <w:bottom w:val="none" w:sz="0" w:space="0" w:color="auto"/>
                    <w:right w:val="none" w:sz="0" w:space="0" w:color="auto"/>
                  </w:divBdr>
                </w:div>
              </w:divsChild>
            </w:div>
            <w:div w:id="1656566887">
              <w:marLeft w:val="0"/>
              <w:marRight w:val="0"/>
              <w:marTop w:val="0"/>
              <w:marBottom w:val="0"/>
              <w:divBdr>
                <w:top w:val="none" w:sz="0" w:space="0" w:color="auto"/>
                <w:left w:val="none" w:sz="0" w:space="0" w:color="auto"/>
                <w:bottom w:val="none" w:sz="0" w:space="0" w:color="auto"/>
                <w:right w:val="none" w:sz="0" w:space="0" w:color="auto"/>
              </w:divBdr>
              <w:divsChild>
                <w:div w:id="1654144814">
                  <w:marLeft w:val="0"/>
                  <w:marRight w:val="0"/>
                  <w:marTop w:val="0"/>
                  <w:marBottom w:val="0"/>
                  <w:divBdr>
                    <w:top w:val="none" w:sz="0" w:space="0" w:color="auto"/>
                    <w:left w:val="none" w:sz="0" w:space="0" w:color="auto"/>
                    <w:bottom w:val="none" w:sz="0" w:space="0" w:color="auto"/>
                    <w:right w:val="none" w:sz="0" w:space="0" w:color="auto"/>
                  </w:divBdr>
                </w:div>
              </w:divsChild>
            </w:div>
            <w:div w:id="256250651">
              <w:marLeft w:val="0"/>
              <w:marRight w:val="0"/>
              <w:marTop w:val="0"/>
              <w:marBottom w:val="0"/>
              <w:divBdr>
                <w:top w:val="none" w:sz="0" w:space="0" w:color="auto"/>
                <w:left w:val="none" w:sz="0" w:space="0" w:color="auto"/>
                <w:bottom w:val="none" w:sz="0" w:space="0" w:color="auto"/>
                <w:right w:val="none" w:sz="0" w:space="0" w:color="auto"/>
              </w:divBdr>
              <w:divsChild>
                <w:div w:id="1311448570">
                  <w:marLeft w:val="0"/>
                  <w:marRight w:val="0"/>
                  <w:marTop w:val="0"/>
                  <w:marBottom w:val="0"/>
                  <w:divBdr>
                    <w:top w:val="none" w:sz="0" w:space="0" w:color="auto"/>
                    <w:left w:val="none" w:sz="0" w:space="0" w:color="auto"/>
                    <w:bottom w:val="none" w:sz="0" w:space="0" w:color="auto"/>
                    <w:right w:val="none" w:sz="0" w:space="0" w:color="auto"/>
                  </w:divBdr>
                </w:div>
              </w:divsChild>
            </w:div>
            <w:div w:id="1717779136">
              <w:marLeft w:val="0"/>
              <w:marRight w:val="0"/>
              <w:marTop w:val="0"/>
              <w:marBottom w:val="0"/>
              <w:divBdr>
                <w:top w:val="none" w:sz="0" w:space="0" w:color="auto"/>
                <w:left w:val="none" w:sz="0" w:space="0" w:color="auto"/>
                <w:bottom w:val="none" w:sz="0" w:space="0" w:color="auto"/>
                <w:right w:val="none" w:sz="0" w:space="0" w:color="auto"/>
              </w:divBdr>
              <w:divsChild>
                <w:div w:id="232469210">
                  <w:marLeft w:val="0"/>
                  <w:marRight w:val="0"/>
                  <w:marTop w:val="0"/>
                  <w:marBottom w:val="0"/>
                  <w:divBdr>
                    <w:top w:val="none" w:sz="0" w:space="0" w:color="auto"/>
                    <w:left w:val="none" w:sz="0" w:space="0" w:color="auto"/>
                    <w:bottom w:val="none" w:sz="0" w:space="0" w:color="auto"/>
                    <w:right w:val="none" w:sz="0" w:space="0" w:color="auto"/>
                  </w:divBdr>
                </w:div>
              </w:divsChild>
            </w:div>
            <w:div w:id="1542129129">
              <w:marLeft w:val="0"/>
              <w:marRight w:val="0"/>
              <w:marTop w:val="0"/>
              <w:marBottom w:val="0"/>
              <w:divBdr>
                <w:top w:val="none" w:sz="0" w:space="0" w:color="auto"/>
                <w:left w:val="none" w:sz="0" w:space="0" w:color="auto"/>
                <w:bottom w:val="none" w:sz="0" w:space="0" w:color="auto"/>
                <w:right w:val="none" w:sz="0" w:space="0" w:color="auto"/>
              </w:divBdr>
              <w:divsChild>
                <w:div w:id="1982274237">
                  <w:marLeft w:val="0"/>
                  <w:marRight w:val="0"/>
                  <w:marTop w:val="0"/>
                  <w:marBottom w:val="0"/>
                  <w:divBdr>
                    <w:top w:val="none" w:sz="0" w:space="0" w:color="auto"/>
                    <w:left w:val="none" w:sz="0" w:space="0" w:color="auto"/>
                    <w:bottom w:val="none" w:sz="0" w:space="0" w:color="auto"/>
                    <w:right w:val="none" w:sz="0" w:space="0" w:color="auto"/>
                  </w:divBdr>
                </w:div>
              </w:divsChild>
            </w:div>
            <w:div w:id="921136772">
              <w:marLeft w:val="0"/>
              <w:marRight w:val="0"/>
              <w:marTop w:val="0"/>
              <w:marBottom w:val="0"/>
              <w:divBdr>
                <w:top w:val="none" w:sz="0" w:space="0" w:color="auto"/>
                <w:left w:val="none" w:sz="0" w:space="0" w:color="auto"/>
                <w:bottom w:val="none" w:sz="0" w:space="0" w:color="auto"/>
                <w:right w:val="none" w:sz="0" w:space="0" w:color="auto"/>
              </w:divBdr>
              <w:divsChild>
                <w:div w:id="1398281025">
                  <w:marLeft w:val="0"/>
                  <w:marRight w:val="0"/>
                  <w:marTop w:val="0"/>
                  <w:marBottom w:val="0"/>
                  <w:divBdr>
                    <w:top w:val="none" w:sz="0" w:space="0" w:color="auto"/>
                    <w:left w:val="none" w:sz="0" w:space="0" w:color="auto"/>
                    <w:bottom w:val="none" w:sz="0" w:space="0" w:color="auto"/>
                    <w:right w:val="none" w:sz="0" w:space="0" w:color="auto"/>
                  </w:divBdr>
                </w:div>
              </w:divsChild>
            </w:div>
            <w:div w:id="234514638">
              <w:marLeft w:val="0"/>
              <w:marRight w:val="0"/>
              <w:marTop w:val="0"/>
              <w:marBottom w:val="0"/>
              <w:divBdr>
                <w:top w:val="none" w:sz="0" w:space="0" w:color="auto"/>
                <w:left w:val="none" w:sz="0" w:space="0" w:color="auto"/>
                <w:bottom w:val="none" w:sz="0" w:space="0" w:color="auto"/>
                <w:right w:val="none" w:sz="0" w:space="0" w:color="auto"/>
              </w:divBdr>
              <w:divsChild>
                <w:div w:id="1789816647">
                  <w:marLeft w:val="0"/>
                  <w:marRight w:val="0"/>
                  <w:marTop w:val="0"/>
                  <w:marBottom w:val="0"/>
                  <w:divBdr>
                    <w:top w:val="none" w:sz="0" w:space="0" w:color="auto"/>
                    <w:left w:val="none" w:sz="0" w:space="0" w:color="auto"/>
                    <w:bottom w:val="none" w:sz="0" w:space="0" w:color="auto"/>
                    <w:right w:val="none" w:sz="0" w:space="0" w:color="auto"/>
                  </w:divBdr>
                </w:div>
              </w:divsChild>
            </w:div>
            <w:div w:id="1888027615">
              <w:marLeft w:val="0"/>
              <w:marRight w:val="0"/>
              <w:marTop w:val="0"/>
              <w:marBottom w:val="0"/>
              <w:divBdr>
                <w:top w:val="none" w:sz="0" w:space="0" w:color="auto"/>
                <w:left w:val="none" w:sz="0" w:space="0" w:color="auto"/>
                <w:bottom w:val="none" w:sz="0" w:space="0" w:color="auto"/>
                <w:right w:val="none" w:sz="0" w:space="0" w:color="auto"/>
              </w:divBdr>
              <w:divsChild>
                <w:div w:id="1347635134">
                  <w:marLeft w:val="0"/>
                  <w:marRight w:val="0"/>
                  <w:marTop w:val="0"/>
                  <w:marBottom w:val="0"/>
                  <w:divBdr>
                    <w:top w:val="none" w:sz="0" w:space="0" w:color="auto"/>
                    <w:left w:val="none" w:sz="0" w:space="0" w:color="auto"/>
                    <w:bottom w:val="none" w:sz="0" w:space="0" w:color="auto"/>
                    <w:right w:val="none" w:sz="0" w:space="0" w:color="auto"/>
                  </w:divBdr>
                </w:div>
              </w:divsChild>
            </w:div>
            <w:div w:id="1396705983">
              <w:marLeft w:val="0"/>
              <w:marRight w:val="0"/>
              <w:marTop w:val="0"/>
              <w:marBottom w:val="0"/>
              <w:divBdr>
                <w:top w:val="none" w:sz="0" w:space="0" w:color="auto"/>
                <w:left w:val="none" w:sz="0" w:space="0" w:color="auto"/>
                <w:bottom w:val="none" w:sz="0" w:space="0" w:color="auto"/>
                <w:right w:val="none" w:sz="0" w:space="0" w:color="auto"/>
              </w:divBdr>
              <w:divsChild>
                <w:div w:id="2044212844">
                  <w:marLeft w:val="0"/>
                  <w:marRight w:val="0"/>
                  <w:marTop w:val="0"/>
                  <w:marBottom w:val="0"/>
                  <w:divBdr>
                    <w:top w:val="none" w:sz="0" w:space="0" w:color="auto"/>
                    <w:left w:val="none" w:sz="0" w:space="0" w:color="auto"/>
                    <w:bottom w:val="none" w:sz="0" w:space="0" w:color="auto"/>
                    <w:right w:val="none" w:sz="0" w:space="0" w:color="auto"/>
                  </w:divBdr>
                </w:div>
              </w:divsChild>
            </w:div>
            <w:div w:id="518154653">
              <w:marLeft w:val="0"/>
              <w:marRight w:val="0"/>
              <w:marTop w:val="0"/>
              <w:marBottom w:val="0"/>
              <w:divBdr>
                <w:top w:val="none" w:sz="0" w:space="0" w:color="auto"/>
                <w:left w:val="none" w:sz="0" w:space="0" w:color="auto"/>
                <w:bottom w:val="none" w:sz="0" w:space="0" w:color="auto"/>
                <w:right w:val="none" w:sz="0" w:space="0" w:color="auto"/>
              </w:divBdr>
              <w:divsChild>
                <w:div w:id="1469124540">
                  <w:marLeft w:val="0"/>
                  <w:marRight w:val="0"/>
                  <w:marTop w:val="0"/>
                  <w:marBottom w:val="0"/>
                  <w:divBdr>
                    <w:top w:val="none" w:sz="0" w:space="0" w:color="auto"/>
                    <w:left w:val="none" w:sz="0" w:space="0" w:color="auto"/>
                    <w:bottom w:val="none" w:sz="0" w:space="0" w:color="auto"/>
                    <w:right w:val="none" w:sz="0" w:space="0" w:color="auto"/>
                  </w:divBdr>
                </w:div>
              </w:divsChild>
            </w:div>
            <w:div w:id="603270055">
              <w:marLeft w:val="0"/>
              <w:marRight w:val="0"/>
              <w:marTop w:val="0"/>
              <w:marBottom w:val="0"/>
              <w:divBdr>
                <w:top w:val="none" w:sz="0" w:space="0" w:color="auto"/>
                <w:left w:val="none" w:sz="0" w:space="0" w:color="auto"/>
                <w:bottom w:val="none" w:sz="0" w:space="0" w:color="auto"/>
                <w:right w:val="none" w:sz="0" w:space="0" w:color="auto"/>
              </w:divBdr>
              <w:divsChild>
                <w:div w:id="1266770351">
                  <w:marLeft w:val="0"/>
                  <w:marRight w:val="0"/>
                  <w:marTop w:val="0"/>
                  <w:marBottom w:val="0"/>
                  <w:divBdr>
                    <w:top w:val="none" w:sz="0" w:space="0" w:color="auto"/>
                    <w:left w:val="none" w:sz="0" w:space="0" w:color="auto"/>
                    <w:bottom w:val="none" w:sz="0" w:space="0" w:color="auto"/>
                    <w:right w:val="none" w:sz="0" w:space="0" w:color="auto"/>
                  </w:divBdr>
                </w:div>
              </w:divsChild>
            </w:div>
            <w:div w:id="185414149">
              <w:marLeft w:val="0"/>
              <w:marRight w:val="0"/>
              <w:marTop w:val="0"/>
              <w:marBottom w:val="0"/>
              <w:divBdr>
                <w:top w:val="none" w:sz="0" w:space="0" w:color="auto"/>
                <w:left w:val="none" w:sz="0" w:space="0" w:color="auto"/>
                <w:bottom w:val="none" w:sz="0" w:space="0" w:color="auto"/>
                <w:right w:val="none" w:sz="0" w:space="0" w:color="auto"/>
              </w:divBdr>
              <w:divsChild>
                <w:div w:id="1060176533">
                  <w:marLeft w:val="0"/>
                  <w:marRight w:val="0"/>
                  <w:marTop w:val="0"/>
                  <w:marBottom w:val="0"/>
                  <w:divBdr>
                    <w:top w:val="none" w:sz="0" w:space="0" w:color="auto"/>
                    <w:left w:val="none" w:sz="0" w:space="0" w:color="auto"/>
                    <w:bottom w:val="none" w:sz="0" w:space="0" w:color="auto"/>
                    <w:right w:val="none" w:sz="0" w:space="0" w:color="auto"/>
                  </w:divBdr>
                </w:div>
              </w:divsChild>
            </w:div>
            <w:div w:id="1592818433">
              <w:marLeft w:val="0"/>
              <w:marRight w:val="0"/>
              <w:marTop w:val="0"/>
              <w:marBottom w:val="0"/>
              <w:divBdr>
                <w:top w:val="none" w:sz="0" w:space="0" w:color="auto"/>
                <w:left w:val="none" w:sz="0" w:space="0" w:color="auto"/>
                <w:bottom w:val="none" w:sz="0" w:space="0" w:color="auto"/>
                <w:right w:val="none" w:sz="0" w:space="0" w:color="auto"/>
              </w:divBdr>
              <w:divsChild>
                <w:div w:id="106776573">
                  <w:marLeft w:val="0"/>
                  <w:marRight w:val="0"/>
                  <w:marTop w:val="0"/>
                  <w:marBottom w:val="0"/>
                  <w:divBdr>
                    <w:top w:val="none" w:sz="0" w:space="0" w:color="auto"/>
                    <w:left w:val="none" w:sz="0" w:space="0" w:color="auto"/>
                    <w:bottom w:val="none" w:sz="0" w:space="0" w:color="auto"/>
                    <w:right w:val="none" w:sz="0" w:space="0" w:color="auto"/>
                  </w:divBdr>
                </w:div>
              </w:divsChild>
            </w:div>
            <w:div w:id="1476920157">
              <w:marLeft w:val="0"/>
              <w:marRight w:val="0"/>
              <w:marTop w:val="0"/>
              <w:marBottom w:val="0"/>
              <w:divBdr>
                <w:top w:val="none" w:sz="0" w:space="0" w:color="auto"/>
                <w:left w:val="none" w:sz="0" w:space="0" w:color="auto"/>
                <w:bottom w:val="none" w:sz="0" w:space="0" w:color="auto"/>
                <w:right w:val="none" w:sz="0" w:space="0" w:color="auto"/>
              </w:divBdr>
              <w:divsChild>
                <w:div w:id="353462749">
                  <w:marLeft w:val="0"/>
                  <w:marRight w:val="0"/>
                  <w:marTop w:val="0"/>
                  <w:marBottom w:val="0"/>
                  <w:divBdr>
                    <w:top w:val="none" w:sz="0" w:space="0" w:color="auto"/>
                    <w:left w:val="none" w:sz="0" w:space="0" w:color="auto"/>
                    <w:bottom w:val="none" w:sz="0" w:space="0" w:color="auto"/>
                    <w:right w:val="none" w:sz="0" w:space="0" w:color="auto"/>
                  </w:divBdr>
                </w:div>
              </w:divsChild>
            </w:div>
            <w:div w:id="99381054">
              <w:marLeft w:val="0"/>
              <w:marRight w:val="0"/>
              <w:marTop w:val="0"/>
              <w:marBottom w:val="0"/>
              <w:divBdr>
                <w:top w:val="none" w:sz="0" w:space="0" w:color="auto"/>
                <w:left w:val="none" w:sz="0" w:space="0" w:color="auto"/>
                <w:bottom w:val="none" w:sz="0" w:space="0" w:color="auto"/>
                <w:right w:val="none" w:sz="0" w:space="0" w:color="auto"/>
              </w:divBdr>
              <w:divsChild>
                <w:div w:id="23405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94005">
          <w:marLeft w:val="0"/>
          <w:marRight w:val="0"/>
          <w:marTop w:val="0"/>
          <w:marBottom w:val="600"/>
          <w:divBdr>
            <w:top w:val="none" w:sz="0" w:space="0" w:color="auto"/>
            <w:left w:val="none" w:sz="0" w:space="0" w:color="auto"/>
            <w:bottom w:val="none" w:sz="0" w:space="0" w:color="auto"/>
            <w:right w:val="none" w:sz="0" w:space="0" w:color="auto"/>
          </w:divBdr>
        </w:div>
      </w:divsChild>
    </w:div>
    <w:div w:id="1081946784">
      <w:marLeft w:val="0"/>
      <w:marRight w:val="0"/>
      <w:marTop w:val="0"/>
      <w:marBottom w:val="0"/>
      <w:divBdr>
        <w:top w:val="none" w:sz="0" w:space="0" w:color="auto"/>
        <w:left w:val="none" w:sz="0" w:space="0" w:color="auto"/>
        <w:bottom w:val="none" w:sz="0" w:space="0" w:color="auto"/>
        <w:right w:val="none" w:sz="0" w:space="0" w:color="auto"/>
      </w:divBdr>
      <w:divsChild>
        <w:div w:id="1404982993">
          <w:marLeft w:val="0"/>
          <w:marRight w:val="0"/>
          <w:marTop w:val="600"/>
          <w:marBottom w:val="0"/>
          <w:divBdr>
            <w:top w:val="none" w:sz="0" w:space="0" w:color="auto"/>
            <w:left w:val="none" w:sz="0" w:space="0" w:color="auto"/>
            <w:bottom w:val="none" w:sz="0" w:space="0" w:color="auto"/>
            <w:right w:val="none" w:sz="0" w:space="0" w:color="auto"/>
          </w:divBdr>
        </w:div>
        <w:div w:id="462308454">
          <w:marLeft w:val="0"/>
          <w:marRight w:val="0"/>
          <w:marTop w:val="0"/>
          <w:marBottom w:val="0"/>
          <w:divBdr>
            <w:top w:val="none" w:sz="0" w:space="0" w:color="auto"/>
            <w:left w:val="none" w:sz="0" w:space="0" w:color="auto"/>
            <w:bottom w:val="none" w:sz="0" w:space="0" w:color="auto"/>
            <w:right w:val="none" w:sz="0" w:space="0" w:color="auto"/>
          </w:divBdr>
          <w:divsChild>
            <w:div w:id="1443644514">
              <w:marLeft w:val="0"/>
              <w:marRight w:val="0"/>
              <w:marTop w:val="0"/>
              <w:marBottom w:val="0"/>
              <w:divBdr>
                <w:top w:val="none" w:sz="0" w:space="0" w:color="auto"/>
                <w:left w:val="none" w:sz="0" w:space="0" w:color="auto"/>
                <w:bottom w:val="none" w:sz="0" w:space="0" w:color="auto"/>
                <w:right w:val="none" w:sz="0" w:space="0" w:color="auto"/>
              </w:divBdr>
              <w:divsChild>
                <w:div w:id="692345057">
                  <w:marLeft w:val="0"/>
                  <w:marRight w:val="0"/>
                  <w:marTop w:val="0"/>
                  <w:marBottom w:val="0"/>
                  <w:divBdr>
                    <w:top w:val="none" w:sz="0" w:space="0" w:color="auto"/>
                    <w:left w:val="none" w:sz="0" w:space="0" w:color="auto"/>
                    <w:bottom w:val="none" w:sz="0" w:space="0" w:color="auto"/>
                    <w:right w:val="none" w:sz="0" w:space="0" w:color="auto"/>
                  </w:divBdr>
                </w:div>
              </w:divsChild>
            </w:div>
            <w:div w:id="190534333">
              <w:marLeft w:val="0"/>
              <w:marRight w:val="0"/>
              <w:marTop w:val="0"/>
              <w:marBottom w:val="0"/>
              <w:divBdr>
                <w:top w:val="none" w:sz="0" w:space="0" w:color="auto"/>
                <w:left w:val="none" w:sz="0" w:space="0" w:color="auto"/>
                <w:bottom w:val="none" w:sz="0" w:space="0" w:color="auto"/>
                <w:right w:val="none" w:sz="0" w:space="0" w:color="auto"/>
              </w:divBdr>
              <w:divsChild>
                <w:div w:id="74479318">
                  <w:marLeft w:val="0"/>
                  <w:marRight w:val="0"/>
                  <w:marTop w:val="0"/>
                  <w:marBottom w:val="0"/>
                  <w:divBdr>
                    <w:top w:val="none" w:sz="0" w:space="0" w:color="auto"/>
                    <w:left w:val="none" w:sz="0" w:space="0" w:color="auto"/>
                    <w:bottom w:val="none" w:sz="0" w:space="0" w:color="auto"/>
                    <w:right w:val="none" w:sz="0" w:space="0" w:color="auto"/>
                  </w:divBdr>
                </w:div>
              </w:divsChild>
            </w:div>
            <w:div w:id="1817333636">
              <w:marLeft w:val="0"/>
              <w:marRight w:val="0"/>
              <w:marTop w:val="0"/>
              <w:marBottom w:val="0"/>
              <w:divBdr>
                <w:top w:val="none" w:sz="0" w:space="0" w:color="auto"/>
                <w:left w:val="none" w:sz="0" w:space="0" w:color="auto"/>
                <w:bottom w:val="none" w:sz="0" w:space="0" w:color="auto"/>
                <w:right w:val="none" w:sz="0" w:space="0" w:color="auto"/>
              </w:divBdr>
              <w:divsChild>
                <w:div w:id="836001434">
                  <w:marLeft w:val="0"/>
                  <w:marRight w:val="0"/>
                  <w:marTop w:val="0"/>
                  <w:marBottom w:val="0"/>
                  <w:divBdr>
                    <w:top w:val="none" w:sz="0" w:space="0" w:color="auto"/>
                    <w:left w:val="none" w:sz="0" w:space="0" w:color="auto"/>
                    <w:bottom w:val="none" w:sz="0" w:space="0" w:color="auto"/>
                    <w:right w:val="none" w:sz="0" w:space="0" w:color="auto"/>
                  </w:divBdr>
                </w:div>
              </w:divsChild>
            </w:div>
            <w:div w:id="662972233">
              <w:marLeft w:val="0"/>
              <w:marRight w:val="0"/>
              <w:marTop w:val="0"/>
              <w:marBottom w:val="0"/>
              <w:divBdr>
                <w:top w:val="none" w:sz="0" w:space="0" w:color="auto"/>
                <w:left w:val="none" w:sz="0" w:space="0" w:color="auto"/>
                <w:bottom w:val="none" w:sz="0" w:space="0" w:color="auto"/>
                <w:right w:val="none" w:sz="0" w:space="0" w:color="auto"/>
              </w:divBdr>
              <w:divsChild>
                <w:div w:id="510610498">
                  <w:marLeft w:val="0"/>
                  <w:marRight w:val="0"/>
                  <w:marTop w:val="0"/>
                  <w:marBottom w:val="0"/>
                  <w:divBdr>
                    <w:top w:val="none" w:sz="0" w:space="0" w:color="auto"/>
                    <w:left w:val="none" w:sz="0" w:space="0" w:color="auto"/>
                    <w:bottom w:val="none" w:sz="0" w:space="0" w:color="auto"/>
                    <w:right w:val="none" w:sz="0" w:space="0" w:color="auto"/>
                  </w:divBdr>
                </w:div>
              </w:divsChild>
            </w:div>
            <w:div w:id="1770275177">
              <w:marLeft w:val="0"/>
              <w:marRight w:val="0"/>
              <w:marTop w:val="0"/>
              <w:marBottom w:val="0"/>
              <w:divBdr>
                <w:top w:val="none" w:sz="0" w:space="0" w:color="auto"/>
                <w:left w:val="none" w:sz="0" w:space="0" w:color="auto"/>
                <w:bottom w:val="none" w:sz="0" w:space="0" w:color="auto"/>
                <w:right w:val="none" w:sz="0" w:space="0" w:color="auto"/>
              </w:divBdr>
              <w:divsChild>
                <w:div w:id="573468022">
                  <w:marLeft w:val="0"/>
                  <w:marRight w:val="0"/>
                  <w:marTop w:val="0"/>
                  <w:marBottom w:val="0"/>
                  <w:divBdr>
                    <w:top w:val="none" w:sz="0" w:space="0" w:color="auto"/>
                    <w:left w:val="none" w:sz="0" w:space="0" w:color="auto"/>
                    <w:bottom w:val="none" w:sz="0" w:space="0" w:color="auto"/>
                    <w:right w:val="none" w:sz="0" w:space="0" w:color="auto"/>
                  </w:divBdr>
                </w:div>
              </w:divsChild>
            </w:div>
            <w:div w:id="574318121">
              <w:marLeft w:val="0"/>
              <w:marRight w:val="0"/>
              <w:marTop w:val="0"/>
              <w:marBottom w:val="0"/>
              <w:divBdr>
                <w:top w:val="none" w:sz="0" w:space="0" w:color="auto"/>
                <w:left w:val="none" w:sz="0" w:space="0" w:color="auto"/>
                <w:bottom w:val="none" w:sz="0" w:space="0" w:color="auto"/>
                <w:right w:val="none" w:sz="0" w:space="0" w:color="auto"/>
              </w:divBdr>
              <w:divsChild>
                <w:div w:id="10617240">
                  <w:marLeft w:val="0"/>
                  <w:marRight w:val="0"/>
                  <w:marTop w:val="0"/>
                  <w:marBottom w:val="0"/>
                  <w:divBdr>
                    <w:top w:val="none" w:sz="0" w:space="0" w:color="auto"/>
                    <w:left w:val="none" w:sz="0" w:space="0" w:color="auto"/>
                    <w:bottom w:val="none" w:sz="0" w:space="0" w:color="auto"/>
                    <w:right w:val="none" w:sz="0" w:space="0" w:color="auto"/>
                  </w:divBdr>
                </w:div>
              </w:divsChild>
            </w:div>
            <w:div w:id="414396717">
              <w:marLeft w:val="0"/>
              <w:marRight w:val="0"/>
              <w:marTop w:val="0"/>
              <w:marBottom w:val="0"/>
              <w:divBdr>
                <w:top w:val="none" w:sz="0" w:space="0" w:color="auto"/>
                <w:left w:val="none" w:sz="0" w:space="0" w:color="auto"/>
                <w:bottom w:val="none" w:sz="0" w:space="0" w:color="auto"/>
                <w:right w:val="none" w:sz="0" w:space="0" w:color="auto"/>
              </w:divBdr>
              <w:divsChild>
                <w:div w:id="1260530621">
                  <w:marLeft w:val="0"/>
                  <w:marRight w:val="0"/>
                  <w:marTop w:val="0"/>
                  <w:marBottom w:val="0"/>
                  <w:divBdr>
                    <w:top w:val="none" w:sz="0" w:space="0" w:color="auto"/>
                    <w:left w:val="none" w:sz="0" w:space="0" w:color="auto"/>
                    <w:bottom w:val="none" w:sz="0" w:space="0" w:color="auto"/>
                    <w:right w:val="none" w:sz="0" w:space="0" w:color="auto"/>
                  </w:divBdr>
                </w:div>
              </w:divsChild>
            </w:div>
            <w:div w:id="1402095298">
              <w:marLeft w:val="0"/>
              <w:marRight w:val="0"/>
              <w:marTop w:val="0"/>
              <w:marBottom w:val="0"/>
              <w:divBdr>
                <w:top w:val="none" w:sz="0" w:space="0" w:color="auto"/>
                <w:left w:val="none" w:sz="0" w:space="0" w:color="auto"/>
                <w:bottom w:val="none" w:sz="0" w:space="0" w:color="auto"/>
                <w:right w:val="none" w:sz="0" w:space="0" w:color="auto"/>
              </w:divBdr>
              <w:divsChild>
                <w:div w:id="344290131">
                  <w:marLeft w:val="0"/>
                  <w:marRight w:val="0"/>
                  <w:marTop w:val="0"/>
                  <w:marBottom w:val="0"/>
                  <w:divBdr>
                    <w:top w:val="none" w:sz="0" w:space="0" w:color="auto"/>
                    <w:left w:val="none" w:sz="0" w:space="0" w:color="auto"/>
                    <w:bottom w:val="none" w:sz="0" w:space="0" w:color="auto"/>
                    <w:right w:val="none" w:sz="0" w:space="0" w:color="auto"/>
                  </w:divBdr>
                </w:div>
              </w:divsChild>
            </w:div>
            <w:div w:id="1977099742">
              <w:marLeft w:val="0"/>
              <w:marRight w:val="0"/>
              <w:marTop w:val="0"/>
              <w:marBottom w:val="0"/>
              <w:divBdr>
                <w:top w:val="none" w:sz="0" w:space="0" w:color="auto"/>
                <w:left w:val="none" w:sz="0" w:space="0" w:color="auto"/>
                <w:bottom w:val="none" w:sz="0" w:space="0" w:color="auto"/>
                <w:right w:val="none" w:sz="0" w:space="0" w:color="auto"/>
              </w:divBdr>
              <w:divsChild>
                <w:div w:id="403986988">
                  <w:marLeft w:val="0"/>
                  <w:marRight w:val="0"/>
                  <w:marTop w:val="0"/>
                  <w:marBottom w:val="0"/>
                  <w:divBdr>
                    <w:top w:val="none" w:sz="0" w:space="0" w:color="auto"/>
                    <w:left w:val="none" w:sz="0" w:space="0" w:color="auto"/>
                    <w:bottom w:val="none" w:sz="0" w:space="0" w:color="auto"/>
                    <w:right w:val="none" w:sz="0" w:space="0" w:color="auto"/>
                  </w:divBdr>
                </w:div>
              </w:divsChild>
            </w:div>
            <w:div w:id="1767726273">
              <w:marLeft w:val="0"/>
              <w:marRight w:val="0"/>
              <w:marTop w:val="0"/>
              <w:marBottom w:val="0"/>
              <w:divBdr>
                <w:top w:val="none" w:sz="0" w:space="0" w:color="auto"/>
                <w:left w:val="none" w:sz="0" w:space="0" w:color="auto"/>
                <w:bottom w:val="none" w:sz="0" w:space="0" w:color="auto"/>
                <w:right w:val="none" w:sz="0" w:space="0" w:color="auto"/>
              </w:divBdr>
              <w:divsChild>
                <w:div w:id="1083452919">
                  <w:marLeft w:val="0"/>
                  <w:marRight w:val="0"/>
                  <w:marTop w:val="0"/>
                  <w:marBottom w:val="0"/>
                  <w:divBdr>
                    <w:top w:val="none" w:sz="0" w:space="0" w:color="auto"/>
                    <w:left w:val="none" w:sz="0" w:space="0" w:color="auto"/>
                    <w:bottom w:val="none" w:sz="0" w:space="0" w:color="auto"/>
                    <w:right w:val="none" w:sz="0" w:space="0" w:color="auto"/>
                  </w:divBdr>
                </w:div>
              </w:divsChild>
            </w:div>
            <w:div w:id="520169227">
              <w:marLeft w:val="0"/>
              <w:marRight w:val="0"/>
              <w:marTop w:val="0"/>
              <w:marBottom w:val="0"/>
              <w:divBdr>
                <w:top w:val="none" w:sz="0" w:space="0" w:color="auto"/>
                <w:left w:val="none" w:sz="0" w:space="0" w:color="auto"/>
                <w:bottom w:val="none" w:sz="0" w:space="0" w:color="auto"/>
                <w:right w:val="none" w:sz="0" w:space="0" w:color="auto"/>
              </w:divBdr>
              <w:divsChild>
                <w:div w:id="100417471">
                  <w:marLeft w:val="0"/>
                  <w:marRight w:val="0"/>
                  <w:marTop w:val="0"/>
                  <w:marBottom w:val="0"/>
                  <w:divBdr>
                    <w:top w:val="none" w:sz="0" w:space="0" w:color="auto"/>
                    <w:left w:val="none" w:sz="0" w:space="0" w:color="auto"/>
                    <w:bottom w:val="none" w:sz="0" w:space="0" w:color="auto"/>
                    <w:right w:val="none" w:sz="0" w:space="0" w:color="auto"/>
                  </w:divBdr>
                </w:div>
              </w:divsChild>
            </w:div>
            <w:div w:id="689530128">
              <w:marLeft w:val="0"/>
              <w:marRight w:val="0"/>
              <w:marTop w:val="0"/>
              <w:marBottom w:val="0"/>
              <w:divBdr>
                <w:top w:val="none" w:sz="0" w:space="0" w:color="auto"/>
                <w:left w:val="none" w:sz="0" w:space="0" w:color="auto"/>
                <w:bottom w:val="none" w:sz="0" w:space="0" w:color="auto"/>
                <w:right w:val="none" w:sz="0" w:space="0" w:color="auto"/>
              </w:divBdr>
              <w:divsChild>
                <w:div w:id="1607232811">
                  <w:marLeft w:val="0"/>
                  <w:marRight w:val="0"/>
                  <w:marTop w:val="0"/>
                  <w:marBottom w:val="0"/>
                  <w:divBdr>
                    <w:top w:val="none" w:sz="0" w:space="0" w:color="auto"/>
                    <w:left w:val="none" w:sz="0" w:space="0" w:color="auto"/>
                    <w:bottom w:val="none" w:sz="0" w:space="0" w:color="auto"/>
                    <w:right w:val="none" w:sz="0" w:space="0" w:color="auto"/>
                  </w:divBdr>
                </w:div>
              </w:divsChild>
            </w:div>
            <w:div w:id="1901090993">
              <w:marLeft w:val="0"/>
              <w:marRight w:val="0"/>
              <w:marTop w:val="0"/>
              <w:marBottom w:val="0"/>
              <w:divBdr>
                <w:top w:val="none" w:sz="0" w:space="0" w:color="auto"/>
                <w:left w:val="none" w:sz="0" w:space="0" w:color="auto"/>
                <w:bottom w:val="none" w:sz="0" w:space="0" w:color="auto"/>
                <w:right w:val="none" w:sz="0" w:space="0" w:color="auto"/>
              </w:divBdr>
              <w:divsChild>
                <w:div w:id="1131751149">
                  <w:marLeft w:val="0"/>
                  <w:marRight w:val="0"/>
                  <w:marTop w:val="0"/>
                  <w:marBottom w:val="0"/>
                  <w:divBdr>
                    <w:top w:val="none" w:sz="0" w:space="0" w:color="auto"/>
                    <w:left w:val="none" w:sz="0" w:space="0" w:color="auto"/>
                    <w:bottom w:val="none" w:sz="0" w:space="0" w:color="auto"/>
                    <w:right w:val="none" w:sz="0" w:space="0" w:color="auto"/>
                  </w:divBdr>
                </w:div>
              </w:divsChild>
            </w:div>
            <w:div w:id="177545249">
              <w:marLeft w:val="0"/>
              <w:marRight w:val="0"/>
              <w:marTop w:val="0"/>
              <w:marBottom w:val="0"/>
              <w:divBdr>
                <w:top w:val="none" w:sz="0" w:space="0" w:color="auto"/>
                <w:left w:val="none" w:sz="0" w:space="0" w:color="auto"/>
                <w:bottom w:val="none" w:sz="0" w:space="0" w:color="auto"/>
                <w:right w:val="none" w:sz="0" w:space="0" w:color="auto"/>
              </w:divBdr>
              <w:divsChild>
                <w:div w:id="751124725">
                  <w:marLeft w:val="0"/>
                  <w:marRight w:val="0"/>
                  <w:marTop w:val="0"/>
                  <w:marBottom w:val="0"/>
                  <w:divBdr>
                    <w:top w:val="none" w:sz="0" w:space="0" w:color="auto"/>
                    <w:left w:val="none" w:sz="0" w:space="0" w:color="auto"/>
                    <w:bottom w:val="none" w:sz="0" w:space="0" w:color="auto"/>
                    <w:right w:val="none" w:sz="0" w:space="0" w:color="auto"/>
                  </w:divBdr>
                </w:div>
              </w:divsChild>
            </w:div>
            <w:div w:id="390663090">
              <w:marLeft w:val="0"/>
              <w:marRight w:val="0"/>
              <w:marTop w:val="0"/>
              <w:marBottom w:val="0"/>
              <w:divBdr>
                <w:top w:val="none" w:sz="0" w:space="0" w:color="auto"/>
                <w:left w:val="none" w:sz="0" w:space="0" w:color="auto"/>
                <w:bottom w:val="none" w:sz="0" w:space="0" w:color="auto"/>
                <w:right w:val="none" w:sz="0" w:space="0" w:color="auto"/>
              </w:divBdr>
              <w:divsChild>
                <w:div w:id="285430457">
                  <w:marLeft w:val="0"/>
                  <w:marRight w:val="0"/>
                  <w:marTop w:val="0"/>
                  <w:marBottom w:val="0"/>
                  <w:divBdr>
                    <w:top w:val="none" w:sz="0" w:space="0" w:color="auto"/>
                    <w:left w:val="none" w:sz="0" w:space="0" w:color="auto"/>
                    <w:bottom w:val="none" w:sz="0" w:space="0" w:color="auto"/>
                    <w:right w:val="none" w:sz="0" w:space="0" w:color="auto"/>
                  </w:divBdr>
                </w:div>
              </w:divsChild>
            </w:div>
            <w:div w:id="937828843">
              <w:marLeft w:val="0"/>
              <w:marRight w:val="0"/>
              <w:marTop w:val="0"/>
              <w:marBottom w:val="0"/>
              <w:divBdr>
                <w:top w:val="none" w:sz="0" w:space="0" w:color="auto"/>
                <w:left w:val="none" w:sz="0" w:space="0" w:color="auto"/>
                <w:bottom w:val="none" w:sz="0" w:space="0" w:color="auto"/>
                <w:right w:val="none" w:sz="0" w:space="0" w:color="auto"/>
              </w:divBdr>
              <w:divsChild>
                <w:div w:id="1086146186">
                  <w:marLeft w:val="0"/>
                  <w:marRight w:val="0"/>
                  <w:marTop w:val="0"/>
                  <w:marBottom w:val="0"/>
                  <w:divBdr>
                    <w:top w:val="none" w:sz="0" w:space="0" w:color="auto"/>
                    <w:left w:val="none" w:sz="0" w:space="0" w:color="auto"/>
                    <w:bottom w:val="none" w:sz="0" w:space="0" w:color="auto"/>
                    <w:right w:val="none" w:sz="0" w:space="0" w:color="auto"/>
                  </w:divBdr>
                </w:div>
              </w:divsChild>
            </w:div>
            <w:div w:id="1350058283">
              <w:marLeft w:val="0"/>
              <w:marRight w:val="0"/>
              <w:marTop w:val="0"/>
              <w:marBottom w:val="0"/>
              <w:divBdr>
                <w:top w:val="none" w:sz="0" w:space="0" w:color="auto"/>
                <w:left w:val="none" w:sz="0" w:space="0" w:color="auto"/>
                <w:bottom w:val="none" w:sz="0" w:space="0" w:color="auto"/>
                <w:right w:val="none" w:sz="0" w:space="0" w:color="auto"/>
              </w:divBdr>
              <w:divsChild>
                <w:div w:id="1659311324">
                  <w:marLeft w:val="0"/>
                  <w:marRight w:val="0"/>
                  <w:marTop w:val="0"/>
                  <w:marBottom w:val="0"/>
                  <w:divBdr>
                    <w:top w:val="none" w:sz="0" w:space="0" w:color="auto"/>
                    <w:left w:val="none" w:sz="0" w:space="0" w:color="auto"/>
                    <w:bottom w:val="none" w:sz="0" w:space="0" w:color="auto"/>
                    <w:right w:val="none" w:sz="0" w:space="0" w:color="auto"/>
                  </w:divBdr>
                </w:div>
              </w:divsChild>
            </w:div>
            <w:div w:id="495652096">
              <w:marLeft w:val="0"/>
              <w:marRight w:val="0"/>
              <w:marTop w:val="0"/>
              <w:marBottom w:val="0"/>
              <w:divBdr>
                <w:top w:val="none" w:sz="0" w:space="0" w:color="auto"/>
                <w:left w:val="none" w:sz="0" w:space="0" w:color="auto"/>
                <w:bottom w:val="none" w:sz="0" w:space="0" w:color="auto"/>
                <w:right w:val="none" w:sz="0" w:space="0" w:color="auto"/>
              </w:divBdr>
              <w:divsChild>
                <w:div w:id="828912341">
                  <w:marLeft w:val="0"/>
                  <w:marRight w:val="0"/>
                  <w:marTop w:val="0"/>
                  <w:marBottom w:val="0"/>
                  <w:divBdr>
                    <w:top w:val="none" w:sz="0" w:space="0" w:color="auto"/>
                    <w:left w:val="none" w:sz="0" w:space="0" w:color="auto"/>
                    <w:bottom w:val="none" w:sz="0" w:space="0" w:color="auto"/>
                    <w:right w:val="none" w:sz="0" w:space="0" w:color="auto"/>
                  </w:divBdr>
                </w:div>
              </w:divsChild>
            </w:div>
            <w:div w:id="24060608">
              <w:marLeft w:val="0"/>
              <w:marRight w:val="0"/>
              <w:marTop w:val="0"/>
              <w:marBottom w:val="0"/>
              <w:divBdr>
                <w:top w:val="none" w:sz="0" w:space="0" w:color="auto"/>
                <w:left w:val="none" w:sz="0" w:space="0" w:color="auto"/>
                <w:bottom w:val="none" w:sz="0" w:space="0" w:color="auto"/>
                <w:right w:val="none" w:sz="0" w:space="0" w:color="auto"/>
              </w:divBdr>
              <w:divsChild>
                <w:div w:id="1011175720">
                  <w:marLeft w:val="0"/>
                  <w:marRight w:val="0"/>
                  <w:marTop w:val="0"/>
                  <w:marBottom w:val="0"/>
                  <w:divBdr>
                    <w:top w:val="none" w:sz="0" w:space="0" w:color="auto"/>
                    <w:left w:val="none" w:sz="0" w:space="0" w:color="auto"/>
                    <w:bottom w:val="none" w:sz="0" w:space="0" w:color="auto"/>
                    <w:right w:val="none" w:sz="0" w:space="0" w:color="auto"/>
                  </w:divBdr>
                </w:div>
              </w:divsChild>
            </w:div>
            <w:div w:id="560166918">
              <w:marLeft w:val="0"/>
              <w:marRight w:val="0"/>
              <w:marTop w:val="0"/>
              <w:marBottom w:val="0"/>
              <w:divBdr>
                <w:top w:val="none" w:sz="0" w:space="0" w:color="auto"/>
                <w:left w:val="none" w:sz="0" w:space="0" w:color="auto"/>
                <w:bottom w:val="none" w:sz="0" w:space="0" w:color="auto"/>
                <w:right w:val="none" w:sz="0" w:space="0" w:color="auto"/>
              </w:divBdr>
              <w:divsChild>
                <w:div w:id="1049525544">
                  <w:marLeft w:val="0"/>
                  <w:marRight w:val="0"/>
                  <w:marTop w:val="0"/>
                  <w:marBottom w:val="0"/>
                  <w:divBdr>
                    <w:top w:val="none" w:sz="0" w:space="0" w:color="auto"/>
                    <w:left w:val="none" w:sz="0" w:space="0" w:color="auto"/>
                    <w:bottom w:val="none" w:sz="0" w:space="0" w:color="auto"/>
                    <w:right w:val="none" w:sz="0" w:space="0" w:color="auto"/>
                  </w:divBdr>
                </w:div>
              </w:divsChild>
            </w:div>
            <w:div w:id="2121610631">
              <w:marLeft w:val="0"/>
              <w:marRight w:val="0"/>
              <w:marTop w:val="0"/>
              <w:marBottom w:val="0"/>
              <w:divBdr>
                <w:top w:val="none" w:sz="0" w:space="0" w:color="auto"/>
                <w:left w:val="none" w:sz="0" w:space="0" w:color="auto"/>
                <w:bottom w:val="none" w:sz="0" w:space="0" w:color="auto"/>
                <w:right w:val="none" w:sz="0" w:space="0" w:color="auto"/>
              </w:divBdr>
              <w:divsChild>
                <w:div w:id="480655607">
                  <w:marLeft w:val="0"/>
                  <w:marRight w:val="0"/>
                  <w:marTop w:val="0"/>
                  <w:marBottom w:val="0"/>
                  <w:divBdr>
                    <w:top w:val="none" w:sz="0" w:space="0" w:color="auto"/>
                    <w:left w:val="none" w:sz="0" w:space="0" w:color="auto"/>
                    <w:bottom w:val="none" w:sz="0" w:space="0" w:color="auto"/>
                    <w:right w:val="none" w:sz="0" w:space="0" w:color="auto"/>
                  </w:divBdr>
                </w:div>
              </w:divsChild>
            </w:div>
            <w:div w:id="1859463379">
              <w:marLeft w:val="0"/>
              <w:marRight w:val="0"/>
              <w:marTop w:val="0"/>
              <w:marBottom w:val="0"/>
              <w:divBdr>
                <w:top w:val="none" w:sz="0" w:space="0" w:color="auto"/>
                <w:left w:val="none" w:sz="0" w:space="0" w:color="auto"/>
                <w:bottom w:val="none" w:sz="0" w:space="0" w:color="auto"/>
                <w:right w:val="none" w:sz="0" w:space="0" w:color="auto"/>
              </w:divBdr>
              <w:divsChild>
                <w:div w:id="219482676">
                  <w:marLeft w:val="0"/>
                  <w:marRight w:val="0"/>
                  <w:marTop w:val="0"/>
                  <w:marBottom w:val="0"/>
                  <w:divBdr>
                    <w:top w:val="none" w:sz="0" w:space="0" w:color="auto"/>
                    <w:left w:val="none" w:sz="0" w:space="0" w:color="auto"/>
                    <w:bottom w:val="none" w:sz="0" w:space="0" w:color="auto"/>
                    <w:right w:val="none" w:sz="0" w:space="0" w:color="auto"/>
                  </w:divBdr>
                </w:div>
              </w:divsChild>
            </w:div>
            <w:div w:id="770709336">
              <w:marLeft w:val="0"/>
              <w:marRight w:val="0"/>
              <w:marTop w:val="0"/>
              <w:marBottom w:val="0"/>
              <w:divBdr>
                <w:top w:val="none" w:sz="0" w:space="0" w:color="auto"/>
                <w:left w:val="none" w:sz="0" w:space="0" w:color="auto"/>
                <w:bottom w:val="none" w:sz="0" w:space="0" w:color="auto"/>
                <w:right w:val="none" w:sz="0" w:space="0" w:color="auto"/>
              </w:divBdr>
              <w:divsChild>
                <w:div w:id="982199464">
                  <w:marLeft w:val="0"/>
                  <w:marRight w:val="0"/>
                  <w:marTop w:val="0"/>
                  <w:marBottom w:val="0"/>
                  <w:divBdr>
                    <w:top w:val="none" w:sz="0" w:space="0" w:color="auto"/>
                    <w:left w:val="none" w:sz="0" w:space="0" w:color="auto"/>
                    <w:bottom w:val="none" w:sz="0" w:space="0" w:color="auto"/>
                    <w:right w:val="none" w:sz="0" w:space="0" w:color="auto"/>
                  </w:divBdr>
                </w:div>
              </w:divsChild>
            </w:div>
            <w:div w:id="845559614">
              <w:marLeft w:val="0"/>
              <w:marRight w:val="0"/>
              <w:marTop w:val="0"/>
              <w:marBottom w:val="0"/>
              <w:divBdr>
                <w:top w:val="none" w:sz="0" w:space="0" w:color="auto"/>
                <w:left w:val="none" w:sz="0" w:space="0" w:color="auto"/>
                <w:bottom w:val="none" w:sz="0" w:space="0" w:color="auto"/>
                <w:right w:val="none" w:sz="0" w:space="0" w:color="auto"/>
              </w:divBdr>
              <w:divsChild>
                <w:div w:id="667441506">
                  <w:marLeft w:val="0"/>
                  <w:marRight w:val="0"/>
                  <w:marTop w:val="0"/>
                  <w:marBottom w:val="0"/>
                  <w:divBdr>
                    <w:top w:val="none" w:sz="0" w:space="0" w:color="auto"/>
                    <w:left w:val="none" w:sz="0" w:space="0" w:color="auto"/>
                    <w:bottom w:val="none" w:sz="0" w:space="0" w:color="auto"/>
                    <w:right w:val="none" w:sz="0" w:space="0" w:color="auto"/>
                  </w:divBdr>
                </w:div>
              </w:divsChild>
            </w:div>
            <w:div w:id="1435829976">
              <w:marLeft w:val="0"/>
              <w:marRight w:val="0"/>
              <w:marTop w:val="0"/>
              <w:marBottom w:val="0"/>
              <w:divBdr>
                <w:top w:val="none" w:sz="0" w:space="0" w:color="auto"/>
                <w:left w:val="none" w:sz="0" w:space="0" w:color="auto"/>
                <w:bottom w:val="none" w:sz="0" w:space="0" w:color="auto"/>
                <w:right w:val="none" w:sz="0" w:space="0" w:color="auto"/>
              </w:divBdr>
              <w:divsChild>
                <w:div w:id="1594820524">
                  <w:marLeft w:val="0"/>
                  <w:marRight w:val="0"/>
                  <w:marTop w:val="0"/>
                  <w:marBottom w:val="0"/>
                  <w:divBdr>
                    <w:top w:val="none" w:sz="0" w:space="0" w:color="auto"/>
                    <w:left w:val="none" w:sz="0" w:space="0" w:color="auto"/>
                    <w:bottom w:val="none" w:sz="0" w:space="0" w:color="auto"/>
                    <w:right w:val="none" w:sz="0" w:space="0" w:color="auto"/>
                  </w:divBdr>
                </w:div>
              </w:divsChild>
            </w:div>
            <w:div w:id="688259778">
              <w:marLeft w:val="0"/>
              <w:marRight w:val="0"/>
              <w:marTop w:val="0"/>
              <w:marBottom w:val="0"/>
              <w:divBdr>
                <w:top w:val="none" w:sz="0" w:space="0" w:color="auto"/>
                <w:left w:val="none" w:sz="0" w:space="0" w:color="auto"/>
                <w:bottom w:val="none" w:sz="0" w:space="0" w:color="auto"/>
                <w:right w:val="none" w:sz="0" w:space="0" w:color="auto"/>
              </w:divBdr>
              <w:divsChild>
                <w:div w:id="567765417">
                  <w:marLeft w:val="0"/>
                  <w:marRight w:val="0"/>
                  <w:marTop w:val="0"/>
                  <w:marBottom w:val="0"/>
                  <w:divBdr>
                    <w:top w:val="none" w:sz="0" w:space="0" w:color="auto"/>
                    <w:left w:val="none" w:sz="0" w:space="0" w:color="auto"/>
                    <w:bottom w:val="none" w:sz="0" w:space="0" w:color="auto"/>
                    <w:right w:val="none" w:sz="0" w:space="0" w:color="auto"/>
                  </w:divBdr>
                </w:div>
              </w:divsChild>
            </w:div>
            <w:div w:id="953512217">
              <w:marLeft w:val="0"/>
              <w:marRight w:val="0"/>
              <w:marTop w:val="0"/>
              <w:marBottom w:val="0"/>
              <w:divBdr>
                <w:top w:val="none" w:sz="0" w:space="0" w:color="auto"/>
                <w:left w:val="none" w:sz="0" w:space="0" w:color="auto"/>
                <w:bottom w:val="none" w:sz="0" w:space="0" w:color="auto"/>
                <w:right w:val="none" w:sz="0" w:space="0" w:color="auto"/>
              </w:divBdr>
              <w:divsChild>
                <w:div w:id="1209994502">
                  <w:marLeft w:val="0"/>
                  <w:marRight w:val="0"/>
                  <w:marTop w:val="0"/>
                  <w:marBottom w:val="0"/>
                  <w:divBdr>
                    <w:top w:val="none" w:sz="0" w:space="0" w:color="auto"/>
                    <w:left w:val="none" w:sz="0" w:space="0" w:color="auto"/>
                    <w:bottom w:val="none" w:sz="0" w:space="0" w:color="auto"/>
                    <w:right w:val="none" w:sz="0" w:space="0" w:color="auto"/>
                  </w:divBdr>
                </w:div>
              </w:divsChild>
            </w:div>
            <w:div w:id="354040414">
              <w:marLeft w:val="0"/>
              <w:marRight w:val="0"/>
              <w:marTop w:val="0"/>
              <w:marBottom w:val="0"/>
              <w:divBdr>
                <w:top w:val="none" w:sz="0" w:space="0" w:color="auto"/>
                <w:left w:val="none" w:sz="0" w:space="0" w:color="auto"/>
                <w:bottom w:val="none" w:sz="0" w:space="0" w:color="auto"/>
                <w:right w:val="none" w:sz="0" w:space="0" w:color="auto"/>
              </w:divBdr>
              <w:divsChild>
                <w:div w:id="1765150908">
                  <w:marLeft w:val="0"/>
                  <w:marRight w:val="0"/>
                  <w:marTop w:val="0"/>
                  <w:marBottom w:val="0"/>
                  <w:divBdr>
                    <w:top w:val="none" w:sz="0" w:space="0" w:color="auto"/>
                    <w:left w:val="none" w:sz="0" w:space="0" w:color="auto"/>
                    <w:bottom w:val="none" w:sz="0" w:space="0" w:color="auto"/>
                    <w:right w:val="none" w:sz="0" w:space="0" w:color="auto"/>
                  </w:divBdr>
                </w:div>
              </w:divsChild>
            </w:div>
            <w:div w:id="1185941460">
              <w:marLeft w:val="0"/>
              <w:marRight w:val="0"/>
              <w:marTop w:val="0"/>
              <w:marBottom w:val="0"/>
              <w:divBdr>
                <w:top w:val="none" w:sz="0" w:space="0" w:color="auto"/>
                <w:left w:val="none" w:sz="0" w:space="0" w:color="auto"/>
                <w:bottom w:val="none" w:sz="0" w:space="0" w:color="auto"/>
                <w:right w:val="none" w:sz="0" w:space="0" w:color="auto"/>
              </w:divBdr>
              <w:divsChild>
                <w:div w:id="848252371">
                  <w:marLeft w:val="0"/>
                  <w:marRight w:val="0"/>
                  <w:marTop w:val="0"/>
                  <w:marBottom w:val="0"/>
                  <w:divBdr>
                    <w:top w:val="none" w:sz="0" w:space="0" w:color="auto"/>
                    <w:left w:val="none" w:sz="0" w:space="0" w:color="auto"/>
                    <w:bottom w:val="none" w:sz="0" w:space="0" w:color="auto"/>
                    <w:right w:val="none" w:sz="0" w:space="0" w:color="auto"/>
                  </w:divBdr>
                </w:div>
              </w:divsChild>
            </w:div>
            <w:div w:id="1024134605">
              <w:marLeft w:val="0"/>
              <w:marRight w:val="0"/>
              <w:marTop w:val="0"/>
              <w:marBottom w:val="0"/>
              <w:divBdr>
                <w:top w:val="none" w:sz="0" w:space="0" w:color="auto"/>
                <w:left w:val="none" w:sz="0" w:space="0" w:color="auto"/>
                <w:bottom w:val="none" w:sz="0" w:space="0" w:color="auto"/>
                <w:right w:val="none" w:sz="0" w:space="0" w:color="auto"/>
              </w:divBdr>
              <w:divsChild>
                <w:div w:id="1254558732">
                  <w:marLeft w:val="0"/>
                  <w:marRight w:val="0"/>
                  <w:marTop w:val="0"/>
                  <w:marBottom w:val="0"/>
                  <w:divBdr>
                    <w:top w:val="none" w:sz="0" w:space="0" w:color="auto"/>
                    <w:left w:val="none" w:sz="0" w:space="0" w:color="auto"/>
                    <w:bottom w:val="none" w:sz="0" w:space="0" w:color="auto"/>
                    <w:right w:val="none" w:sz="0" w:space="0" w:color="auto"/>
                  </w:divBdr>
                </w:div>
              </w:divsChild>
            </w:div>
            <w:div w:id="646473901">
              <w:marLeft w:val="0"/>
              <w:marRight w:val="0"/>
              <w:marTop w:val="0"/>
              <w:marBottom w:val="0"/>
              <w:divBdr>
                <w:top w:val="none" w:sz="0" w:space="0" w:color="auto"/>
                <w:left w:val="none" w:sz="0" w:space="0" w:color="auto"/>
                <w:bottom w:val="none" w:sz="0" w:space="0" w:color="auto"/>
                <w:right w:val="none" w:sz="0" w:space="0" w:color="auto"/>
              </w:divBdr>
              <w:divsChild>
                <w:div w:id="211189249">
                  <w:marLeft w:val="0"/>
                  <w:marRight w:val="0"/>
                  <w:marTop w:val="0"/>
                  <w:marBottom w:val="0"/>
                  <w:divBdr>
                    <w:top w:val="none" w:sz="0" w:space="0" w:color="auto"/>
                    <w:left w:val="none" w:sz="0" w:space="0" w:color="auto"/>
                    <w:bottom w:val="none" w:sz="0" w:space="0" w:color="auto"/>
                    <w:right w:val="none" w:sz="0" w:space="0" w:color="auto"/>
                  </w:divBdr>
                </w:div>
              </w:divsChild>
            </w:div>
            <w:div w:id="779766876">
              <w:marLeft w:val="0"/>
              <w:marRight w:val="0"/>
              <w:marTop w:val="0"/>
              <w:marBottom w:val="0"/>
              <w:divBdr>
                <w:top w:val="none" w:sz="0" w:space="0" w:color="auto"/>
                <w:left w:val="none" w:sz="0" w:space="0" w:color="auto"/>
                <w:bottom w:val="none" w:sz="0" w:space="0" w:color="auto"/>
                <w:right w:val="none" w:sz="0" w:space="0" w:color="auto"/>
              </w:divBdr>
              <w:divsChild>
                <w:div w:id="1404911732">
                  <w:marLeft w:val="0"/>
                  <w:marRight w:val="0"/>
                  <w:marTop w:val="0"/>
                  <w:marBottom w:val="0"/>
                  <w:divBdr>
                    <w:top w:val="none" w:sz="0" w:space="0" w:color="auto"/>
                    <w:left w:val="none" w:sz="0" w:space="0" w:color="auto"/>
                    <w:bottom w:val="none" w:sz="0" w:space="0" w:color="auto"/>
                    <w:right w:val="none" w:sz="0" w:space="0" w:color="auto"/>
                  </w:divBdr>
                </w:div>
              </w:divsChild>
            </w:div>
            <w:div w:id="2018998471">
              <w:marLeft w:val="0"/>
              <w:marRight w:val="0"/>
              <w:marTop w:val="0"/>
              <w:marBottom w:val="0"/>
              <w:divBdr>
                <w:top w:val="none" w:sz="0" w:space="0" w:color="auto"/>
                <w:left w:val="none" w:sz="0" w:space="0" w:color="auto"/>
                <w:bottom w:val="none" w:sz="0" w:space="0" w:color="auto"/>
                <w:right w:val="none" w:sz="0" w:space="0" w:color="auto"/>
              </w:divBdr>
              <w:divsChild>
                <w:div w:id="906110842">
                  <w:marLeft w:val="0"/>
                  <w:marRight w:val="0"/>
                  <w:marTop w:val="0"/>
                  <w:marBottom w:val="0"/>
                  <w:divBdr>
                    <w:top w:val="none" w:sz="0" w:space="0" w:color="auto"/>
                    <w:left w:val="none" w:sz="0" w:space="0" w:color="auto"/>
                    <w:bottom w:val="none" w:sz="0" w:space="0" w:color="auto"/>
                    <w:right w:val="none" w:sz="0" w:space="0" w:color="auto"/>
                  </w:divBdr>
                </w:div>
              </w:divsChild>
            </w:div>
            <w:div w:id="1922988234">
              <w:marLeft w:val="0"/>
              <w:marRight w:val="0"/>
              <w:marTop w:val="0"/>
              <w:marBottom w:val="0"/>
              <w:divBdr>
                <w:top w:val="none" w:sz="0" w:space="0" w:color="auto"/>
                <w:left w:val="none" w:sz="0" w:space="0" w:color="auto"/>
                <w:bottom w:val="none" w:sz="0" w:space="0" w:color="auto"/>
                <w:right w:val="none" w:sz="0" w:space="0" w:color="auto"/>
              </w:divBdr>
              <w:divsChild>
                <w:div w:id="586185252">
                  <w:marLeft w:val="0"/>
                  <w:marRight w:val="0"/>
                  <w:marTop w:val="0"/>
                  <w:marBottom w:val="0"/>
                  <w:divBdr>
                    <w:top w:val="none" w:sz="0" w:space="0" w:color="auto"/>
                    <w:left w:val="none" w:sz="0" w:space="0" w:color="auto"/>
                    <w:bottom w:val="none" w:sz="0" w:space="0" w:color="auto"/>
                    <w:right w:val="none" w:sz="0" w:space="0" w:color="auto"/>
                  </w:divBdr>
                </w:div>
              </w:divsChild>
            </w:div>
            <w:div w:id="1407459822">
              <w:marLeft w:val="0"/>
              <w:marRight w:val="0"/>
              <w:marTop w:val="0"/>
              <w:marBottom w:val="0"/>
              <w:divBdr>
                <w:top w:val="none" w:sz="0" w:space="0" w:color="auto"/>
                <w:left w:val="none" w:sz="0" w:space="0" w:color="auto"/>
                <w:bottom w:val="none" w:sz="0" w:space="0" w:color="auto"/>
                <w:right w:val="none" w:sz="0" w:space="0" w:color="auto"/>
              </w:divBdr>
              <w:divsChild>
                <w:div w:id="175970117">
                  <w:marLeft w:val="0"/>
                  <w:marRight w:val="0"/>
                  <w:marTop w:val="0"/>
                  <w:marBottom w:val="0"/>
                  <w:divBdr>
                    <w:top w:val="none" w:sz="0" w:space="0" w:color="auto"/>
                    <w:left w:val="none" w:sz="0" w:space="0" w:color="auto"/>
                    <w:bottom w:val="none" w:sz="0" w:space="0" w:color="auto"/>
                    <w:right w:val="none" w:sz="0" w:space="0" w:color="auto"/>
                  </w:divBdr>
                </w:div>
              </w:divsChild>
            </w:div>
            <w:div w:id="317466954">
              <w:marLeft w:val="0"/>
              <w:marRight w:val="0"/>
              <w:marTop w:val="0"/>
              <w:marBottom w:val="0"/>
              <w:divBdr>
                <w:top w:val="none" w:sz="0" w:space="0" w:color="auto"/>
                <w:left w:val="none" w:sz="0" w:space="0" w:color="auto"/>
                <w:bottom w:val="none" w:sz="0" w:space="0" w:color="auto"/>
                <w:right w:val="none" w:sz="0" w:space="0" w:color="auto"/>
              </w:divBdr>
              <w:divsChild>
                <w:div w:id="1099906930">
                  <w:marLeft w:val="0"/>
                  <w:marRight w:val="0"/>
                  <w:marTop w:val="0"/>
                  <w:marBottom w:val="0"/>
                  <w:divBdr>
                    <w:top w:val="none" w:sz="0" w:space="0" w:color="auto"/>
                    <w:left w:val="none" w:sz="0" w:space="0" w:color="auto"/>
                    <w:bottom w:val="none" w:sz="0" w:space="0" w:color="auto"/>
                    <w:right w:val="none" w:sz="0" w:space="0" w:color="auto"/>
                  </w:divBdr>
                </w:div>
              </w:divsChild>
            </w:div>
            <w:div w:id="1862624504">
              <w:marLeft w:val="0"/>
              <w:marRight w:val="0"/>
              <w:marTop w:val="0"/>
              <w:marBottom w:val="0"/>
              <w:divBdr>
                <w:top w:val="none" w:sz="0" w:space="0" w:color="auto"/>
                <w:left w:val="none" w:sz="0" w:space="0" w:color="auto"/>
                <w:bottom w:val="none" w:sz="0" w:space="0" w:color="auto"/>
                <w:right w:val="none" w:sz="0" w:space="0" w:color="auto"/>
              </w:divBdr>
              <w:divsChild>
                <w:div w:id="332536730">
                  <w:marLeft w:val="0"/>
                  <w:marRight w:val="0"/>
                  <w:marTop w:val="0"/>
                  <w:marBottom w:val="0"/>
                  <w:divBdr>
                    <w:top w:val="none" w:sz="0" w:space="0" w:color="auto"/>
                    <w:left w:val="none" w:sz="0" w:space="0" w:color="auto"/>
                    <w:bottom w:val="none" w:sz="0" w:space="0" w:color="auto"/>
                    <w:right w:val="none" w:sz="0" w:space="0" w:color="auto"/>
                  </w:divBdr>
                </w:div>
              </w:divsChild>
            </w:div>
            <w:div w:id="884147347">
              <w:marLeft w:val="0"/>
              <w:marRight w:val="0"/>
              <w:marTop w:val="0"/>
              <w:marBottom w:val="0"/>
              <w:divBdr>
                <w:top w:val="none" w:sz="0" w:space="0" w:color="auto"/>
                <w:left w:val="none" w:sz="0" w:space="0" w:color="auto"/>
                <w:bottom w:val="none" w:sz="0" w:space="0" w:color="auto"/>
                <w:right w:val="none" w:sz="0" w:space="0" w:color="auto"/>
              </w:divBdr>
              <w:divsChild>
                <w:div w:id="566501603">
                  <w:marLeft w:val="0"/>
                  <w:marRight w:val="0"/>
                  <w:marTop w:val="0"/>
                  <w:marBottom w:val="0"/>
                  <w:divBdr>
                    <w:top w:val="none" w:sz="0" w:space="0" w:color="auto"/>
                    <w:left w:val="none" w:sz="0" w:space="0" w:color="auto"/>
                    <w:bottom w:val="none" w:sz="0" w:space="0" w:color="auto"/>
                    <w:right w:val="none" w:sz="0" w:space="0" w:color="auto"/>
                  </w:divBdr>
                </w:div>
              </w:divsChild>
            </w:div>
            <w:div w:id="1735857807">
              <w:marLeft w:val="0"/>
              <w:marRight w:val="0"/>
              <w:marTop w:val="0"/>
              <w:marBottom w:val="0"/>
              <w:divBdr>
                <w:top w:val="none" w:sz="0" w:space="0" w:color="auto"/>
                <w:left w:val="none" w:sz="0" w:space="0" w:color="auto"/>
                <w:bottom w:val="none" w:sz="0" w:space="0" w:color="auto"/>
                <w:right w:val="none" w:sz="0" w:space="0" w:color="auto"/>
              </w:divBdr>
              <w:divsChild>
                <w:div w:id="13345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1959">
          <w:marLeft w:val="0"/>
          <w:marRight w:val="0"/>
          <w:marTop w:val="0"/>
          <w:marBottom w:val="600"/>
          <w:divBdr>
            <w:top w:val="none" w:sz="0" w:space="0" w:color="auto"/>
            <w:left w:val="none" w:sz="0" w:space="0" w:color="auto"/>
            <w:bottom w:val="none" w:sz="0" w:space="0" w:color="auto"/>
            <w:right w:val="none" w:sz="0" w:space="0" w:color="auto"/>
          </w:divBdr>
        </w:div>
      </w:divsChild>
    </w:div>
    <w:div w:id="1153836123">
      <w:marLeft w:val="0"/>
      <w:marRight w:val="0"/>
      <w:marTop w:val="0"/>
      <w:marBottom w:val="0"/>
      <w:divBdr>
        <w:top w:val="none" w:sz="0" w:space="0" w:color="auto"/>
        <w:left w:val="none" w:sz="0" w:space="0" w:color="auto"/>
        <w:bottom w:val="none" w:sz="0" w:space="0" w:color="auto"/>
        <w:right w:val="none" w:sz="0" w:space="0" w:color="auto"/>
      </w:divBdr>
      <w:divsChild>
        <w:div w:id="1449467844">
          <w:marLeft w:val="0"/>
          <w:marRight w:val="0"/>
          <w:marTop w:val="600"/>
          <w:marBottom w:val="0"/>
          <w:divBdr>
            <w:top w:val="none" w:sz="0" w:space="0" w:color="auto"/>
            <w:left w:val="none" w:sz="0" w:space="0" w:color="auto"/>
            <w:bottom w:val="none" w:sz="0" w:space="0" w:color="auto"/>
            <w:right w:val="none" w:sz="0" w:space="0" w:color="auto"/>
          </w:divBdr>
        </w:div>
        <w:div w:id="978146171">
          <w:marLeft w:val="0"/>
          <w:marRight w:val="0"/>
          <w:marTop w:val="0"/>
          <w:marBottom w:val="0"/>
          <w:divBdr>
            <w:top w:val="none" w:sz="0" w:space="0" w:color="auto"/>
            <w:left w:val="none" w:sz="0" w:space="0" w:color="auto"/>
            <w:bottom w:val="none" w:sz="0" w:space="0" w:color="auto"/>
            <w:right w:val="none" w:sz="0" w:space="0" w:color="auto"/>
          </w:divBdr>
        </w:div>
        <w:div w:id="1097556470">
          <w:marLeft w:val="0"/>
          <w:marRight w:val="0"/>
          <w:marTop w:val="0"/>
          <w:marBottom w:val="600"/>
          <w:divBdr>
            <w:top w:val="none" w:sz="0" w:space="0" w:color="auto"/>
            <w:left w:val="none" w:sz="0" w:space="0" w:color="auto"/>
            <w:bottom w:val="none" w:sz="0" w:space="0" w:color="auto"/>
            <w:right w:val="none" w:sz="0" w:space="0" w:color="auto"/>
          </w:divBdr>
        </w:div>
      </w:divsChild>
    </w:div>
    <w:div w:id="1208495768">
      <w:marLeft w:val="0"/>
      <w:marRight w:val="0"/>
      <w:marTop w:val="0"/>
      <w:marBottom w:val="0"/>
      <w:divBdr>
        <w:top w:val="none" w:sz="0" w:space="0" w:color="auto"/>
        <w:left w:val="none" w:sz="0" w:space="0" w:color="auto"/>
        <w:bottom w:val="none" w:sz="0" w:space="0" w:color="auto"/>
        <w:right w:val="none" w:sz="0" w:space="0" w:color="auto"/>
      </w:divBdr>
      <w:divsChild>
        <w:div w:id="2030133141">
          <w:marLeft w:val="0"/>
          <w:marRight w:val="0"/>
          <w:marTop w:val="600"/>
          <w:marBottom w:val="0"/>
          <w:divBdr>
            <w:top w:val="none" w:sz="0" w:space="0" w:color="auto"/>
            <w:left w:val="none" w:sz="0" w:space="0" w:color="auto"/>
            <w:bottom w:val="none" w:sz="0" w:space="0" w:color="auto"/>
            <w:right w:val="none" w:sz="0" w:space="0" w:color="auto"/>
          </w:divBdr>
        </w:div>
        <w:div w:id="1791895849">
          <w:marLeft w:val="0"/>
          <w:marRight w:val="0"/>
          <w:marTop w:val="0"/>
          <w:marBottom w:val="0"/>
          <w:divBdr>
            <w:top w:val="none" w:sz="0" w:space="0" w:color="auto"/>
            <w:left w:val="none" w:sz="0" w:space="0" w:color="auto"/>
            <w:bottom w:val="none" w:sz="0" w:space="0" w:color="auto"/>
            <w:right w:val="none" w:sz="0" w:space="0" w:color="auto"/>
          </w:divBdr>
        </w:div>
        <w:div w:id="784034468">
          <w:marLeft w:val="0"/>
          <w:marRight w:val="0"/>
          <w:marTop w:val="0"/>
          <w:marBottom w:val="600"/>
          <w:divBdr>
            <w:top w:val="none" w:sz="0" w:space="0" w:color="auto"/>
            <w:left w:val="none" w:sz="0" w:space="0" w:color="auto"/>
            <w:bottom w:val="none" w:sz="0" w:space="0" w:color="auto"/>
            <w:right w:val="none" w:sz="0" w:space="0" w:color="auto"/>
          </w:divBdr>
        </w:div>
      </w:divsChild>
    </w:div>
    <w:div w:id="1240139958">
      <w:marLeft w:val="0"/>
      <w:marRight w:val="0"/>
      <w:marTop w:val="0"/>
      <w:marBottom w:val="0"/>
      <w:divBdr>
        <w:top w:val="none" w:sz="0" w:space="0" w:color="auto"/>
        <w:left w:val="none" w:sz="0" w:space="0" w:color="auto"/>
        <w:bottom w:val="none" w:sz="0" w:space="0" w:color="auto"/>
        <w:right w:val="none" w:sz="0" w:space="0" w:color="auto"/>
      </w:divBdr>
      <w:divsChild>
        <w:div w:id="1108738426">
          <w:marLeft w:val="0"/>
          <w:marRight w:val="0"/>
          <w:marTop w:val="600"/>
          <w:marBottom w:val="0"/>
          <w:divBdr>
            <w:top w:val="none" w:sz="0" w:space="0" w:color="auto"/>
            <w:left w:val="none" w:sz="0" w:space="0" w:color="auto"/>
            <w:bottom w:val="none" w:sz="0" w:space="0" w:color="auto"/>
            <w:right w:val="none" w:sz="0" w:space="0" w:color="auto"/>
          </w:divBdr>
        </w:div>
        <w:div w:id="639656919">
          <w:marLeft w:val="0"/>
          <w:marRight w:val="0"/>
          <w:marTop w:val="0"/>
          <w:marBottom w:val="0"/>
          <w:divBdr>
            <w:top w:val="none" w:sz="0" w:space="0" w:color="auto"/>
            <w:left w:val="none" w:sz="0" w:space="0" w:color="auto"/>
            <w:bottom w:val="none" w:sz="0" w:space="0" w:color="auto"/>
            <w:right w:val="none" w:sz="0" w:space="0" w:color="auto"/>
          </w:divBdr>
        </w:div>
        <w:div w:id="1214121746">
          <w:marLeft w:val="0"/>
          <w:marRight w:val="0"/>
          <w:marTop w:val="0"/>
          <w:marBottom w:val="600"/>
          <w:divBdr>
            <w:top w:val="none" w:sz="0" w:space="0" w:color="auto"/>
            <w:left w:val="none" w:sz="0" w:space="0" w:color="auto"/>
            <w:bottom w:val="none" w:sz="0" w:space="0" w:color="auto"/>
            <w:right w:val="none" w:sz="0" w:space="0" w:color="auto"/>
          </w:divBdr>
        </w:div>
      </w:divsChild>
    </w:div>
    <w:div w:id="1257983215">
      <w:marLeft w:val="0"/>
      <w:marRight w:val="0"/>
      <w:marTop w:val="0"/>
      <w:marBottom w:val="0"/>
      <w:divBdr>
        <w:top w:val="none" w:sz="0" w:space="0" w:color="auto"/>
        <w:left w:val="none" w:sz="0" w:space="0" w:color="auto"/>
        <w:bottom w:val="none" w:sz="0" w:space="0" w:color="auto"/>
        <w:right w:val="none" w:sz="0" w:space="0" w:color="auto"/>
      </w:divBdr>
      <w:divsChild>
        <w:div w:id="1229998070">
          <w:marLeft w:val="0"/>
          <w:marRight w:val="0"/>
          <w:marTop w:val="600"/>
          <w:marBottom w:val="0"/>
          <w:divBdr>
            <w:top w:val="none" w:sz="0" w:space="0" w:color="auto"/>
            <w:left w:val="none" w:sz="0" w:space="0" w:color="auto"/>
            <w:bottom w:val="none" w:sz="0" w:space="0" w:color="auto"/>
            <w:right w:val="none" w:sz="0" w:space="0" w:color="auto"/>
          </w:divBdr>
        </w:div>
        <w:div w:id="1745760086">
          <w:marLeft w:val="0"/>
          <w:marRight w:val="0"/>
          <w:marTop w:val="0"/>
          <w:marBottom w:val="0"/>
          <w:divBdr>
            <w:top w:val="none" w:sz="0" w:space="0" w:color="auto"/>
            <w:left w:val="none" w:sz="0" w:space="0" w:color="auto"/>
            <w:bottom w:val="none" w:sz="0" w:space="0" w:color="auto"/>
            <w:right w:val="none" w:sz="0" w:space="0" w:color="auto"/>
          </w:divBdr>
          <w:divsChild>
            <w:div w:id="1179462371">
              <w:marLeft w:val="0"/>
              <w:marRight w:val="0"/>
              <w:marTop w:val="0"/>
              <w:marBottom w:val="0"/>
              <w:divBdr>
                <w:top w:val="none" w:sz="0" w:space="0" w:color="auto"/>
                <w:left w:val="none" w:sz="0" w:space="0" w:color="auto"/>
                <w:bottom w:val="none" w:sz="0" w:space="0" w:color="auto"/>
                <w:right w:val="none" w:sz="0" w:space="0" w:color="auto"/>
              </w:divBdr>
              <w:divsChild>
                <w:div w:id="860751847">
                  <w:marLeft w:val="0"/>
                  <w:marRight w:val="0"/>
                  <w:marTop w:val="0"/>
                  <w:marBottom w:val="0"/>
                  <w:divBdr>
                    <w:top w:val="none" w:sz="0" w:space="0" w:color="auto"/>
                    <w:left w:val="none" w:sz="0" w:space="0" w:color="auto"/>
                    <w:bottom w:val="none" w:sz="0" w:space="0" w:color="auto"/>
                    <w:right w:val="none" w:sz="0" w:space="0" w:color="auto"/>
                  </w:divBdr>
                </w:div>
              </w:divsChild>
            </w:div>
            <w:div w:id="67458256">
              <w:marLeft w:val="0"/>
              <w:marRight w:val="0"/>
              <w:marTop w:val="0"/>
              <w:marBottom w:val="0"/>
              <w:divBdr>
                <w:top w:val="none" w:sz="0" w:space="0" w:color="auto"/>
                <w:left w:val="none" w:sz="0" w:space="0" w:color="auto"/>
                <w:bottom w:val="none" w:sz="0" w:space="0" w:color="auto"/>
                <w:right w:val="none" w:sz="0" w:space="0" w:color="auto"/>
              </w:divBdr>
              <w:divsChild>
                <w:div w:id="1632787456">
                  <w:marLeft w:val="0"/>
                  <w:marRight w:val="0"/>
                  <w:marTop w:val="0"/>
                  <w:marBottom w:val="0"/>
                  <w:divBdr>
                    <w:top w:val="none" w:sz="0" w:space="0" w:color="auto"/>
                    <w:left w:val="none" w:sz="0" w:space="0" w:color="auto"/>
                    <w:bottom w:val="none" w:sz="0" w:space="0" w:color="auto"/>
                    <w:right w:val="none" w:sz="0" w:space="0" w:color="auto"/>
                  </w:divBdr>
                </w:div>
              </w:divsChild>
            </w:div>
            <w:div w:id="1921793410">
              <w:marLeft w:val="0"/>
              <w:marRight w:val="0"/>
              <w:marTop w:val="0"/>
              <w:marBottom w:val="0"/>
              <w:divBdr>
                <w:top w:val="none" w:sz="0" w:space="0" w:color="auto"/>
                <w:left w:val="none" w:sz="0" w:space="0" w:color="auto"/>
                <w:bottom w:val="none" w:sz="0" w:space="0" w:color="auto"/>
                <w:right w:val="none" w:sz="0" w:space="0" w:color="auto"/>
              </w:divBdr>
              <w:divsChild>
                <w:div w:id="1311443091">
                  <w:marLeft w:val="0"/>
                  <w:marRight w:val="0"/>
                  <w:marTop w:val="0"/>
                  <w:marBottom w:val="0"/>
                  <w:divBdr>
                    <w:top w:val="none" w:sz="0" w:space="0" w:color="auto"/>
                    <w:left w:val="none" w:sz="0" w:space="0" w:color="auto"/>
                    <w:bottom w:val="none" w:sz="0" w:space="0" w:color="auto"/>
                    <w:right w:val="none" w:sz="0" w:space="0" w:color="auto"/>
                  </w:divBdr>
                </w:div>
              </w:divsChild>
            </w:div>
            <w:div w:id="1677027986">
              <w:marLeft w:val="0"/>
              <w:marRight w:val="0"/>
              <w:marTop w:val="0"/>
              <w:marBottom w:val="0"/>
              <w:divBdr>
                <w:top w:val="none" w:sz="0" w:space="0" w:color="auto"/>
                <w:left w:val="none" w:sz="0" w:space="0" w:color="auto"/>
                <w:bottom w:val="none" w:sz="0" w:space="0" w:color="auto"/>
                <w:right w:val="none" w:sz="0" w:space="0" w:color="auto"/>
              </w:divBdr>
              <w:divsChild>
                <w:div w:id="937981472">
                  <w:marLeft w:val="0"/>
                  <w:marRight w:val="0"/>
                  <w:marTop w:val="0"/>
                  <w:marBottom w:val="0"/>
                  <w:divBdr>
                    <w:top w:val="none" w:sz="0" w:space="0" w:color="auto"/>
                    <w:left w:val="none" w:sz="0" w:space="0" w:color="auto"/>
                    <w:bottom w:val="none" w:sz="0" w:space="0" w:color="auto"/>
                    <w:right w:val="none" w:sz="0" w:space="0" w:color="auto"/>
                  </w:divBdr>
                </w:div>
              </w:divsChild>
            </w:div>
            <w:div w:id="600459081">
              <w:marLeft w:val="0"/>
              <w:marRight w:val="0"/>
              <w:marTop w:val="0"/>
              <w:marBottom w:val="0"/>
              <w:divBdr>
                <w:top w:val="none" w:sz="0" w:space="0" w:color="auto"/>
                <w:left w:val="none" w:sz="0" w:space="0" w:color="auto"/>
                <w:bottom w:val="none" w:sz="0" w:space="0" w:color="auto"/>
                <w:right w:val="none" w:sz="0" w:space="0" w:color="auto"/>
              </w:divBdr>
              <w:divsChild>
                <w:div w:id="344283497">
                  <w:marLeft w:val="0"/>
                  <w:marRight w:val="0"/>
                  <w:marTop w:val="0"/>
                  <w:marBottom w:val="0"/>
                  <w:divBdr>
                    <w:top w:val="none" w:sz="0" w:space="0" w:color="auto"/>
                    <w:left w:val="none" w:sz="0" w:space="0" w:color="auto"/>
                    <w:bottom w:val="none" w:sz="0" w:space="0" w:color="auto"/>
                    <w:right w:val="none" w:sz="0" w:space="0" w:color="auto"/>
                  </w:divBdr>
                </w:div>
              </w:divsChild>
            </w:div>
            <w:div w:id="1874342113">
              <w:marLeft w:val="0"/>
              <w:marRight w:val="0"/>
              <w:marTop w:val="0"/>
              <w:marBottom w:val="0"/>
              <w:divBdr>
                <w:top w:val="none" w:sz="0" w:space="0" w:color="auto"/>
                <w:left w:val="none" w:sz="0" w:space="0" w:color="auto"/>
                <w:bottom w:val="none" w:sz="0" w:space="0" w:color="auto"/>
                <w:right w:val="none" w:sz="0" w:space="0" w:color="auto"/>
              </w:divBdr>
              <w:divsChild>
                <w:div w:id="1405302327">
                  <w:marLeft w:val="0"/>
                  <w:marRight w:val="0"/>
                  <w:marTop w:val="0"/>
                  <w:marBottom w:val="0"/>
                  <w:divBdr>
                    <w:top w:val="none" w:sz="0" w:space="0" w:color="auto"/>
                    <w:left w:val="none" w:sz="0" w:space="0" w:color="auto"/>
                    <w:bottom w:val="none" w:sz="0" w:space="0" w:color="auto"/>
                    <w:right w:val="none" w:sz="0" w:space="0" w:color="auto"/>
                  </w:divBdr>
                </w:div>
              </w:divsChild>
            </w:div>
            <w:div w:id="688719406">
              <w:marLeft w:val="0"/>
              <w:marRight w:val="0"/>
              <w:marTop w:val="0"/>
              <w:marBottom w:val="0"/>
              <w:divBdr>
                <w:top w:val="none" w:sz="0" w:space="0" w:color="auto"/>
                <w:left w:val="none" w:sz="0" w:space="0" w:color="auto"/>
                <w:bottom w:val="none" w:sz="0" w:space="0" w:color="auto"/>
                <w:right w:val="none" w:sz="0" w:space="0" w:color="auto"/>
              </w:divBdr>
              <w:divsChild>
                <w:div w:id="1212035994">
                  <w:marLeft w:val="0"/>
                  <w:marRight w:val="0"/>
                  <w:marTop w:val="0"/>
                  <w:marBottom w:val="0"/>
                  <w:divBdr>
                    <w:top w:val="none" w:sz="0" w:space="0" w:color="auto"/>
                    <w:left w:val="none" w:sz="0" w:space="0" w:color="auto"/>
                    <w:bottom w:val="none" w:sz="0" w:space="0" w:color="auto"/>
                    <w:right w:val="none" w:sz="0" w:space="0" w:color="auto"/>
                  </w:divBdr>
                </w:div>
              </w:divsChild>
            </w:div>
            <w:div w:id="1217938942">
              <w:marLeft w:val="0"/>
              <w:marRight w:val="0"/>
              <w:marTop w:val="0"/>
              <w:marBottom w:val="0"/>
              <w:divBdr>
                <w:top w:val="none" w:sz="0" w:space="0" w:color="auto"/>
                <w:left w:val="none" w:sz="0" w:space="0" w:color="auto"/>
                <w:bottom w:val="none" w:sz="0" w:space="0" w:color="auto"/>
                <w:right w:val="none" w:sz="0" w:space="0" w:color="auto"/>
              </w:divBdr>
              <w:divsChild>
                <w:div w:id="56711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6347">
          <w:marLeft w:val="0"/>
          <w:marRight w:val="0"/>
          <w:marTop w:val="0"/>
          <w:marBottom w:val="600"/>
          <w:divBdr>
            <w:top w:val="none" w:sz="0" w:space="0" w:color="auto"/>
            <w:left w:val="none" w:sz="0" w:space="0" w:color="auto"/>
            <w:bottom w:val="none" w:sz="0" w:space="0" w:color="auto"/>
            <w:right w:val="none" w:sz="0" w:space="0" w:color="auto"/>
          </w:divBdr>
        </w:div>
      </w:divsChild>
    </w:div>
    <w:div w:id="1265382352">
      <w:marLeft w:val="0"/>
      <w:marRight w:val="0"/>
      <w:marTop w:val="0"/>
      <w:marBottom w:val="0"/>
      <w:divBdr>
        <w:top w:val="none" w:sz="0" w:space="0" w:color="auto"/>
        <w:left w:val="none" w:sz="0" w:space="0" w:color="auto"/>
        <w:bottom w:val="none" w:sz="0" w:space="0" w:color="auto"/>
        <w:right w:val="none" w:sz="0" w:space="0" w:color="auto"/>
      </w:divBdr>
      <w:divsChild>
        <w:div w:id="1861503976">
          <w:marLeft w:val="0"/>
          <w:marRight w:val="0"/>
          <w:marTop w:val="600"/>
          <w:marBottom w:val="0"/>
          <w:divBdr>
            <w:top w:val="none" w:sz="0" w:space="0" w:color="auto"/>
            <w:left w:val="none" w:sz="0" w:space="0" w:color="auto"/>
            <w:bottom w:val="none" w:sz="0" w:space="0" w:color="auto"/>
            <w:right w:val="none" w:sz="0" w:space="0" w:color="auto"/>
          </w:divBdr>
        </w:div>
        <w:div w:id="2024743721">
          <w:marLeft w:val="0"/>
          <w:marRight w:val="0"/>
          <w:marTop w:val="0"/>
          <w:marBottom w:val="0"/>
          <w:divBdr>
            <w:top w:val="none" w:sz="0" w:space="0" w:color="auto"/>
            <w:left w:val="none" w:sz="0" w:space="0" w:color="auto"/>
            <w:bottom w:val="none" w:sz="0" w:space="0" w:color="auto"/>
            <w:right w:val="none" w:sz="0" w:space="0" w:color="auto"/>
          </w:divBdr>
          <w:divsChild>
            <w:div w:id="868446378">
              <w:marLeft w:val="547"/>
              <w:marRight w:val="0"/>
              <w:marTop w:val="0"/>
              <w:marBottom w:val="0"/>
              <w:divBdr>
                <w:top w:val="none" w:sz="0" w:space="0" w:color="auto"/>
                <w:left w:val="none" w:sz="0" w:space="0" w:color="auto"/>
                <w:bottom w:val="none" w:sz="0" w:space="0" w:color="auto"/>
                <w:right w:val="none" w:sz="0" w:space="0" w:color="auto"/>
              </w:divBdr>
            </w:div>
            <w:div w:id="1201355222">
              <w:marLeft w:val="547"/>
              <w:marRight w:val="0"/>
              <w:marTop w:val="0"/>
              <w:marBottom w:val="0"/>
              <w:divBdr>
                <w:top w:val="none" w:sz="0" w:space="0" w:color="auto"/>
                <w:left w:val="none" w:sz="0" w:space="0" w:color="auto"/>
                <w:bottom w:val="none" w:sz="0" w:space="0" w:color="auto"/>
                <w:right w:val="none" w:sz="0" w:space="0" w:color="auto"/>
              </w:divBdr>
            </w:div>
            <w:div w:id="1418206699">
              <w:marLeft w:val="547"/>
              <w:marRight w:val="0"/>
              <w:marTop w:val="0"/>
              <w:marBottom w:val="0"/>
              <w:divBdr>
                <w:top w:val="none" w:sz="0" w:space="0" w:color="auto"/>
                <w:left w:val="none" w:sz="0" w:space="0" w:color="auto"/>
                <w:bottom w:val="none" w:sz="0" w:space="0" w:color="auto"/>
                <w:right w:val="none" w:sz="0" w:space="0" w:color="auto"/>
              </w:divBdr>
            </w:div>
            <w:div w:id="1640915407">
              <w:marLeft w:val="547"/>
              <w:marRight w:val="0"/>
              <w:marTop w:val="0"/>
              <w:marBottom w:val="0"/>
              <w:divBdr>
                <w:top w:val="none" w:sz="0" w:space="0" w:color="auto"/>
                <w:left w:val="none" w:sz="0" w:space="0" w:color="auto"/>
                <w:bottom w:val="none" w:sz="0" w:space="0" w:color="auto"/>
                <w:right w:val="none" w:sz="0" w:space="0" w:color="auto"/>
              </w:divBdr>
            </w:div>
            <w:div w:id="1744907174">
              <w:marLeft w:val="547"/>
              <w:marRight w:val="0"/>
              <w:marTop w:val="0"/>
              <w:marBottom w:val="0"/>
              <w:divBdr>
                <w:top w:val="none" w:sz="0" w:space="0" w:color="auto"/>
                <w:left w:val="none" w:sz="0" w:space="0" w:color="auto"/>
                <w:bottom w:val="none" w:sz="0" w:space="0" w:color="auto"/>
                <w:right w:val="none" w:sz="0" w:space="0" w:color="auto"/>
              </w:divBdr>
            </w:div>
            <w:div w:id="463083579">
              <w:marLeft w:val="547"/>
              <w:marRight w:val="0"/>
              <w:marTop w:val="0"/>
              <w:marBottom w:val="0"/>
              <w:divBdr>
                <w:top w:val="none" w:sz="0" w:space="0" w:color="auto"/>
                <w:left w:val="none" w:sz="0" w:space="0" w:color="auto"/>
                <w:bottom w:val="none" w:sz="0" w:space="0" w:color="auto"/>
                <w:right w:val="none" w:sz="0" w:space="0" w:color="auto"/>
              </w:divBdr>
            </w:div>
            <w:div w:id="207647775">
              <w:marLeft w:val="547"/>
              <w:marRight w:val="0"/>
              <w:marTop w:val="0"/>
              <w:marBottom w:val="0"/>
              <w:divBdr>
                <w:top w:val="none" w:sz="0" w:space="0" w:color="auto"/>
                <w:left w:val="none" w:sz="0" w:space="0" w:color="auto"/>
                <w:bottom w:val="none" w:sz="0" w:space="0" w:color="auto"/>
                <w:right w:val="none" w:sz="0" w:space="0" w:color="auto"/>
              </w:divBdr>
            </w:div>
          </w:divsChild>
        </w:div>
        <w:div w:id="1975401785">
          <w:marLeft w:val="0"/>
          <w:marRight w:val="0"/>
          <w:marTop w:val="0"/>
          <w:marBottom w:val="600"/>
          <w:divBdr>
            <w:top w:val="none" w:sz="0" w:space="0" w:color="auto"/>
            <w:left w:val="none" w:sz="0" w:space="0" w:color="auto"/>
            <w:bottom w:val="none" w:sz="0" w:space="0" w:color="auto"/>
            <w:right w:val="none" w:sz="0" w:space="0" w:color="auto"/>
          </w:divBdr>
        </w:div>
      </w:divsChild>
    </w:div>
    <w:div w:id="1311863797">
      <w:marLeft w:val="0"/>
      <w:marRight w:val="0"/>
      <w:marTop w:val="0"/>
      <w:marBottom w:val="0"/>
      <w:divBdr>
        <w:top w:val="none" w:sz="0" w:space="0" w:color="auto"/>
        <w:left w:val="none" w:sz="0" w:space="0" w:color="auto"/>
        <w:bottom w:val="none" w:sz="0" w:space="0" w:color="auto"/>
        <w:right w:val="none" w:sz="0" w:space="0" w:color="auto"/>
      </w:divBdr>
      <w:divsChild>
        <w:div w:id="278802011">
          <w:marLeft w:val="0"/>
          <w:marRight w:val="0"/>
          <w:marTop w:val="600"/>
          <w:marBottom w:val="0"/>
          <w:divBdr>
            <w:top w:val="none" w:sz="0" w:space="0" w:color="auto"/>
            <w:left w:val="none" w:sz="0" w:space="0" w:color="auto"/>
            <w:bottom w:val="none" w:sz="0" w:space="0" w:color="auto"/>
            <w:right w:val="none" w:sz="0" w:space="0" w:color="auto"/>
          </w:divBdr>
        </w:div>
        <w:div w:id="25569690">
          <w:marLeft w:val="0"/>
          <w:marRight w:val="0"/>
          <w:marTop w:val="0"/>
          <w:marBottom w:val="0"/>
          <w:divBdr>
            <w:top w:val="none" w:sz="0" w:space="0" w:color="auto"/>
            <w:left w:val="none" w:sz="0" w:space="0" w:color="auto"/>
            <w:bottom w:val="none" w:sz="0" w:space="0" w:color="auto"/>
            <w:right w:val="none" w:sz="0" w:space="0" w:color="auto"/>
          </w:divBdr>
        </w:div>
        <w:div w:id="11151615">
          <w:marLeft w:val="0"/>
          <w:marRight w:val="0"/>
          <w:marTop w:val="0"/>
          <w:marBottom w:val="600"/>
          <w:divBdr>
            <w:top w:val="none" w:sz="0" w:space="0" w:color="auto"/>
            <w:left w:val="none" w:sz="0" w:space="0" w:color="auto"/>
            <w:bottom w:val="none" w:sz="0" w:space="0" w:color="auto"/>
            <w:right w:val="none" w:sz="0" w:space="0" w:color="auto"/>
          </w:divBdr>
        </w:div>
      </w:divsChild>
    </w:div>
    <w:div w:id="1348403454">
      <w:marLeft w:val="0"/>
      <w:marRight w:val="0"/>
      <w:marTop w:val="0"/>
      <w:marBottom w:val="0"/>
      <w:divBdr>
        <w:top w:val="none" w:sz="0" w:space="0" w:color="auto"/>
        <w:left w:val="none" w:sz="0" w:space="0" w:color="auto"/>
        <w:bottom w:val="none" w:sz="0" w:space="0" w:color="auto"/>
        <w:right w:val="none" w:sz="0" w:space="0" w:color="auto"/>
      </w:divBdr>
      <w:divsChild>
        <w:div w:id="1056196676">
          <w:marLeft w:val="0"/>
          <w:marRight w:val="0"/>
          <w:marTop w:val="600"/>
          <w:marBottom w:val="0"/>
          <w:divBdr>
            <w:top w:val="none" w:sz="0" w:space="0" w:color="auto"/>
            <w:left w:val="none" w:sz="0" w:space="0" w:color="auto"/>
            <w:bottom w:val="none" w:sz="0" w:space="0" w:color="auto"/>
            <w:right w:val="none" w:sz="0" w:space="0" w:color="auto"/>
          </w:divBdr>
        </w:div>
        <w:div w:id="429280998">
          <w:marLeft w:val="0"/>
          <w:marRight w:val="0"/>
          <w:marTop w:val="0"/>
          <w:marBottom w:val="0"/>
          <w:divBdr>
            <w:top w:val="none" w:sz="0" w:space="0" w:color="auto"/>
            <w:left w:val="none" w:sz="0" w:space="0" w:color="auto"/>
            <w:bottom w:val="none" w:sz="0" w:space="0" w:color="auto"/>
            <w:right w:val="none" w:sz="0" w:space="0" w:color="auto"/>
          </w:divBdr>
          <w:divsChild>
            <w:div w:id="3673791">
              <w:marLeft w:val="547"/>
              <w:marRight w:val="0"/>
              <w:marTop w:val="0"/>
              <w:marBottom w:val="0"/>
              <w:divBdr>
                <w:top w:val="none" w:sz="0" w:space="0" w:color="auto"/>
                <w:left w:val="none" w:sz="0" w:space="0" w:color="auto"/>
                <w:bottom w:val="none" w:sz="0" w:space="0" w:color="auto"/>
                <w:right w:val="none" w:sz="0" w:space="0" w:color="auto"/>
              </w:divBdr>
            </w:div>
            <w:div w:id="880441996">
              <w:marLeft w:val="547"/>
              <w:marRight w:val="0"/>
              <w:marTop w:val="0"/>
              <w:marBottom w:val="0"/>
              <w:divBdr>
                <w:top w:val="none" w:sz="0" w:space="0" w:color="auto"/>
                <w:left w:val="none" w:sz="0" w:space="0" w:color="auto"/>
                <w:bottom w:val="none" w:sz="0" w:space="0" w:color="auto"/>
                <w:right w:val="none" w:sz="0" w:space="0" w:color="auto"/>
              </w:divBdr>
            </w:div>
            <w:div w:id="104888533">
              <w:marLeft w:val="547"/>
              <w:marRight w:val="0"/>
              <w:marTop w:val="0"/>
              <w:marBottom w:val="0"/>
              <w:divBdr>
                <w:top w:val="none" w:sz="0" w:space="0" w:color="auto"/>
                <w:left w:val="none" w:sz="0" w:space="0" w:color="auto"/>
                <w:bottom w:val="none" w:sz="0" w:space="0" w:color="auto"/>
                <w:right w:val="none" w:sz="0" w:space="0" w:color="auto"/>
              </w:divBdr>
            </w:div>
            <w:div w:id="561062651">
              <w:marLeft w:val="547"/>
              <w:marRight w:val="0"/>
              <w:marTop w:val="0"/>
              <w:marBottom w:val="0"/>
              <w:divBdr>
                <w:top w:val="none" w:sz="0" w:space="0" w:color="auto"/>
                <w:left w:val="none" w:sz="0" w:space="0" w:color="auto"/>
                <w:bottom w:val="none" w:sz="0" w:space="0" w:color="auto"/>
                <w:right w:val="none" w:sz="0" w:space="0" w:color="auto"/>
              </w:divBdr>
            </w:div>
            <w:div w:id="139735483">
              <w:marLeft w:val="547"/>
              <w:marRight w:val="0"/>
              <w:marTop w:val="0"/>
              <w:marBottom w:val="0"/>
              <w:divBdr>
                <w:top w:val="none" w:sz="0" w:space="0" w:color="auto"/>
                <w:left w:val="none" w:sz="0" w:space="0" w:color="auto"/>
                <w:bottom w:val="none" w:sz="0" w:space="0" w:color="auto"/>
                <w:right w:val="none" w:sz="0" w:space="0" w:color="auto"/>
              </w:divBdr>
            </w:div>
            <w:div w:id="2022009228">
              <w:marLeft w:val="547"/>
              <w:marRight w:val="0"/>
              <w:marTop w:val="0"/>
              <w:marBottom w:val="0"/>
              <w:divBdr>
                <w:top w:val="none" w:sz="0" w:space="0" w:color="auto"/>
                <w:left w:val="none" w:sz="0" w:space="0" w:color="auto"/>
                <w:bottom w:val="none" w:sz="0" w:space="0" w:color="auto"/>
                <w:right w:val="none" w:sz="0" w:space="0" w:color="auto"/>
              </w:divBdr>
            </w:div>
            <w:div w:id="1458791998">
              <w:marLeft w:val="547"/>
              <w:marRight w:val="0"/>
              <w:marTop w:val="0"/>
              <w:marBottom w:val="0"/>
              <w:divBdr>
                <w:top w:val="none" w:sz="0" w:space="0" w:color="auto"/>
                <w:left w:val="none" w:sz="0" w:space="0" w:color="auto"/>
                <w:bottom w:val="none" w:sz="0" w:space="0" w:color="auto"/>
                <w:right w:val="none" w:sz="0" w:space="0" w:color="auto"/>
              </w:divBdr>
            </w:div>
            <w:div w:id="1840926530">
              <w:marLeft w:val="547"/>
              <w:marRight w:val="0"/>
              <w:marTop w:val="0"/>
              <w:marBottom w:val="0"/>
              <w:divBdr>
                <w:top w:val="none" w:sz="0" w:space="0" w:color="auto"/>
                <w:left w:val="none" w:sz="0" w:space="0" w:color="auto"/>
                <w:bottom w:val="none" w:sz="0" w:space="0" w:color="auto"/>
                <w:right w:val="none" w:sz="0" w:space="0" w:color="auto"/>
              </w:divBdr>
            </w:div>
            <w:div w:id="1157652572">
              <w:marLeft w:val="547"/>
              <w:marRight w:val="0"/>
              <w:marTop w:val="0"/>
              <w:marBottom w:val="0"/>
              <w:divBdr>
                <w:top w:val="none" w:sz="0" w:space="0" w:color="auto"/>
                <w:left w:val="none" w:sz="0" w:space="0" w:color="auto"/>
                <w:bottom w:val="none" w:sz="0" w:space="0" w:color="auto"/>
                <w:right w:val="none" w:sz="0" w:space="0" w:color="auto"/>
              </w:divBdr>
            </w:div>
            <w:div w:id="1534996046">
              <w:marLeft w:val="547"/>
              <w:marRight w:val="0"/>
              <w:marTop w:val="0"/>
              <w:marBottom w:val="0"/>
              <w:divBdr>
                <w:top w:val="none" w:sz="0" w:space="0" w:color="auto"/>
                <w:left w:val="none" w:sz="0" w:space="0" w:color="auto"/>
                <w:bottom w:val="none" w:sz="0" w:space="0" w:color="auto"/>
                <w:right w:val="none" w:sz="0" w:space="0" w:color="auto"/>
              </w:divBdr>
            </w:div>
            <w:div w:id="36928782">
              <w:marLeft w:val="547"/>
              <w:marRight w:val="0"/>
              <w:marTop w:val="0"/>
              <w:marBottom w:val="0"/>
              <w:divBdr>
                <w:top w:val="none" w:sz="0" w:space="0" w:color="auto"/>
                <w:left w:val="none" w:sz="0" w:space="0" w:color="auto"/>
                <w:bottom w:val="none" w:sz="0" w:space="0" w:color="auto"/>
                <w:right w:val="none" w:sz="0" w:space="0" w:color="auto"/>
              </w:divBdr>
            </w:div>
            <w:div w:id="777994355">
              <w:marLeft w:val="547"/>
              <w:marRight w:val="0"/>
              <w:marTop w:val="0"/>
              <w:marBottom w:val="0"/>
              <w:divBdr>
                <w:top w:val="none" w:sz="0" w:space="0" w:color="auto"/>
                <w:left w:val="none" w:sz="0" w:space="0" w:color="auto"/>
                <w:bottom w:val="none" w:sz="0" w:space="0" w:color="auto"/>
                <w:right w:val="none" w:sz="0" w:space="0" w:color="auto"/>
              </w:divBdr>
            </w:div>
          </w:divsChild>
        </w:div>
        <w:div w:id="1786774210">
          <w:marLeft w:val="0"/>
          <w:marRight w:val="0"/>
          <w:marTop w:val="0"/>
          <w:marBottom w:val="600"/>
          <w:divBdr>
            <w:top w:val="none" w:sz="0" w:space="0" w:color="auto"/>
            <w:left w:val="none" w:sz="0" w:space="0" w:color="auto"/>
            <w:bottom w:val="none" w:sz="0" w:space="0" w:color="auto"/>
            <w:right w:val="none" w:sz="0" w:space="0" w:color="auto"/>
          </w:divBdr>
        </w:div>
      </w:divsChild>
    </w:div>
    <w:div w:id="1369985072">
      <w:marLeft w:val="0"/>
      <w:marRight w:val="0"/>
      <w:marTop w:val="0"/>
      <w:marBottom w:val="0"/>
      <w:divBdr>
        <w:top w:val="none" w:sz="0" w:space="0" w:color="auto"/>
        <w:left w:val="none" w:sz="0" w:space="0" w:color="auto"/>
        <w:bottom w:val="none" w:sz="0" w:space="0" w:color="auto"/>
        <w:right w:val="none" w:sz="0" w:space="0" w:color="auto"/>
      </w:divBdr>
      <w:divsChild>
        <w:div w:id="246422612">
          <w:marLeft w:val="0"/>
          <w:marRight w:val="0"/>
          <w:marTop w:val="600"/>
          <w:marBottom w:val="0"/>
          <w:divBdr>
            <w:top w:val="none" w:sz="0" w:space="0" w:color="auto"/>
            <w:left w:val="none" w:sz="0" w:space="0" w:color="auto"/>
            <w:bottom w:val="none" w:sz="0" w:space="0" w:color="auto"/>
            <w:right w:val="none" w:sz="0" w:space="0" w:color="auto"/>
          </w:divBdr>
        </w:div>
        <w:div w:id="569002537">
          <w:marLeft w:val="0"/>
          <w:marRight w:val="0"/>
          <w:marTop w:val="0"/>
          <w:marBottom w:val="0"/>
          <w:divBdr>
            <w:top w:val="none" w:sz="0" w:space="0" w:color="auto"/>
            <w:left w:val="none" w:sz="0" w:space="0" w:color="auto"/>
            <w:bottom w:val="none" w:sz="0" w:space="0" w:color="auto"/>
            <w:right w:val="none" w:sz="0" w:space="0" w:color="auto"/>
          </w:divBdr>
          <w:divsChild>
            <w:div w:id="1588535530">
              <w:marLeft w:val="547"/>
              <w:marRight w:val="0"/>
              <w:marTop w:val="0"/>
              <w:marBottom w:val="0"/>
              <w:divBdr>
                <w:top w:val="none" w:sz="0" w:space="0" w:color="auto"/>
                <w:left w:val="none" w:sz="0" w:space="0" w:color="auto"/>
                <w:bottom w:val="none" w:sz="0" w:space="0" w:color="auto"/>
                <w:right w:val="none" w:sz="0" w:space="0" w:color="auto"/>
              </w:divBdr>
            </w:div>
            <w:div w:id="1199127627">
              <w:marLeft w:val="547"/>
              <w:marRight w:val="0"/>
              <w:marTop w:val="0"/>
              <w:marBottom w:val="0"/>
              <w:divBdr>
                <w:top w:val="none" w:sz="0" w:space="0" w:color="auto"/>
                <w:left w:val="none" w:sz="0" w:space="0" w:color="auto"/>
                <w:bottom w:val="none" w:sz="0" w:space="0" w:color="auto"/>
                <w:right w:val="none" w:sz="0" w:space="0" w:color="auto"/>
              </w:divBdr>
            </w:div>
            <w:div w:id="579367688">
              <w:marLeft w:val="547"/>
              <w:marRight w:val="0"/>
              <w:marTop w:val="0"/>
              <w:marBottom w:val="0"/>
              <w:divBdr>
                <w:top w:val="none" w:sz="0" w:space="0" w:color="auto"/>
                <w:left w:val="none" w:sz="0" w:space="0" w:color="auto"/>
                <w:bottom w:val="none" w:sz="0" w:space="0" w:color="auto"/>
                <w:right w:val="none" w:sz="0" w:space="0" w:color="auto"/>
              </w:divBdr>
            </w:div>
            <w:div w:id="739063444">
              <w:marLeft w:val="547"/>
              <w:marRight w:val="0"/>
              <w:marTop w:val="0"/>
              <w:marBottom w:val="0"/>
              <w:divBdr>
                <w:top w:val="none" w:sz="0" w:space="0" w:color="auto"/>
                <w:left w:val="none" w:sz="0" w:space="0" w:color="auto"/>
                <w:bottom w:val="none" w:sz="0" w:space="0" w:color="auto"/>
                <w:right w:val="none" w:sz="0" w:space="0" w:color="auto"/>
              </w:divBdr>
            </w:div>
            <w:div w:id="1974409680">
              <w:marLeft w:val="547"/>
              <w:marRight w:val="0"/>
              <w:marTop w:val="0"/>
              <w:marBottom w:val="0"/>
              <w:divBdr>
                <w:top w:val="none" w:sz="0" w:space="0" w:color="auto"/>
                <w:left w:val="none" w:sz="0" w:space="0" w:color="auto"/>
                <w:bottom w:val="none" w:sz="0" w:space="0" w:color="auto"/>
                <w:right w:val="none" w:sz="0" w:space="0" w:color="auto"/>
              </w:divBdr>
            </w:div>
            <w:div w:id="1557472666">
              <w:marLeft w:val="547"/>
              <w:marRight w:val="0"/>
              <w:marTop w:val="0"/>
              <w:marBottom w:val="0"/>
              <w:divBdr>
                <w:top w:val="none" w:sz="0" w:space="0" w:color="auto"/>
                <w:left w:val="none" w:sz="0" w:space="0" w:color="auto"/>
                <w:bottom w:val="none" w:sz="0" w:space="0" w:color="auto"/>
                <w:right w:val="none" w:sz="0" w:space="0" w:color="auto"/>
              </w:divBdr>
            </w:div>
          </w:divsChild>
        </w:div>
        <w:div w:id="350647043">
          <w:marLeft w:val="0"/>
          <w:marRight w:val="0"/>
          <w:marTop w:val="0"/>
          <w:marBottom w:val="600"/>
          <w:divBdr>
            <w:top w:val="none" w:sz="0" w:space="0" w:color="auto"/>
            <w:left w:val="none" w:sz="0" w:space="0" w:color="auto"/>
            <w:bottom w:val="none" w:sz="0" w:space="0" w:color="auto"/>
            <w:right w:val="none" w:sz="0" w:space="0" w:color="auto"/>
          </w:divBdr>
        </w:div>
      </w:divsChild>
    </w:div>
    <w:div w:id="1393431765">
      <w:marLeft w:val="0"/>
      <w:marRight w:val="0"/>
      <w:marTop w:val="0"/>
      <w:marBottom w:val="0"/>
      <w:divBdr>
        <w:top w:val="none" w:sz="0" w:space="0" w:color="auto"/>
        <w:left w:val="none" w:sz="0" w:space="0" w:color="auto"/>
        <w:bottom w:val="none" w:sz="0" w:space="0" w:color="auto"/>
        <w:right w:val="none" w:sz="0" w:space="0" w:color="auto"/>
      </w:divBdr>
      <w:divsChild>
        <w:div w:id="1582330102">
          <w:marLeft w:val="0"/>
          <w:marRight w:val="0"/>
          <w:marTop w:val="600"/>
          <w:marBottom w:val="0"/>
          <w:divBdr>
            <w:top w:val="none" w:sz="0" w:space="0" w:color="auto"/>
            <w:left w:val="none" w:sz="0" w:space="0" w:color="auto"/>
            <w:bottom w:val="none" w:sz="0" w:space="0" w:color="auto"/>
            <w:right w:val="none" w:sz="0" w:space="0" w:color="auto"/>
          </w:divBdr>
        </w:div>
        <w:div w:id="776021120">
          <w:marLeft w:val="0"/>
          <w:marRight w:val="0"/>
          <w:marTop w:val="0"/>
          <w:marBottom w:val="0"/>
          <w:divBdr>
            <w:top w:val="none" w:sz="0" w:space="0" w:color="auto"/>
            <w:left w:val="none" w:sz="0" w:space="0" w:color="auto"/>
            <w:bottom w:val="none" w:sz="0" w:space="0" w:color="auto"/>
            <w:right w:val="none" w:sz="0" w:space="0" w:color="auto"/>
          </w:divBdr>
        </w:div>
        <w:div w:id="1646081930">
          <w:marLeft w:val="0"/>
          <w:marRight w:val="0"/>
          <w:marTop w:val="0"/>
          <w:marBottom w:val="600"/>
          <w:divBdr>
            <w:top w:val="none" w:sz="0" w:space="0" w:color="auto"/>
            <w:left w:val="none" w:sz="0" w:space="0" w:color="auto"/>
            <w:bottom w:val="none" w:sz="0" w:space="0" w:color="auto"/>
            <w:right w:val="none" w:sz="0" w:space="0" w:color="auto"/>
          </w:divBdr>
        </w:div>
      </w:divsChild>
    </w:div>
    <w:div w:id="1433478309">
      <w:marLeft w:val="0"/>
      <w:marRight w:val="0"/>
      <w:marTop w:val="0"/>
      <w:marBottom w:val="0"/>
      <w:divBdr>
        <w:top w:val="none" w:sz="0" w:space="0" w:color="auto"/>
        <w:left w:val="none" w:sz="0" w:space="0" w:color="auto"/>
        <w:bottom w:val="none" w:sz="0" w:space="0" w:color="auto"/>
        <w:right w:val="none" w:sz="0" w:space="0" w:color="auto"/>
      </w:divBdr>
      <w:divsChild>
        <w:div w:id="1042561751">
          <w:marLeft w:val="0"/>
          <w:marRight w:val="0"/>
          <w:marTop w:val="600"/>
          <w:marBottom w:val="0"/>
          <w:divBdr>
            <w:top w:val="none" w:sz="0" w:space="0" w:color="auto"/>
            <w:left w:val="none" w:sz="0" w:space="0" w:color="auto"/>
            <w:bottom w:val="none" w:sz="0" w:space="0" w:color="auto"/>
            <w:right w:val="none" w:sz="0" w:space="0" w:color="auto"/>
          </w:divBdr>
        </w:div>
        <w:div w:id="1876116337">
          <w:marLeft w:val="0"/>
          <w:marRight w:val="0"/>
          <w:marTop w:val="0"/>
          <w:marBottom w:val="0"/>
          <w:divBdr>
            <w:top w:val="none" w:sz="0" w:space="0" w:color="auto"/>
            <w:left w:val="none" w:sz="0" w:space="0" w:color="auto"/>
            <w:bottom w:val="none" w:sz="0" w:space="0" w:color="auto"/>
            <w:right w:val="none" w:sz="0" w:space="0" w:color="auto"/>
          </w:divBdr>
        </w:div>
        <w:div w:id="1923098756">
          <w:marLeft w:val="0"/>
          <w:marRight w:val="0"/>
          <w:marTop w:val="0"/>
          <w:marBottom w:val="600"/>
          <w:divBdr>
            <w:top w:val="none" w:sz="0" w:space="0" w:color="auto"/>
            <w:left w:val="none" w:sz="0" w:space="0" w:color="auto"/>
            <w:bottom w:val="none" w:sz="0" w:space="0" w:color="auto"/>
            <w:right w:val="none" w:sz="0" w:space="0" w:color="auto"/>
          </w:divBdr>
        </w:div>
      </w:divsChild>
    </w:div>
    <w:div w:id="1441143110">
      <w:marLeft w:val="0"/>
      <w:marRight w:val="0"/>
      <w:marTop w:val="0"/>
      <w:marBottom w:val="0"/>
      <w:divBdr>
        <w:top w:val="none" w:sz="0" w:space="0" w:color="auto"/>
        <w:left w:val="none" w:sz="0" w:space="0" w:color="auto"/>
        <w:bottom w:val="none" w:sz="0" w:space="0" w:color="auto"/>
        <w:right w:val="none" w:sz="0" w:space="0" w:color="auto"/>
      </w:divBdr>
      <w:divsChild>
        <w:div w:id="1129936207">
          <w:marLeft w:val="0"/>
          <w:marRight w:val="0"/>
          <w:marTop w:val="600"/>
          <w:marBottom w:val="0"/>
          <w:divBdr>
            <w:top w:val="none" w:sz="0" w:space="0" w:color="auto"/>
            <w:left w:val="none" w:sz="0" w:space="0" w:color="auto"/>
            <w:bottom w:val="none" w:sz="0" w:space="0" w:color="auto"/>
            <w:right w:val="none" w:sz="0" w:space="0" w:color="auto"/>
          </w:divBdr>
        </w:div>
        <w:div w:id="240335212">
          <w:marLeft w:val="0"/>
          <w:marRight w:val="0"/>
          <w:marTop w:val="0"/>
          <w:marBottom w:val="0"/>
          <w:divBdr>
            <w:top w:val="none" w:sz="0" w:space="0" w:color="auto"/>
            <w:left w:val="none" w:sz="0" w:space="0" w:color="auto"/>
            <w:bottom w:val="none" w:sz="0" w:space="0" w:color="auto"/>
            <w:right w:val="none" w:sz="0" w:space="0" w:color="auto"/>
          </w:divBdr>
          <w:divsChild>
            <w:div w:id="2053994049">
              <w:marLeft w:val="547"/>
              <w:marRight w:val="0"/>
              <w:marTop w:val="0"/>
              <w:marBottom w:val="0"/>
              <w:divBdr>
                <w:top w:val="none" w:sz="0" w:space="0" w:color="auto"/>
                <w:left w:val="none" w:sz="0" w:space="0" w:color="auto"/>
                <w:bottom w:val="none" w:sz="0" w:space="0" w:color="auto"/>
                <w:right w:val="none" w:sz="0" w:space="0" w:color="auto"/>
              </w:divBdr>
            </w:div>
            <w:div w:id="971981099">
              <w:marLeft w:val="547"/>
              <w:marRight w:val="0"/>
              <w:marTop w:val="0"/>
              <w:marBottom w:val="0"/>
              <w:divBdr>
                <w:top w:val="none" w:sz="0" w:space="0" w:color="auto"/>
                <w:left w:val="none" w:sz="0" w:space="0" w:color="auto"/>
                <w:bottom w:val="none" w:sz="0" w:space="0" w:color="auto"/>
                <w:right w:val="none" w:sz="0" w:space="0" w:color="auto"/>
              </w:divBdr>
            </w:div>
            <w:div w:id="1022249182">
              <w:marLeft w:val="547"/>
              <w:marRight w:val="0"/>
              <w:marTop w:val="0"/>
              <w:marBottom w:val="0"/>
              <w:divBdr>
                <w:top w:val="none" w:sz="0" w:space="0" w:color="auto"/>
                <w:left w:val="none" w:sz="0" w:space="0" w:color="auto"/>
                <w:bottom w:val="none" w:sz="0" w:space="0" w:color="auto"/>
                <w:right w:val="none" w:sz="0" w:space="0" w:color="auto"/>
              </w:divBdr>
            </w:div>
            <w:div w:id="187376571">
              <w:marLeft w:val="547"/>
              <w:marRight w:val="0"/>
              <w:marTop w:val="0"/>
              <w:marBottom w:val="0"/>
              <w:divBdr>
                <w:top w:val="none" w:sz="0" w:space="0" w:color="auto"/>
                <w:left w:val="none" w:sz="0" w:space="0" w:color="auto"/>
                <w:bottom w:val="none" w:sz="0" w:space="0" w:color="auto"/>
                <w:right w:val="none" w:sz="0" w:space="0" w:color="auto"/>
              </w:divBdr>
            </w:div>
            <w:div w:id="1296981705">
              <w:marLeft w:val="547"/>
              <w:marRight w:val="0"/>
              <w:marTop w:val="0"/>
              <w:marBottom w:val="0"/>
              <w:divBdr>
                <w:top w:val="none" w:sz="0" w:space="0" w:color="auto"/>
                <w:left w:val="none" w:sz="0" w:space="0" w:color="auto"/>
                <w:bottom w:val="none" w:sz="0" w:space="0" w:color="auto"/>
                <w:right w:val="none" w:sz="0" w:space="0" w:color="auto"/>
              </w:divBdr>
            </w:div>
            <w:div w:id="1561134506">
              <w:marLeft w:val="547"/>
              <w:marRight w:val="0"/>
              <w:marTop w:val="0"/>
              <w:marBottom w:val="0"/>
              <w:divBdr>
                <w:top w:val="none" w:sz="0" w:space="0" w:color="auto"/>
                <w:left w:val="none" w:sz="0" w:space="0" w:color="auto"/>
                <w:bottom w:val="none" w:sz="0" w:space="0" w:color="auto"/>
                <w:right w:val="none" w:sz="0" w:space="0" w:color="auto"/>
              </w:divBdr>
            </w:div>
            <w:div w:id="1111241741">
              <w:marLeft w:val="547"/>
              <w:marRight w:val="0"/>
              <w:marTop w:val="0"/>
              <w:marBottom w:val="0"/>
              <w:divBdr>
                <w:top w:val="none" w:sz="0" w:space="0" w:color="auto"/>
                <w:left w:val="none" w:sz="0" w:space="0" w:color="auto"/>
                <w:bottom w:val="none" w:sz="0" w:space="0" w:color="auto"/>
                <w:right w:val="none" w:sz="0" w:space="0" w:color="auto"/>
              </w:divBdr>
            </w:div>
            <w:div w:id="1833714179">
              <w:marLeft w:val="547"/>
              <w:marRight w:val="0"/>
              <w:marTop w:val="0"/>
              <w:marBottom w:val="0"/>
              <w:divBdr>
                <w:top w:val="none" w:sz="0" w:space="0" w:color="auto"/>
                <w:left w:val="none" w:sz="0" w:space="0" w:color="auto"/>
                <w:bottom w:val="none" w:sz="0" w:space="0" w:color="auto"/>
                <w:right w:val="none" w:sz="0" w:space="0" w:color="auto"/>
              </w:divBdr>
            </w:div>
            <w:div w:id="2009282924">
              <w:marLeft w:val="547"/>
              <w:marRight w:val="0"/>
              <w:marTop w:val="0"/>
              <w:marBottom w:val="0"/>
              <w:divBdr>
                <w:top w:val="none" w:sz="0" w:space="0" w:color="auto"/>
                <w:left w:val="none" w:sz="0" w:space="0" w:color="auto"/>
                <w:bottom w:val="none" w:sz="0" w:space="0" w:color="auto"/>
                <w:right w:val="none" w:sz="0" w:space="0" w:color="auto"/>
              </w:divBdr>
            </w:div>
            <w:div w:id="179588348">
              <w:marLeft w:val="547"/>
              <w:marRight w:val="0"/>
              <w:marTop w:val="0"/>
              <w:marBottom w:val="0"/>
              <w:divBdr>
                <w:top w:val="none" w:sz="0" w:space="0" w:color="auto"/>
                <w:left w:val="none" w:sz="0" w:space="0" w:color="auto"/>
                <w:bottom w:val="none" w:sz="0" w:space="0" w:color="auto"/>
                <w:right w:val="none" w:sz="0" w:space="0" w:color="auto"/>
              </w:divBdr>
            </w:div>
          </w:divsChild>
        </w:div>
        <w:div w:id="2133403866">
          <w:marLeft w:val="0"/>
          <w:marRight w:val="0"/>
          <w:marTop w:val="0"/>
          <w:marBottom w:val="600"/>
          <w:divBdr>
            <w:top w:val="none" w:sz="0" w:space="0" w:color="auto"/>
            <w:left w:val="none" w:sz="0" w:space="0" w:color="auto"/>
            <w:bottom w:val="none" w:sz="0" w:space="0" w:color="auto"/>
            <w:right w:val="none" w:sz="0" w:space="0" w:color="auto"/>
          </w:divBdr>
        </w:div>
      </w:divsChild>
    </w:div>
    <w:div w:id="1453985131">
      <w:marLeft w:val="0"/>
      <w:marRight w:val="0"/>
      <w:marTop w:val="0"/>
      <w:marBottom w:val="0"/>
      <w:divBdr>
        <w:top w:val="none" w:sz="0" w:space="0" w:color="auto"/>
        <w:left w:val="none" w:sz="0" w:space="0" w:color="auto"/>
        <w:bottom w:val="none" w:sz="0" w:space="0" w:color="auto"/>
        <w:right w:val="none" w:sz="0" w:space="0" w:color="auto"/>
      </w:divBdr>
      <w:divsChild>
        <w:div w:id="1097487444">
          <w:marLeft w:val="0"/>
          <w:marRight w:val="0"/>
          <w:marTop w:val="600"/>
          <w:marBottom w:val="0"/>
          <w:divBdr>
            <w:top w:val="none" w:sz="0" w:space="0" w:color="auto"/>
            <w:left w:val="none" w:sz="0" w:space="0" w:color="auto"/>
            <w:bottom w:val="none" w:sz="0" w:space="0" w:color="auto"/>
            <w:right w:val="none" w:sz="0" w:space="0" w:color="auto"/>
          </w:divBdr>
        </w:div>
        <w:div w:id="870802468">
          <w:marLeft w:val="0"/>
          <w:marRight w:val="0"/>
          <w:marTop w:val="0"/>
          <w:marBottom w:val="0"/>
          <w:divBdr>
            <w:top w:val="none" w:sz="0" w:space="0" w:color="auto"/>
            <w:left w:val="none" w:sz="0" w:space="0" w:color="auto"/>
            <w:bottom w:val="none" w:sz="0" w:space="0" w:color="auto"/>
            <w:right w:val="none" w:sz="0" w:space="0" w:color="auto"/>
          </w:divBdr>
        </w:div>
        <w:div w:id="1337072424">
          <w:marLeft w:val="0"/>
          <w:marRight w:val="0"/>
          <w:marTop w:val="0"/>
          <w:marBottom w:val="600"/>
          <w:divBdr>
            <w:top w:val="none" w:sz="0" w:space="0" w:color="auto"/>
            <w:left w:val="none" w:sz="0" w:space="0" w:color="auto"/>
            <w:bottom w:val="none" w:sz="0" w:space="0" w:color="auto"/>
            <w:right w:val="none" w:sz="0" w:space="0" w:color="auto"/>
          </w:divBdr>
        </w:div>
      </w:divsChild>
    </w:div>
    <w:div w:id="1470201503">
      <w:marLeft w:val="0"/>
      <w:marRight w:val="0"/>
      <w:marTop w:val="0"/>
      <w:marBottom w:val="0"/>
      <w:divBdr>
        <w:top w:val="none" w:sz="0" w:space="0" w:color="auto"/>
        <w:left w:val="none" w:sz="0" w:space="0" w:color="auto"/>
        <w:bottom w:val="none" w:sz="0" w:space="0" w:color="auto"/>
        <w:right w:val="none" w:sz="0" w:space="0" w:color="auto"/>
      </w:divBdr>
      <w:divsChild>
        <w:div w:id="1110320524">
          <w:marLeft w:val="0"/>
          <w:marRight w:val="0"/>
          <w:marTop w:val="600"/>
          <w:marBottom w:val="0"/>
          <w:divBdr>
            <w:top w:val="none" w:sz="0" w:space="0" w:color="auto"/>
            <w:left w:val="none" w:sz="0" w:space="0" w:color="auto"/>
            <w:bottom w:val="none" w:sz="0" w:space="0" w:color="auto"/>
            <w:right w:val="none" w:sz="0" w:space="0" w:color="auto"/>
          </w:divBdr>
        </w:div>
        <w:div w:id="1881359976">
          <w:marLeft w:val="0"/>
          <w:marRight w:val="0"/>
          <w:marTop w:val="0"/>
          <w:marBottom w:val="0"/>
          <w:divBdr>
            <w:top w:val="none" w:sz="0" w:space="0" w:color="auto"/>
            <w:left w:val="none" w:sz="0" w:space="0" w:color="auto"/>
            <w:bottom w:val="none" w:sz="0" w:space="0" w:color="auto"/>
            <w:right w:val="none" w:sz="0" w:space="0" w:color="auto"/>
          </w:divBdr>
        </w:div>
        <w:div w:id="637800071">
          <w:marLeft w:val="0"/>
          <w:marRight w:val="0"/>
          <w:marTop w:val="0"/>
          <w:marBottom w:val="600"/>
          <w:divBdr>
            <w:top w:val="none" w:sz="0" w:space="0" w:color="auto"/>
            <w:left w:val="none" w:sz="0" w:space="0" w:color="auto"/>
            <w:bottom w:val="none" w:sz="0" w:space="0" w:color="auto"/>
            <w:right w:val="none" w:sz="0" w:space="0" w:color="auto"/>
          </w:divBdr>
        </w:div>
      </w:divsChild>
    </w:div>
    <w:div w:id="1624077723">
      <w:marLeft w:val="0"/>
      <w:marRight w:val="0"/>
      <w:marTop w:val="0"/>
      <w:marBottom w:val="0"/>
      <w:divBdr>
        <w:top w:val="none" w:sz="0" w:space="0" w:color="auto"/>
        <w:left w:val="none" w:sz="0" w:space="0" w:color="auto"/>
        <w:bottom w:val="none" w:sz="0" w:space="0" w:color="auto"/>
        <w:right w:val="none" w:sz="0" w:space="0" w:color="auto"/>
      </w:divBdr>
      <w:divsChild>
        <w:div w:id="2000235164">
          <w:marLeft w:val="0"/>
          <w:marRight w:val="0"/>
          <w:marTop w:val="600"/>
          <w:marBottom w:val="0"/>
          <w:divBdr>
            <w:top w:val="none" w:sz="0" w:space="0" w:color="auto"/>
            <w:left w:val="none" w:sz="0" w:space="0" w:color="auto"/>
            <w:bottom w:val="none" w:sz="0" w:space="0" w:color="auto"/>
            <w:right w:val="none" w:sz="0" w:space="0" w:color="auto"/>
          </w:divBdr>
        </w:div>
        <w:div w:id="1763455324">
          <w:marLeft w:val="0"/>
          <w:marRight w:val="0"/>
          <w:marTop w:val="0"/>
          <w:marBottom w:val="0"/>
          <w:divBdr>
            <w:top w:val="none" w:sz="0" w:space="0" w:color="auto"/>
            <w:left w:val="none" w:sz="0" w:space="0" w:color="auto"/>
            <w:bottom w:val="none" w:sz="0" w:space="0" w:color="auto"/>
            <w:right w:val="none" w:sz="0" w:space="0" w:color="auto"/>
          </w:divBdr>
          <w:divsChild>
            <w:div w:id="876426830">
              <w:marLeft w:val="547"/>
              <w:marRight w:val="0"/>
              <w:marTop w:val="0"/>
              <w:marBottom w:val="0"/>
              <w:divBdr>
                <w:top w:val="none" w:sz="0" w:space="0" w:color="auto"/>
                <w:left w:val="none" w:sz="0" w:space="0" w:color="auto"/>
                <w:bottom w:val="none" w:sz="0" w:space="0" w:color="auto"/>
                <w:right w:val="none" w:sz="0" w:space="0" w:color="auto"/>
              </w:divBdr>
            </w:div>
            <w:div w:id="1427269534">
              <w:marLeft w:val="547"/>
              <w:marRight w:val="0"/>
              <w:marTop w:val="0"/>
              <w:marBottom w:val="0"/>
              <w:divBdr>
                <w:top w:val="none" w:sz="0" w:space="0" w:color="auto"/>
                <w:left w:val="none" w:sz="0" w:space="0" w:color="auto"/>
                <w:bottom w:val="none" w:sz="0" w:space="0" w:color="auto"/>
                <w:right w:val="none" w:sz="0" w:space="0" w:color="auto"/>
              </w:divBdr>
            </w:div>
            <w:div w:id="1312828866">
              <w:marLeft w:val="547"/>
              <w:marRight w:val="0"/>
              <w:marTop w:val="0"/>
              <w:marBottom w:val="0"/>
              <w:divBdr>
                <w:top w:val="none" w:sz="0" w:space="0" w:color="auto"/>
                <w:left w:val="none" w:sz="0" w:space="0" w:color="auto"/>
                <w:bottom w:val="none" w:sz="0" w:space="0" w:color="auto"/>
                <w:right w:val="none" w:sz="0" w:space="0" w:color="auto"/>
              </w:divBdr>
            </w:div>
            <w:div w:id="1853953497">
              <w:marLeft w:val="547"/>
              <w:marRight w:val="0"/>
              <w:marTop w:val="0"/>
              <w:marBottom w:val="0"/>
              <w:divBdr>
                <w:top w:val="none" w:sz="0" w:space="0" w:color="auto"/>
                <w:left w:val="none" w:sz="0" w:space="0" w:color="auto"/>
                <w:bottom w:val="none" w:sz="0" w:space="0" w:color="auto"/>
                <w:right w:val="none" w:sz="0" w:space="0" w:color="auto"/>
              </w:divBdr>
            </w:div>
            <w:div w:id="816647212">
              <w:marLeft w:val="547"/>
              <w:marRight w:val="0"/>
              <w:marTop w:val="0"/>
              <w:marBottom w:val="0"/>
              <w:divBdr>
                <w:top w:val="none" w:sz="0" w:space="0" w:color="auto"/>
                <w:left w:val="none" w:sz="0" w:space="0" w:color="auto"/>
                <w:bottom w:val="none" w:sz="0" w:space="0" w:color="auto"/>
                <w:right w:val="none" w:sz="0" w:space="0" w:color="auto"/>
              </w:divBdr>
            </w:div>
            <w:div w:id="159124233">
              <w:marLeft w:val="547"/>
              <w:marRight w:val="0"/>
              <w:marTop w:val="0"/>
              <w:marBottom w:val="0"/>
              <w:divBdr>
                <w:top w:val="none" w:sz="0" w:space="0" w:color="auto"/>
                <w:left w:val="none" w:sz="0" w:space="0" w:color="auto"/>
                <w:bottom w:val="none" w:sz="0" w:space="0" w:color="auto"/>
                <w:right w:val="none" w:sz="0" w:space="0" w:color="auto"/>
              </w:divBdr>
            </w:div>
            <w:div w:id="1944460693">
              <w:marLeft w:val="547"/>
              <w:marRight w:val="0"/>
              <w:marTop w:val="0"/>
              <w:marBottom w:val="0"/>
              <w:divBdr>
                <w:top w:val="none" w:sz="0" w:space="0" w:color="auto"/>
                <w:left w:val="none" w:sz="0" w:space="0" w:color="auto"/>
                <w:bottom w:val="none" w:sz="0" w:space="0" w:color="auto"/>
                <w:right w:val="none" w:sz="0" w:space="0" w:color="auto"/>
              </w:divBdr>
            </w:div>
          </w:divsChild>
        </w:div>
        <w:div w:id="612633710">
          <w:marLeft w:val="0"/>
          <w:marRight w:val="0"/>
          <w:marTop w:val="0"/>
          <w:marBottom w:val="600"/>
          <w:divBdr>
            <w:top w:val="none" w:sz="0" w:space="0" w:color="auto"/>
            <w:left w:val="none" w:sz="0" w:space="0" w:color="auto"/>
            <w:bottom w:val="none" w:sz="0" w:space="0" w:color="auto"/>
            <w:right w:val="none" w:sz="0" w:space="0" w:color="auto"/>
          </w:divBdr>
        </w:div>
      </w:divsChild>
    </w:div>
    <w:div w:id="1627005620">
      <w:marLeft w:val="0"/>
      <w:marRight w:val="0"/>
      <w:marTop w:val="0"/>
      <w:marBottom w:val="0"/>
      <w:divBdr>
        <w:top w:val="none" w:sz="0" w:space="0" w:color="auto"/>
        <w:left w:val="none" w:sz="0" w:space="0" w:color="auto"/>
        <w:bottom w:val="none" w:sz="0" w:space="0" w:color="auto"/>
        <w:right w:val="none" w:sz="0" w:space="0" w:color="auto"/>
      </w:divBdr>
      <w:divsChild>
        <w:div w:id="1129009736">
          <w:marLeft w:val="0"/>
          <w:marRight w:val="0"/>
          <w:marTop w:val="600"/>
          <w:marBottom w:val="0"/>
          <w:divBdr>
            <w:top w:val="none" w:sz="0" w:space="0" w:color="auto"/>
            <w:left w:val="none" w:sz="0" w:space="0" w:color="auto"/>
            <w:bottom w:val="none" w:sz="0" w:space="0" w:color="auto"/>
            <w:right w:val="none" w:sz="0" w:space="0" w:color="auto"/>
          </w:divBdr>
        </w:div>
        <w:div w:id="1414740120">
          <w:marLeft w:val="0"/>
          <w:marRight w:val="0"/>
          <w:marTop w:val="0"/>
          <w:marBottom w:val="0"/>
          <w:divBdr>
            <w:top w:val="none" w:sz="0" w:space="0" w:color="auto"/>
            <w:left w:val="none" w:sz="0" w:space="0" w:color="auto"/>
            <w:bottom w:val="none" w:sz="0" w:space="0" w:color="auto"/>
            <w:right w:val="none" w:sz="0" w:space="0" w:color="auto"/>
          </w:divBdr>
          <w:divsChild>
            <w:div w:id="945817658">
              <w:marLeft w:val="547"/>
              <w:marRight w:val="0"/>
              <w:marTop w:val="0"/>
              <w:marBottom w:val="0"/>
              <w:divBdr>
                <w:top w:val="none" w:sz="0" w:space="0" w:color="auto"/>
                <w:left w:val="none" w:sz="0" w:space="0" w:color="auto"/>
                <w:bottom w:val="none" w:sz="0" w:space="0" w:color="auto"/>
                <w:right w:val="none" w:sz="0" w:space="0" w:color="auto"/>
              </w:divBdr>
            </w:div>
            <w:div w:id="674184404">
              <w:marLeft w:val="547"/>
              <w:marRight w:val="0"/>
              <w:marTop w:val="0"/>
              <w:marBottom w:val="0"/>
              <w:divBdr>
                <w:top w:val="none" w:sz="0" w:space="0" w:color="auto"/>
                <w:left w:val="none" w:sz="0" w:space="0" w:color="auto"/>
                <w:bottom w:val="none" w:sz="0" w:space="0" w:color="auto"/>
                <w:right w:val="none" w:sz="0" w:space="0" w:color="auto"/>
              </w:divBdr>
            </w:div>
            <w:div w:id="477453011">
              <w:marLeft w:val="547"/>
              <w:marRight w:val="0"/>
              <w:marTop w:val="0"/>
              <w:marBottom w:val="0"/>
              <w:divBdr>
                <w:top w:val="none" w:sz="0" w:space="0" w:color="auto"/>
                <w:left w:val="none" w:sz="0" w:space="0" w:color="auto"/>
                <w:bottom w:val="none" w:sz="0" w:space="0" w:color="auto"/>
                <w:right w:val="none" w:sz="0" w:space="0" w:color="auto"/>
              </w:divBdr>
            </w:div>
            <w:div w:id="1763841547">
              <w:marLeft w:val="547"/>
              <w:marRight w:val="0"/>
              <w:marTop w:val="0"/>
              <w:marBottom w:val="0"/>
              <w:divBdr>
                <w:top w:val="none" w:sz="0" w:space="0" w:color="auto"/>
                <w:left w:val="none" w:sz="0" w:space="0" w:color="auto"/>
                <w:bottom w:val="none" w:sz="0" w:space="0" w:color="auto"/>
                <w:right w:val="none" w:sz="0" w:space="0" w:color="auto"/>
              </w:divBdr>
            </w:div>
            <w:div w:id="1086347422">
              <w:marLeft w:val="547"/>
              <w:marRight w:val="0"/>
              <w:marTop w:val="0"/>
              <w:marBottom w:val="0"/>
              <w:divBdr>
                <w:top w:val="none" w:sz="0" w:space="0" w:color="auto"/>
                <w:left w:val="none" w:sz="0" w:space="0" w:color="auto"/>
                <w:bottom w:val="none" w:sz="0" w:space="0" w:color="auto"/>
                <w:right w:val="none" w:sz="0" w:space="0" w:color="auto"/>
              </w:divBdr>
            </w:div>
            <w:div w:id="963926702">
              <w:marLeft w:val="547"/>
              <w:marRight w:val="0"/>
              <w:marTop w:val="0"/>
              <w:marBottom w:val="0"/>
              <w:divBdr>
                <w:top w:val="none" w:sz="0" w:space="0" w:color="auto"/>
                <w:left w:val="none" w:sz="0" w:space="0" w:color="auto"/>
                <w:bottom w:val="none" w:sz="0" w:space="0" w:color="auto"/>
                <w:right w:val="none" w:sz="0" w:space="0" w:color="auto"/>
              </w:divBdr>
            </w:div>
            <w:div w:id="1646427110">
              <w:marLeft w:val="547"/>
              <w:marRight w:val="0"/>
              <w:marTop w:val="0"/>
              <w:marBottom w:val="0"/>
              <w:divBdr>
                <w:top w:val="none" w:sz="0" w:space="0" w:color="auto"/>
                <w:left w:val="none" w:sz="0" w:space="0" w:color="auto"/>
                <w:bottom w:val="none" w:sz="0" w:space="0" w:color="auto"/>
                <w:right w:val="none" w:sz="0" w:space="0" w:color="auto"/>
              </w:divBdr>
            </w:div>
            <w:div w:id="1434714169">
              <w:marLeft w:val="547"/>
              <w:marRight w:val="0"/>
              <w:marTop w:val="0"/>
              <w:marBottom w:val="0"/>
              <w:divBdr>
                <w:top w:val="none" w:sz="0" w:space="0" w:color="auto"/>
                <w:left w:val="none" w:sz="0" w:space="0" w:color="auto"/>
                <w:bottom w:val="none" w:sz="0" w:space="0" w:color="auto"/>
                <w:right w:val="none" w:sz="0" w:space="0" w:color="auto"/>
              </w:divBdr>
            </w:div>
            <w:div w:id="2141069460">
              <w:marLeft w:val="547"/>
              <w:marRight w:val="0"/>
              <w:marTop w:val="0"/>
              <w:marBottom w:val="0"/>
              <w:divBdr>
                <w:top w:val="none" w:sz="0" w:space="0" w:color="auto"/>
                <w:left w:val="none" w:sz="0" w:space="0" w:color="auto"/>
                <w:bottom w:val="none" w:sz="0" w:space="0" w:color="auto"/>
                <w:right w:val="none" w:sz="0" w:space="0" w:color="auto"/>
              </w:divBdr>
            </w:div>
          </w:divsChild>
        </w:div>
        <w:div w:id="702244827">
          <w:marLeft w:val="0"/>
          <w:marRight w:val="0"/>
          <w:marTop w:val="0"/>
          <w:marBottom w:val="600"/>
          <w:divBdr>
            <w:top w:val="none" w:sz="0" w:space="0" w:color="auto"/>
            <w:left w:val="none" w:sz="0" w:space="0" w:color="auto"/>
            <w:bottom w:val="none" w:sz="0" w:space="0" w:color="auto"/>
            <w:right w:val="none" w:sz="0" w:space="0" w:color="auto"/>
          </w:divBdr>
        </w:div>
      </w:divsChild>
    </w:div>
    <w:div w:id="1703168936">
      <w:marLeft w:val="0"/>
      <w:marRight w:val="0"/>
      <w:marTop w:val="0"/>
      <w:marBottom w:val="0"/>
      <w:divBdr>
        <w:top w:val="none" w:sz="0" w:space="0" w:color="auto"/>
        <w:left w:val="none" w:sz="0" w:space="0" w:color="auto"/>
        <w:bottom w:val="none" w:sz="0" w:space="0" w:color="auto"/>
        <w:right w:val="none" w:sz="0" w:space="0" w:color="auto"/>
      </w:divBdr>
      <w:divsChild>
        <w:div w:id="1451320542">
          <w:marLeft w:val="0"/>
          <w:marRight w:val="0"/>
          <w:marTop w:val="600"/>
          <w:marBottom w:val="0"/>
          <w:divBdr>
            <w:top w:val="none" w:sz="0" w:space="0" w:color="auto"/>
            <w:left w:val="none" w:sz="0" w:space="0" w:color="auto"/>
            <w:bottom w:val="none" w:sz="0" w:space="0" w:color="auto"/>
            <w:right w:val="none" w:sz="0" w:space="0" w:color="auto"/>
          </w:divBdr>
        </w:div>
        <w:div w:id="34937234">
          <w:marLeft w:val="0"/>
          <w:marRight w:val="0"/>
          <w:marTop w:val="0"/>
          <w:marBottom w:val="0"/>
          <w:divBdr>
            <w:top w:val="none" w:sz="0" w:space="0" w:color="auto"/>
            <w:left w:val="none" w:sz="0" w:space="0" w:color="auto"/>
            <w:bottom w:val="none" w:sz="0" w:space="0" w:color="auto"/>
            <w:right w:val="none" w:sz="0" w:space="0" w:color="auto"/>
          </w:divBdr>
          <w:divsChild>
            <w:div w:id="1192576015">
              <w:marLeft w:val="0"/>
              <w:marRight w:val="0"/>
              <w:marTop w:val="0"/>
              <w:marBottom w:val="0"/>
              <w:divBdr>
                <w:top w:val="none" w:sz="0" w:space="0" w:color="auto"/>
                <w:left w:val="none" w:sz="0" w:space="0" w:color="auto"/>
                <w:bottom w:val="none" w:sz="0" w:space="0" w:color="auto"/>
                <w:right w:val="none" w:sz="0" w:space="0" w:color="auto"/>
              </w:divBdr>
              <w:divsChild>
                <w:div w:id="884291423">
                  <w:marLeft w:val="0"/>
                  <w:marRight w:val="0"/>
                  <w:marTop w:val="0"/>
                  <w:marBottom w:val="0"/>
                  <w:divBdr>
                    <w:top w:val="none" w:sz="0" w:space="0" w:color="auto"/>
                    <w:left w:val="none" w:sz="0" w:space="0" w:color="auto"/>
                    <w:bottom w:val="none" w:sz="0" w:space="0" w:color="auto"/>
                    <w:right w:val="none" w:sz="0" w:space="0" w:color="auto"/>
                  </w:divBdr>
                </w:div>
              </w:divsChild>
            </w:div>
            <w:div w:id="1526676416">
              <w:marLeft w:val="0"/>
              <w:marRight w:val="0"/>
              <w:marTop w:val="0"/>
              <w:marBottom w:val="0"/>
              <w:divBdr>
                <w:top w:val="none" w:sz="0" w:space="0" w:color="auto"/>
                <w:left w:val="none" w:sz="0" w:space="0" w:color="auto"/>
                <w:bottom w:val="none" w:sz="0" w:space="0" w:color="auto"/>
                <w:right w:val="none" w:sz="0" w:space="0" w:color="auto"/>
              </w:divBdr>
              <w:divsChild>
                <w:div w:id="260375087">
                  <w:marLeft w:val="0"/>
                  <w:marRight w:val="0"/>
                  <w:marTop w:val="0"/>
                  <w:marBottom w:val="0"/>
                  <w:divBdr>
                    <w:top w:val="none" w:sz="0" w:space="0" w:color="auto"/>
                    <w:left w:val="none" w:sz="0" w:space="0" w:color="auto"/>
                    <w:bottom w:val="none" w:sz="0" w:space="0" w:color="auto"/>
                    <w:right w:val="none" w:sz="0" w:space="0" w:color="auto"/>
                  </w:divBdr>
                </w:div>
              </w:divsChild>
            </w:div>
            <w:div w:id="720248693">
              <w:marLeft w:val="0"/>
              <w:marRight w:val="0"/>
              <w:marTop w:val="0"/>
              <w:marBottom w:val="0"/>
              <w:divBdr>
                <w:top w:val="none" w:sz="0" w:space="0" w:color="auto"/>
                <w:left w:val="none" w:sz="0" w:space="0" w:color="auto"/>
                <w:bottom w:val="none" w:sz="0" w:space="0" w:color="auto"/>
                <w:right w:val="none" w:sz="0" w:space="0" w:color="auto"/>
              </w:divBdr>
              <w:divsChild>
                <w:div w:id="1385374917">
                  <w:marLeft w:val="0"/>
                  <w:marRight w:val="0"/>
                  <w:marTop w:val="0"/>
                  <w:marBottom w:val="0"/>
                  <w:divBdr>
                    <w:top w:val="none" w:sz="0" w:space="0" w:color="auto"/>
                    <w:left w:val="none" w:sz="0" w:space="0" w:color="auto"/>
                    <w:bottom w:val="none" w:sz="0" w:space="0" w:color="auto"/>
                    <w:right w:val="none" w:sz="0" w:space="0" w:color="auto"/>
                  </w:divBdr>
                </w:div>
              </w:divsChild>
            </w:div>
            <w:div w:id="812066649">
              <w:marLeft w:val="0"/>
              <w:marRight w:val="0"/>
              <w:marTop w:val="0"/>
              <w:marBottom w:val="0"/>
              <w:divBdr>
                <w:top w:val="none" w:sz="0" w:space="0" w:color="auto"/>
                <w:left w:val="none" w:sz="0" w:space="0" w:color="auto"/>
                <w:bottom w:val="none" w:sz="0" w:space="0" w:color="auto"/>
                <w:right w:val="none" w:sz="0" w:space="0" w:color="auto"/>
              </w:divBdr>
              <w:divsChild>
                <w:div w:id="1642615998">
                  <w:marLeft w:val="0"/>
                  <w:marRight w:val="0"/>
                  <w:marTop w:val="0"/>
                  <w:marBottom w:val="0"/>
                  <w:divBdr>
                    <w:top w:val="none" w:sz="0" w:space="0" w:color="auto"/>
                    <w:left w:val="none" w:sz="0" w:space="0" w:color="auto"/>
                    <w:bottom w:val="none" w:sz="0" w:space="0" w:color="auto"/>
                    <w:right w:val="none" w:sz="0" w:space="0" w:color="auto"/>
                  </w:divBdr>
                </w:div>
              </w:divsChild>
            </w:div>
            <w:div w:id="215702640">
              <w:marLeft w:val="0"/>
              <w:marRight w:val="0"/>
              <w:marTop w:val="0"/>
              <w:marBottom w:val="0"/>
              <w:divBdr>
                <w:top w:val="none" w:sz="0" w:space="0" w:color="auto"/>
                <w:left w:val="none" w:sz="0" w:space="0" w:color="auto"/>
                <w:bottom w:val="none" w:sz="0" w:space="0" w:color="auto"/>
                <w:right w:val="none" w:sz="0" w:space="0" w:color="auto"/>
              </w:divBdr>
              <w:divsChild>
                <w:div w:id="135100508">
                  <w:marLeft w:val="0"/>
                  <w:marRight w:val="0"/>
                  <w:marTop w:val="0"/>
                  <w:marBottom w:val="0"/>
                  <w:divBdr>
                    <w:top w:val="none" w:sz="0" w:space="0" w:color="auto"/>
                    <w:left w:val="none" w:sz="0" w:space="0" w:color="auto"/>
                    <w:bottom w:val="none" w:sz="0" w:space="0" w:color="auto"/>
                    <w:right w:val="none" w:sz="0" w:space="0" w:color="auto"/>
                  </w:divBdr>
                </w:div>
              </w:divsChild>
            </w:div>
            <w:div w:id="500051295">
              <w:marLeft w:val="0"/>
              <w:marRight w:val="0"/>
              <w:marTop w:val="0"/>
              <w:marBottom w:val="0"/>
              <w:divBdr>
                <w:top w:val="none" w:sz="0" w:space="0" w:color="auto"/>
                <w:left w:val="none" w:sz="0" w:space="0" w:color="auto"/>
                <w:bottom w:val="none" w:sz="0" w:space="0" w:color="auto"/>
                <w:right w:val="none" w:sz="0" w:space="0" w:color="auto"/>
              </w:divBdr>
              <w:divsChild>
                <w:div w:id="1190679538">
                  <w:marLeft w:val="0"/>
                  <w:marRight w:val="0"/>
                  <w:marTop w:val="0"/>
                  <w:marBottom w:val="0"/>
                  <w:divBdr>
                    <w:top w:val="none" w:sz="0" w:space="0" w:color="auto"/>
                    <w:left w:val="none" w:sz="0" w:space="0" w:color="auto"/>
                    <w:bottom w:val="none" w:sz="0" w:space="0" w:color="auto"/>
                    <w:right w:val="none" w:sz="0" w:space="0" w:color="auto"/>
                  </w:divBdr>
                </w:div>
              </w:divsChild>
            </w:div>
            <w:div w:id="1154419899">
              <w:marLeft w:val="0"/>
              <w:marRight w:val="0"/>
              <w:marTop w:val="0"/>
              <w:marBottom w:val="0"/>
              <w:divBdr>
                <w:top w:val="none" w:sz="0" w:space="0" w:color="auto"/>
                <w:left w:val="none" w:sz="0" w:space="0" w:color="auto"/>
                <w:bottom w:val="none" w:sz="0" w:space="0" w:color="auto"/>
                <w:right w:val="none" w:sz="0" w:space="0" w:color="auto"/>
              </w:divBdr>
              <w:divsChild>
                <w:div w:id="1025206214">
                  <w:marLeft w:val="0"/>
                  <w:marRight w:val="0"/>
                  <w:marTop w:val="0"/>
                  <w:marBottom w:val="0"/>
                  <w:divBdr>
                    <w:top w:val="none" w:sz="0" w:space="0" w:color="auto"/>
                    <w:left w:val="none" w:sz="0" w:space="0" w:color="auto"/>
                    <w:bottom w:val="none" w:sz="0" w:space="0" w:color="auto"/>
                    <w:right w:val="none" w:sz="0" w:space="0" w:color="auto"/>
                  </w:divBdr>
                </w:div>
              </w:divsChild>
            </w:div>
            <w:div w:id="1466434562">
              <w:marLeft w:val="0"/>
              <w:marRight w:val="0"/>
              <w:marTop w:val="0"/>
              <w:marBottom w:val="0"/>
              <w:divBdr>
                <w:top w:val="none" w:sz="0" w:space="0" w:color="auto"/>
                <w:left w:val="none" w:sz="0" w:space="0" w:color="auto"/>
                <w:bottom w:val="none" w:sz="0" w:space="0" w:color="auto"/>
                <w:right w:val="none" w:sz="0" w:space="0" w:color="auto"/>
              </w:divBdr>
              <w:divsChild>
                <w:div w:id="1513908580">
                  <w:marLeft w:val="0"/>
                  <w:marRight w:val="0"/>
                  <w:marTop w:val="0"/>
                  <w:marBottom w:val="0"/>
                  <w:divBdr>
                    <w:top w:val="none" w:sz="0" w:space="0" w:color="auto"/>
                    <w:left w:val="none" w:sz="0" w:space="0" w:color="auto"/>
                    <w:bottom w:val="none" w:sz="0" w:space="0" w:color="auto"/>
                    <w:right w:val="none" w:sz="0" w:space="0" w:color="auto"/>
                  </w:divBdr>
                </w:div>
              </w:divsChild>
            </w:div>
            <w:div w:id="795678792">
              <w:marLeft w:val="0"/>
              <w:marRight w:val="0"/>
              <w:marTop w:val="0"/>
              <w:marBottom w:val="0"/>
              <w:divBdr>
                <w:top w:val="none" w:sz="0" w:space="0" w:color="auto"/>
                <w:left w:val="none" w:sz="0" w:space="0" w:color="auto"/>
                <w:bottom w:val="none" w:sz="0" w:space="0" w:color="auto"/>
                <w:right w:val="none" w:sz="0" w:space="0" w:color="auto"/>
              </w:divBdr>
              <w:divsChild>
                <w:div w:id="1329866132">
                  <w:marLeft w:val="0"/>
                  <w:marRight w:val="0"/>
                  <w:marTop w:val="0"/>
                  <w:marBottom w:val="0"/>
                  <w:divBdr>
                    <w:top w:val="none" w:sz="0" w:space="0" w:color="auto"/>
                    <w:left w:val="none" w:sz="0" w:space="0" w:color="auto"/>
                    <w:bottom w:val="none" w:sz="0" w:space="0" w:color="auto"/>
                    <w:right w:val="none" w:sz="0" w:space="0" w:color="auto"/>
                  </w:divBdr>
                </w:div>
              </w:divsChild>
            </w:div>
            <w:div w:id="875462551">
              <w:marLeft w:val="0"/>
              <w:marRight w:val="0"/>
              <w:marTop w:val="0"/>
              <w:marBottom w:val="0"/>
              <w:divBdr>
                <w:top w:val="none" w:sz="0" w:space="0" w:color="auto"/>
                <w:left w:val="none" w:sz="0" w:space="0" w:color="auto"/>
                <w:bottom w:val="none" w:sz="0" w:space="0" w:color="auto"/>
                <w:right w:val="none" w:sz="0" w:space="0" w:color="auto"/>
              </w:divBdr>
              <w:divsChild>
                <w:div w:id="542865054">
                  <w:marLeft w:val="0"/>
                  <w:marRight w:val="0"/>
                  <w:marTop w:val="0"/>
                  <w:marBottom w:val="0"/>
                  <w:divBdr>
                    <w:top w:val="none" w:sz="0" w:space="0" w:color="auto"/>
                    <w:left w:val="none" w:sz="0" w:space="0" w:color="auto"/>
                    <w:bottom w:val="none" w:sz="0" w:space="0" w:color="auto"/>
                    <w:right w:val="none" w:sz="0" w:space="0" w:color="auto"/>
                  </w:divBdr>
                </w:div>
              </w:divsChild>
            </w:div>
            <w:div w:id="1785882848">
              <w:marLeft w:val="0"/>
              <w:marRight w:val="0"/>
              <w:marTop w:val="0"/>
              <w:marBottom w:val="0"/>
              <w:divBdr>
                <w:top w:val="none" w:sz="0" w:space="0" w:color="auto"/>
                <w:left w:val="none" w:sz="0" w:space="0" w:color="auto"/>
                <w:bottom w:val="none" w:sz="0" w:space="0" w:color="auto"/>
                <w:right w:val="none" w:sz="0" w:space="0" w:color="auto"/>
              </w:divBdr>
              <w:divsChild>
                <w:div w:id="1745106073">
                  <w:marLeft w:val="0"/>
                  <w:marRight w:val="0"/>
                  <w:marTop w:val="0"/>
                  <w:marBottom w:val="0"/>
                  <w:divBdr>
                    <w:top w:val="none" w:sz="0" w:space="0" w:color="auto"/>
                    <w:left w:val="none" w:sz="0" w:space="0" w:color="auto"/>
                    <w:bottom w:val="none" w:sz="0" w:space="0" w:color="auto"/>
                    <w:right w:val="none" w:sz="0" w:space="0" w:color="auto"/>
                  </w:divBdr>
                </w:div>
              </w:divsChild>
            </w:div>
            <w:div w:id="1381591866">
              <w:marLeft w:val="0"/>
              <w:marRight w:val="0"/>
              <w:marTop w:val="0"/>
              <w:marBottom w:val="0"/>
              <w:divBdr>
                <w:top w:val="none" w:sz="0" w:space="0" w:color="auto"/>
                <w:left w:val="none" w:sz="0" w:space="0" w:color="auto"/>
                <w:bottom w:val="none" w:sz="0" w:space="0" w:color="auto"/>
                <w:right w:val="none" w:sz="0" w:space="0" w:color="auto"/>
              </w:divBdr>
              <w:divsChild>
                <w:div w:id="29304273">
                  <w:marLeft w:val="0"/>
                  <w:marRight w:val="0"/>
                  <w:marTop w:val="0"/>
                  <w:marBottom w:val="0"/>
                  <w:divBdr>
                    <w:top w:val="none" w:sz="0" w:space="0" w:color="auto"/>
                    <w:left w:val="none" w:sz="0" w:space="0" w:color="auto"/>
                    <w:bottom w:val="none" w:sz="0" w:space="0" w:color="auto"/>
                    <w:right w:val="none" w:sz="0" w:space="0" w:color="auto"/>
                  </w:divBdr>
                </w:div>
              </w:divsChild>
            </w:div>
            <w:div w:id="210307167">
              <w:marLeft w:val="0"/>
              <w:marRight w:val="0"/>
              <w:marTop w:val="0"/>
              <w:marBottom w:val="0"/>
              <w:divBdr>
                <w:top w:val="none" w:sz="0" w:space="0" w:color="auto"/>
                <w:left w:val="none" w:sz="0" w:space="0" w:color="auto"/>
                <w:bottom w:val="none" w:sz="0" w:space="0" w:color="auto"/>
                <w:right w:val="none" w:sz="0" w:space="0" w:color="auto"/>
              </w:divBdr>
              <w:divsChild>
                <w:div w:id="69981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7673">
          <w:marLeft w:val="0"/>
          <w:marRight w:val="0"/>
          <w:marTop w:val="0"/>
          <w:marBottom w:val="600"/>
          <w:divBdr>
            <w:top w:val="none" w:sz="0" w:space="0" w:color="auto"/>
            <w:left w:val="none" w:sz="0" w:space="0" w:color="auto"/>
            <w:bottom w:val="none" w:sz="0" w:space="0" w:color="auto"/>
            <w:right w:val="none" w:sz="0" w:space="0" w:color="auto"/>
          </w:divBdr>
        </w:div>
      </w:divsChild>
    </w:div>
    <w:div w:id="1708406680">
      <w:marLeft w:val="0"/>
      <w:marRight w:val="0"/>
      <w:marTop w:val="0"/>
      <w:marBottom w:val="0"/>
      <w:divBdr>
        <w:top w:val="none" w:sz="0" w:space="0" w:color="auto"/>
        <w:left w:val="none" w:sz="0" w:space="0" w:color="auto"/>
        <w:bottom w:val="none" w:sz="0" w:space="0" w:color="auto"/>
        <w:right w:val="none" w:sz="0" w:space="0" w:color="auto"/>
      </w:divBdr>
      <w:divsChild>
        <w:div w:id="1104226295">
          <w:marLeft w:val="0"/>
          <w:marRight w:val="0"/>
          <w:marTop w:val="600"/>
          <w:marBottom w:val="0"/>
          <w:divBdr>
            <w:top w:val="none" w:sz="0" w:space="0" w:color="auto"/>
            <w:left w:val="none" w:sz="0" w:space="0" w:color="auto"/>
            <w:bottom w:val="none" w:sz="0" w:space="0" w:color="auto"/>
            <w:right w:val="none" w:sz="0" w:space="0" w:color="auto"/>
          </w:divBdr>
        </w:div>
        <w:div w:id="804009867">
          <w:marLeft w:val="0"/>
          <w:marRight w:val="0"/>
          <w:marTop w:val="0"/>
          <w:marBottom w:val="0"/>
          <w:divBdr>
            <w:top w:val="none" w:sz="0" w:space="0" w:color="auto"/>
            <w:left w:val="none" w:sz="0" w:space="0" w:color="auto"/>
            <w:bottom w:val="none" w:sz="0" w:space="0" w:color="auto"/>
            <w:right w:val="none" w:sz="0" w:space="0" w:color="auto"/>
          </w:divBdr>
          <w:divsChild>
            <w:div w:id="812406912">
              <w:marLeft w:val="547"/>
              <w:marRight w:val="0"/>
              <w:marTop w:val="0"/>
              <w:marBottom w:val="0"/>
              <w:divBdr>
                <w:top w:val="none" w:sz="0" w:space="0" w:color="auto"/>
                <w:left w:val="none" w:sz="0" w:space="0" w:color="auto"/>
                <w:bottom w:val="none" w:sz="0" w:space="0" w:color="auto"/>
                <w:right w:val="none" w:sz="0" w:space="0" w:color="auto"/>
              </w:divBdr>
            </w:div>
            <w:div w:id="1447237492">
              <w:marLeft w:val="547"/>
              <w:marRight w:val="0"/>
              <w:marTop w:val="0"/>
              <w:marBottom w:val="0"/>
              <w:divBdr>
                <w:top w:val="none" w:sz="0" w:space="0" w:color="auto"/>
                <w:left w:val="none" w:sz="0" w:space="0" w:color="auto"/>
                <w:bottom w:val="none" w:sz="0" w:space="0" w:color="auto"/>
                <w:right w:val="none" w:sz="0" w:space="0" w:color="auto"/>
              </w:divBdr>
            </w:div>
            <w:div w:id="1427068390">
              <w:marLeft w:val="547"/>
              <w:marRight w:val="0"/>
              <w:marTop w:val="0"/>
              <w:marBottom w:val="0"/>
              <w:divBdr>
                <w:top w:val="none" w:sz="0" w:space="0" w:color="auto"/>
                <w:left w:val="none" w:sz="0" w:space="0" w:color="auto"/>
                <w:bottom w:val="none" w:sz="0" w:space="0" w:color="auto"/>
                <w:right w:val="none" w:sz="0" w:space="0" w:color="auto"/>
              </w:divBdr>
            </w:div>
            <w:div w:id="2131510963">
              <w:marLeft w:val="547"/>
              <w:marRight w:val="0"/>
              <w:marTop w:val="0"/>
              <w:marBottom w:val="0"/>
              <w:divBdr>
                <w:top w:val="none" w:sz="0" w:space="0" w:color="auto"/>
                <w:left w:val="none" w:sz="0" w:space="0" w:color="auto"/>
                <w:bottom w:val="none" w:sz="0" w:space="0" w:color="auto"/>
                <w:right w:val="none" w:sz="0" w:space="0" w:color="auto"/>
              </w:divBdr>
            </w:div>
            <w:div w:id="1438676728">
              <w:marLeft w:val="547"/>
              <w:marRight w:val="0"/>
              <w:marTop w:val="0"/>
              <w:marBottom w:val="0"/>
              <w:divBdr>
                <w:top w:val="none" w:sz="0" w:space="0" w:color="auto"/>
                <w:left w:val="none" w:sz="0" w:space="0" w:color="auto"/>
                <w:bottom w:val="none" w:sz="0" w:space="0" w:color="auto"/>
                <w:right w:val="none" w:sz="0" w:space="0" w:color="auto"/>
              </w:divBdr>
            </w:div>
          </w:divsChild>
        </w:div>
        <w:div w:id="1571185847">
          <w:marLeft w:val="0"/>
          <w:marRight w:val="0"/>
          <w:marTop w:val="0"/>
          <w:marBottom w:val="600"/>
          <w:divBdr>
            <w:top w:val="none" w:sz="0" w:space="0" w:color="auto"/>
            <w:left w:val="none" w:sz="0" w:space="0" w:color="auto"/>
            <w:bottom w:val="none" w:sz="0" w:space="0" w:color="auto"/>
            <w:right w:val="none" w:sz="0" w:space="0" w:color="auto"/>
          </w:divBdr>
        </w:div>
      </w:divsChild>
    </w:div>
    <w:div w:id="1709604571">
      <w:marLeft w:val="0"/>
      <w:marRight w:val="0"/>
      <w:marTop w:val="0"/>
      <w:marBottom w:val="0"/>
      <w:divBdr>
        <w:top w:val="none" w:sz="0" w:space="0" w:color="auto"/>
        <w:left w:val="none" w:sz="0" w:space="0" w:color="auto"/>
        <w:bottom w:val="none" w:sz="0" w:space="0" w:color="auto"/>
        <w:right w:val="none" w:sz="0" w:space="0" w:color="auto"/>
      </w:divBdr>
      <w:divsChild>
        <w:div w:id="973943465">
          <w:marLeft w:val="0"/>
          <w:marRight w:val="0"/>
          <w:marTop w:val="600"/>
          <w:marBottom w:val="0"/>
          <w:divBdr>
            <w:top w:val="none" w:sz="0" w:space="0" w:color="auto"/>
            <w:left w:val="none" w:sz="0" w:space="0" w:color="auto"/>
            <w:bottom w:val="none" w:sz="0" w:space="0" w:color="auto"/>
            <w:right w:val="none" w:sz="0" w:space="0" w:color="auto"/>
          </w:divBdr>
        </w:div>
        <w:div w:id="482430779">
          <w:marLeft w:val="0"/>
          <w:marRight w:val="0"/>
          <w:marTop w:val="0"/>
          <w:marBottom w:val="0"/>
          <w:divBdr>
            <w:top w:val="none" w:sz="0" w:space="0" w:color="auto"/>
            <w:left w:val="none" w:sz="0" w:space="0" w:color="auto"/>
            <w:bottom w:val="none" w:sz="0" w:space="0" w:color="auto"/>
            <w:right w:val="none" w:sz="0" w:space="0" w:color="auto"/>
          </w:divBdr>
        </w:div>
        <w:div w:id="437263635">
          <w:marLeft w:val="0"/>
          <w:marRight w:val="0"/>
          <w:marTop w:val="0"/>
          <w:marBottom w:val="600"/>
          <w:divBdr>
            <w:top w:val="none" w:sz="0" w:space="0" w:color="auto"/>
            <w:left w:val="none" w:sz="0" w:space="0" w:color="auto"/>
            <w:bottom w:val="none" w:sz="0" w:space="0" w:color="auto"/>
            <w:right w:val="none" w:sz="0" w:space="0" w:color="auto"/>
          </w:divBdr>
        </w:div>
      </w:divsChild>
    </w:div>
    <w:div w:id="1715471125">
      <w:marLeft w:val="0"/>
      <w:marRight w:val="0"/>
      <w:marTop w:val="0"/>
      <w:marBottom w:val="0"/>
      <w:divBdr>
        <w:top w:val="none" w:sz="0" w:space="0" w:color="auto"/>
        <w:left w:val="none" w:sz="0" w:space="0" w:color="auto"/>
        <w:bottom w:val="none" w:sz="0" w:space="0" w:color="auto"/>
        <w:right w:val="none" w:sz="0" w:space="0" w:color="auto"/>
      </w:divBdr>
      <w:divsChild>
        <w:div w:id="332149736">
          <w:marLeft w:val="0"/>
          <w:marRight w:val="0"/>
          <w:marTop w:val="600"/>
          <w:marBottom w:val="0"/>
          <w:divBdr>
            <w:top w:val="none" w:sz="0" w:space="0" w:color="auto"/>
            <w:left w:val="none" w:sz="0" w:space="0" w:color="auto"/>
            <w:bottom w:val="none" w:sz="0" w:space="0" w:color="auto"/>
            <w:right w:val="none" w:sz="0" w:space="0" w:color="auto"/>
          </w:divBdr>
        </w:div>
        <w:div w:id="1444305891">
          <w:marLeft w:val="0"/>
          <w:marRight w:val="0"/>
          <w:marTop w:val="0"/>
          <w:marBottom w:val="0"/>
          <w:divBdr>
            <w:top w:val="none" w:sz="0" w:space="0" w:color="auto"/>
            <w:left w:val="none" w:sz="0" w:space="0" w:color="auto"/>
            <w:bottom w:val="none" w:sz="0" w:space="0" w:color="auto"/>
            <w:right w:val="none" w:sz="0" w:space="0" w:color="auto"/>
          </w:divBdr>
        </w:div>
        <w:div w:id="1060249161">
          <w:marLeft w:val="0"/>
          <w:marRight w:val="0"/>
          <w:marTop w:val="0"/>
          <w:marBottom w:val="600"/>
          <w:divBdr>
            <w:top w:val="none" w:sz="0" w:space="0" w:color="auto"/>
            <w:left w:val="none" w:sz="0" w:space="0" w:color="auto"/>
            <w:bottom w:val="none" w:sz="0" w:space="0" w:color="auto"/>
            <w:right w:val="none" w:sz="0" w:space="0" w:color="auto"/>
          </w:divBdr>
        </w:div>
      </w:divsChild>
    </w:div>
    <w:div w:id="1777947389">
      <w:marLeft w:val="0"/>
      <w:marRight w:val="0"/>
      <w:marTop w:val="0"/>
      <w:marBottom w:val="0"/>
      <w:divBdr>
        <w:top w:val="none" w:sz="0" w:space="0" w:color="auto"/>
        <w:left w:val="none" w:sz="0" w:space="0" w:color="auto"/>
        <w:bottom w:val="none" w:sz="0" w:space="0" w:color="auto"/>
        <w:right w:val="none" w:sz="0" w:space="0" w:color="auto"/>
      </w:divBdr>
      <w:divsChild>
        <w:div w:id="565652141">
          <w:marLeft w:val="0"/>
          <w:marRight w:val="0"/>
          <w:marTop w:val="600"/>
          <w:marBottom w:val="0"/>
          <w:divBdr>
            <w:top w:val="none" w:sz="0" w:space="0" w:color="auto"/>
            <w:left w:val="none" w:sz="0" w:space="0" w:color="auto"/>
            <w:bottom w:val="none" w:sz="0" w:space="0" w:color="auto"/>
            <w:right w:val="none" w:sz="0" w:space="0" w:color="auto"/>
          </w:divBdr>
        </w:div>
        <w:div w:id="1600218334">
          <w:marLeft w:val="0"/>
          <w:marRight w:val="0"/>
          <w:marTop w:val="0"/>
          <w:marBottom w:val="0"/>
          <w:divBdr>
            <w:top w:val="none" w:sz="0" w:space="0" w:color="auto"/>
            <w:left w:val="none" w:sz="0" w:space="0" w:color="auto"/>
            <w:bottom w:val="none" w:sz="0" w:space="0" w:color="auto"/>
            <w:right w:val="none" w:sz="0" w:space="0" w:color="auto"/>
          </w:divBdr>
          <w:divsChild>
            <w:div w:id="818035518">
              <w:marLeft w:val="547"/>
              <w:marRight w:val="0"/>
              <w:marTop w:val="0"/>
              <w:marBottom w:val="0"/>
              <w:divBdr>
                <w:top w:val="none" w:sz="0" w:space="0" w:color="auto"/>
                <w:left w:val="none" w:sz="0" w:space="0" w:color="auto"/>
                <w:bottom w:val="none" w:sz="0" w:space="0" w:color="auto"/>
                <w:right w:val="none" w:sz="0" w:space="0" w:color="auto"/>
              </w:divBdr>
            </w:div>
          </w:divsChild>
        </w:div>
        <w:div w:id="860511251">
          <w:marLeft w:val="0"/>
          <w:marRight w:val="0"/>
          <w:marTop w:val="0"/>
          <w:marBottom w:val="600"/>
          <w:divBdr>
            <w:top w:val="none" w:sz="0" w:space="0" w:color="auto"/>
            <w:left w:val="none" w:sz="0" w:space="0" w:color="auto"/>
            <w:bottom w:val="none" w:sz="0" w:space="0" w:color="auto"/>
            <w:right w:val="none" w:sz="0" w:space="0" w:color="auto"/>
          </w:divBdr>
        </w:div>
      </w:divsChild>
    </w:div>
    <w:div w:id="1779182443">
      <w:marLeft w:val="0"/>
      <w:marRight w:val="0"/>
      <w:marTop w:val="0"/>
      <w:marBottom w:val="0"/>
      <w:divBdr>
        <w:top w:val="none" w:sz="0" w:space="0" w:color="auto"/>
        <w:left w:val="none" w:sz="0" w:space="0" w:color="auto"/>
        <w:bottom w:val="none" w:sz="0" w:space="0" w:color="auto"/>
        <w:right w:val="none" w:sz="0" w:space="0" w:color="auto"/>
      </w:divBdr>
      <w:divsChild>
        <w:div w:id="1176262717">
          <w:marLeft w:val="0"/>
          <w:marRight w:val="0"/>
          <w:marTop w:val="600"/>
          <w:marBottom w:val="0"/>
          <w:divBdr>
            <w:top w:val="none" w:sz="0" w:space="0" w:color="auto"/>
            <w:left w:val="none" w:sz="0" w:space="0" w:color="auto"/>
            <w:bottom w:val="none" w:sz="0" w:space="0" w:color="auto"/>
            <w:right w:val="none" w:sz="0" w:space="0" w:color="auto"/>
          </w:divBdr>
        </w:div>
        <w:div w:id="1154638211">
          <w:marLeft w:val="0"/>
          <w:marRight w:val="0"/>
          <w:marTop w:val="0"/>
          <w:marBottom w:val="0"/>
          <w:divBdr>
            <w:top w:val="none" w:sz="0" w:space="0" w:color="auto"/>
            <w:left w:val="none" w:sz="0" w:space="0" w:color="auto"/>
            <w:bottom w:val="none" w:sz="0" w:space="0" w:color="auto"/>
            <w:right w:val="none" w:sz="0" w:space="0" w:color="auto"/>
          </w:divBdr>
        </w:div>
        <w:div w:id="258606894">
          <w:marLeft w:val="0"/>
          <w:marRight w:val="0"/>
          <w:marTop w:val="0"/>
          <w:marBottom w:val="600"/>
          <w:divBdr>
            <w:top w:val="none" w:sz="0" w:space="0" w:color="auto"/>
            <w:left w:val="none" w:sz="0" w:space="0" w:color="auto"/>
            <w:bottom w:val="none" w:sz="0" w:space="0" w:color="auto"/>
            <w:right w:val="none" w:sz="0" w:space="0" w:color="auto"/>
          </w:divBdr>
        </w:div>
      </w:divsChild>
    </w:div>
    <w:div w:id="1796292281">
      <w:marLeft w:val="0"/>
      <w:marRight w:val="0"/>
      <w:marTop w:val="0"/>
      <w:marBottom w:val="0"/>
      <w:divBdr>
        <w:top w:val="none" w:sz="0" w:space="0" w:color="auto"/>
        <w:left w:val="none" w:sz="0" w:space="0" w:color="auto"/>
        <w:bottom w:val="none" w:sz="0" w:space="0" w:color="auto"/>
        <w:right w:val="none" w:sz="0" w:space="0" w:color="auto"/>
      </w:divBdr>
      <w:divsChild>
        <w:div w:id="1662925113">
          <w:marLeft w:val="0"/>
          <w:marRight w:val="0"/>
          <w:marTop w:val="600"/>
          <w:marBottom w:val="0"/>
          <w:divBdr>
            <w:top w:val="none" w:sz="0" w:space="0" w:color="auto"/>
            <w:left w:val="none" w:sz="0" w:space="0" w:color="auto"/>
            <w:bottom w:val="none" w:sz="0" w:space="0" w:color="auto"/>
            <w:right w:val="none" w:sz="0" w:space="0" w:color="auto"/>
          </w:divBdr>
        </w:div>
        <w:div w:id="1245336403">
          <w:marLeft w:val="0"/>
          <w:marRight w:val="0"/>
          <w:marTop w:val="0"/>
          <w:marBottom w:val="0"/>
          <w:divBdr>
            <w:top w:val="none" w:sz="0" w:space="0" w:color="auto"/>
            <w:left w:val="none" w:sz="0" w:space="0" w:color="auto"/>
            <w:bottom w:val="none" w:sz="0" w:space="0" w:color="auto"/>
            <w:right w:val="none" w:sz="0" w:space="0" w:color="auto"/>
          </w:divBdr>
        </w:div>
        <w:div w:id="907417007">
          <w:marLeft w:val="0"/>
          <w:marRight w:val="0"/>
          <w:marTop w:val="0"/>
          <w:marBottom w:val="600"/>
          <w:divBdr>
            <w:top w:val="none" w:sz="0" w:space="0" w:color="auto"/>
            <w:left w:val="none" w:sz="0" w:space="0" w:color="auto"/>
            <w:bottom w:val="none" w:sz="0" w:space="0" w:color="auto"/>
            <w:right w:val="none" w:sz="0" w:space="0" w:color="auto"/>
          </w:divBdr>
        </w:div>
      </w:divsChild>
    </w:div>
    <w:div w:id="1921940897">
      <w:marLeft w:val="0"/>
      <w:marRight w:val="0"/>
      <w:marTop w:val="0"/>
      <w:marBottom w:val="0"/>
      <w:divBdr>
        <w:top w:val="none" w:sz="0" w:space="0" w:color="auto"/>
        <w:left w:val="none" w:sz="0" w:space="0" w:color="auto"/>
        <w:bottom w:val="none" w:sz="0" w:space="0" w:color="auto"/>
        <w:right w:val="none" w:sz="0" w:space="0" w:color="auto"/>
      </w:divBdr>
      <w:divsChild>
        <w:div w:id="80564576">
          <w:marLeft w:val="0"/>
          <w:marRight w:val="0"/>
          <w:marTop w:val="600"/>
          <w:marBottom w:val="0"/>
          <w:divBdr>
            <w:top w:val="none" w:sz="0" w:space="0" w:color="auto"/>
            <w:left w:val="none" w:sz="0" w:space="0" w:color="auto"/>
            <w:bottom w:val="none" w:sz="0" w:space="0" w:color="auto"/>
            <w:right w:val="none" w:sz="0" w:space="0" w:color="auto"/>
          </w:divBdr>
        </w:div>
        <w:div w:id="2119130952">
          <w:marLeft w:val="0"/>
          <w:marRight w:val="0"/>
          <w:marTop w:val="0"/>
          <w:marBottom w:val="0"/>
          <w:divBdr>
            <w:top w:val="none" w:sz="0" w:space="0" w:color="auto"/>
            <w:left w:val="none" w:sz="0" w:space="0" w:color="auto"/>
            <w:bottom w:val="none" w:sz="0" w:space="0" w:color="auto"/>
            <w:right w:val="none" w:sz="0" w:space="0" w:color="auto"/>
          </w:divBdr>
        </w:div>
        <w:div w:id="1954550638">
          <w:marLeft w:val="0"/>
          <w:marRight w:val="0"/>
          <w:marTop w:val="0"/>
          <w:marBottom w:val="600"/>
          <w:divBdr>
            <w:top w:val="none" w:sz="0" w:space="0" w:color="auto"/>
            <w:left w:val="none" w:sz="0" w:space="0" w:color="auto"/>
            <w:bottom w:val="none" w:sz="0" w:space="0" w:color="auto"/>
            <w:right w:val="none" w:sz="0" w:space="0" w:color="auto"/>
          </w:divBdr>
        </w:div>
      </w:divsChild>
    </w:div>
    <w:div w:id="1933706184">
      <w:marLeft w:val="0"/>
      <w:marRight w:val="0"/>
      <w:marTop w:val="0"/>
      <w:marBottom w:val="0"/>
      <w:divBdr>
        <w:top w:val="none" w:sz="0" w:space="0" w:color="auto"/>
        <w:left w:val="none" w:sz="0" w:space="0" w:color="auto"/>
        <w:bottom w:val="none" w:sz="0" w:space="0" w:color="auto"/>
        <w:right w:val="none" w:sz="0" w:space="0" w:color="auto"/>
      </w:divBdr>
      <w:divsChild>
        <w:div w:id="538475085">
          <w:marLeft w:val="0"/>
          <w:marRight w:val="0"/>
          <w:marTop w:val="600"/>
          <w:marBottom w:val="0"/>
          <w:divBdr>
            <w:top w:val="none" w:sz="0" w:space="0" w:color="auto"/>
            <w:left w:val="none" w:sz="0" w:space="0" w:color="auto"/>
            <w:bottom w:val="none" w:sz="0" w:space="0" w:color="auto"/>
            <w:right w:val="none" w:sz="0" w:space="0" w:color="auto"/>
          </w:divBdr>
        </w:div>
        <w:div w:id="2103986143">
          <w:marLeft w:val="0"/>
          <w:marRight w:val="0"/>
          <w:marTop w:val="0"/>
          <w:marBottom w:val="0"/>
          <w:divBdr>
            <w:top w:val="none" w:sz="0" w:space="0" w:color="auto"/>
            <w:left w:val="none" w:sz="0" w:space="0" w:color="auto"/>
            <w:bottom w:val="none" w:sz="0" w:space="0" w:color="auto"/>
            <w:right w:val="none" w:sz="0" w:space="0" w:color="auto"/>
          </w:divBdr>
          <w:divsChild>
            <w:div w:id="2097893">
              <w:marLeft w:val="547"/>
              <w:marRight w:val="0"/>
              <w:marTop w:val="0"/>
              <w:marBottom w:val="0"/>
              <w:divBdr>
                <w:top w:val="none" w:sz="0" w:space="0" w:color="auto"/>
                <w:left w:val="none" w:sz="0" w:space="0" w:color="auto"/>
                <w:bottom w:val="none" w:sz="0" w:space="0" w:color="auto"/>
                <w:right w:val="none" w:sz="0" w:space="0" w:color="auto"/>
              </w:divBdr>
            </w:div>
            <w:div w:id="94063712">
              <w:marLeft w:val="547"/>
              <w:marRight w:val="0"/>
              <w:marTop w:val="0"/>
              <w:marBottom w:val="0"/>
              <w:divBdr>
                <w:top w:val="none" w:sz="0" w:space="0" w:color="auto"/>
                <w:left w:val="none" w:sz="0" w:space="0" w:color="auto"/>
                <w:bottom w:val="none" w:sz="0" w:space="0" w:color="auto"/>
                <w:right w:val="none" w:sz="0" w:space="0" w:color="auto"/>
              </w:divBdr>
            </w:div>
            <w:div w:id="289897424">
              <w:marLeft w:val="547"/>
              <w:marRight w:val="0"/>
              <w:marTop w:val="0"/>
              <w:marBottom w:val="0"/>
              <w:divBdr>
                <w:top w:val="none" w:sz="0" w:space="0" w:color="auto"/>
                <w:left w:val="none" w:sz="0" w:space="0" w:color="auto"/>
                <w:bottom w:val="none" w:sz="0" w:space="0" w:color="auto"/>
                <w:right w:val="none" w:sz="0" w:space="0" w:color="auto"/>
              </w:divBdr>
            </w:div>
            <w:div w:id="105930190">
              <w:marLeft w:val="547"/>
              <w:marRight w:val="0"/>
              <w:marTop w:val="0"/>
              <w:marBottom w:val="0"/>
              <w:divBdr>
                <w:top w:val="none" w:sz="0" w:space="0" w:color="auto"/>
                <w:left w:val="none" w:sz="0" w:space="0" w:color="auto"/>
                <w:bottom w:val="none" w:sz="0" w:space="0" w:color="auto"/>
                <w:right w:val="none" w:sz="0" w:space="0" w:color="auto"/>
              </w:divBdr>
            </w:div>
            <w:div w:id="1551502035">
              <w:marLeft w:val="547"/>
              <w:marRight w:val="0"/>
              <w:marTop w:val="0"/>
              <w:marBottom w:val="0"/>
              <w:divBdr>
                <w:top w:val="none" w:sz="0" w:space="0" w:color="auto"/>
                <w:left w:val="none" w:sz="0" w:space="0" w:color="auto"/>
                <w:bottom w:val="none" w:sz="0" w:space="0" w:color="auto"/>
                <w:right w:val="none" w:sz="0" w:space="0" w:color="auto"/>
              </w:divBdr>
            </w:div>
            <w:div w:id="1421176796">
              <w:marLeft w:val="547"/>
              <w:marRight w:val="0"/>
              <w:marTop w:val="0"/>
              <w:marBottom w:val="0"/>
              <w:divBdr>
                <w:top w:val="none" w:sz="0" w:space="0" w:color="auto"/>
                <w:left w:val="none" w:sz="0" w:space="0" w:color="auto"/>
                <w:bottom w:val="none" w:sz="0" w:space="0" w:color="auto"/>
                <w:right w:val="none" w:sz="0" w:space="0" w:color="auto"/>
              </w:divBdr>
            </w:div>
            <w:div w:id="1896358047">
              <w:marLeft w:val="547"/>
              <w:marRight w:val="0"/>
              <w:marTop w:val="0"/>
              <w:marBottom w:val="0"/>
              <w:divBdr>
                <w:top w:val="none" w:sz="0" w:space="0" w:color="auto"/>
                <w:left w:val="none" w:sz="0" w:space="0" w:color="auto"/>
                <w:bottom w:val="none" w:sz="0" w:space="0" w:color="auto"/>
                <w:right w:val="none" w:sz="0" w:space="0" w:color="auto"/>
              </w:divBdr>
            </w:div>
            <w:div w:id="2113355825">
              <w:marLeft w:val="547"/>
              <w:marRight w:val="0"/>
              <w:marTop w:val="0"/>
              <w:marBottom w:val="0"/>
              <w:divBdr>
                <w:top w:val="none" w:sz="0" w:space="0" w:color="auto"/>
                <w:left w:val="none" w:sz="0" w:space="0" w:color="auto"/>
                <w:bottom w:val="none" w:sz="0" w:space="0" w:color="auto"/>
                <w:right w:val="none" w:sz="0" w:space="0" w:color="auto"/>
              </w:divBdr>
            </w:div>
            <w:div w:id="1041512621">
              <w:marLeft w:val="547"/>
              <w:marRight w:val="0"/>
              <w:marTop w:val="0"/>
              <w:marBottom w:val="0"/>
              <w:divBdr>
                <w:top w:val="none" w:sz="0" w:space="0" w:color="auto"/>
                <w:left w:val="none" w:sz="0" w:space="0" w:color="auto"/>
                <w:bottom w:val="none" w:sz="0" w:space="0" w:color="auto"/>
                <w:right w:val="none" w:sz="0" w:space="0" w:color="auto"/>
              </w:divBdr>
            </w:div>
            <w:div w:id="1291208098">
              <w:marLeft w:val="547"/>
              <w:marRight w:val="0"/>
              <w:marTop w:val="0"/>
              <w:marBottom w:val="0"/>
              <w:divBdr>
                <w:top w:val="none" w:sz="0" w:space="0" w:color="auto"/>
                <w:left w:val="none" w:sz="0" w:space="0" w:color="auto"/>
                <w:bottom w:val="none" w:sz="0" w:space="0" w:color="auto"/>
                <w:right w:val="none" w:sz="0" w:space="0" w:color="auto"/>
              </w:divBdr>
            </w:div>
          </w:divsChild>
        </w:div>
        <w:div w:id="1578857967">
          <w:marLeft w:val="0"/>
          <w:marRight w:val="0"/>
          <w:marTop w:val="0"/>
          <w:marBottom w:val="600"/>
          <w:divBdr>
            <w:top w:val="none" w:sz="0" w:space="0" w:color="auto"/>
            <w:left w:val="none" w:sz="0" w:space="0" w:color="auto"/>
            <w:bottom w:val="none" w:sz="0" w:space="0" w:color="auto"/>
            <w:right w:val="none" w:sz="0" w:space="0" w:color="auto"/>
          </w:divBdr>
        </w:div>
      </w:divsChild>
    </w:div>
    <w:div w:id="1934580611">
      <w:marLeft w:val="0"/>
      <w:marRight w:val="0"/>
      <w:marTop w:val="0"/>
      <w:marBottom w:val="0"/>
      <w:divBdr>
        <w:top w:val="none" w:sz="0" w:space="0" w:color="auto"/>
        <w:left w:val="none" w:sz="0" w:space="0" w:color="auto"/>
        <w:bottom w:val="none" w:sz="0" w:space="0" w:color="auto"/>
        <w:right w:val="none" w:sz="0" w:space="0" w:color="auto"/>
      </w:divBdr>
      <w:divsChild>
        <w:div w:id="972322405">
          <w:marLeft w:val="0"/>
          <w:marRight w:val="0"/>
          <w:marTop w:val="600"/>
          <w:marBottom w:val="0"/>
          <w:divBdr>
            <w:top w:val="none" w:sz="0" w:space="0" w:color="auto"/>
            <w:left w:val="none" w:sz="0" w:space="0" w:color="auto"/>
            <w:bottom w:val="none" w:sz="0" w:space="0" w:color="auto"/>
            <w:right w:val="none" w:sz="0" w:space="0" w:color="auto"/>
          </w:divBdr>
        </w:div>
        <w:div w:id="961422085">
          <w:marLeft w:val="0"/>
          <w:marRight w:val="0"/>
          <w:marTop w:val="0"/>
          <w:marBottom w:val="0"/>
          <w:divBdr>
            <w:top w:val="none" w:sz="0" w:space="0" w:color="auto"/>
            <w:left w:val="none" w:sz="0" w:space="0" w:color="auto"/>
            <w:bottom w:val="none" w:sz="0" w:space="0" w:color="auto"/>
            <w:right w:val="none" w:sz="0" w:space="0" w:color="auto"/>
          </w:divBdr>
        </w:div>
        <w:div w:id="40521693">
          <w:marLeft w:val="0"/>
          <w:marRight w:val="0"/>
          <w:marTop w:val="0"/>
          <w:marBottom w:val="600"/>
          <w:divBdr>
            <w:top w:val="none" w:sz="0" w:space="0" w:color="auto"/>
            <w:left w:val="none" w:sz="0" w:space="0" w:color="auto"/>
            <w:bottom w:val="none" w:sz="0" w:space="0" w:color="auto"/>
            <w:right w:val="none" w:sz="0" w:space="0" w:color="auto"/>
          </w:divBdr>
        </w:div>
      </w:divsChild>
    </w:div>
    <w:div w:id="2037415659">
      <w:marLeft w:val="0"/>
      <w:marRight w:val="0"/>
      <w:marTop w:val="0"/>
      <w:marBottom w:val="0"/>
      <w:divBdr>
        <w:top w:val="none" w:sz="0" w:space="0" w:color="auto"/>
        <w:left w:val="none" w:sz="0" w:space="0" w:color="auto"/>
        <w:bottom w:val="none" w:sz="0" w:space="0" w:color="auto"/>
        <w:right w:val="none" w:sz="0" w:space="0" w:color="auto"/>
      </w:divBdr>
      <w:divsChild>
        <w:div w:id="425729265">
          <w:marLeft w:val="0"/>
          <w:marRight w:val="0"/>
          <w:marTop w:val="600"/>
          <w:marBottom w:val="0"/>
          <w:divBdr>
            <w:top w:val="none" w:sz="0" w:space="0" w:color="auto"/>
            <w:left w:val="none" w:sz="0" w:space="0" w:color="auto"/>
            <w:bottom w:val="none" w:sz="0" w:space="0" w:color="auto"/>
            <w:right w:val="none" w:sz="0" w:space="0" w:color="auto"/>
          </w:divBdr>
        </w:div>
        <w:div w:id="204098020">
          <w:marLeft w:val="0"/>
          <w:marRight w:val="0"/>
          <w:marTop w:val="0"/>
          <w:marBottom w:val="0"/>
          <w:divBdr>
            <w:top w:val="none" w:sz="0" w:space="0" w:color="auto"/>
            <w:left w:val="none" w:sz="0" w:space="0" w:color="auto"/>
            <w:bottom w:val="none" w:sz="0" w:space="0" w:color="auto"/>
            <w:right w:val="none" w:sz="0" w:space="0" w:color="auto"/>
          </w:divBdr>
          <w:divsChild>
            <w:div w:id="1158767883">
              <w:marLeft w:val="0"/>
              <w:marRight w:val="0"/>
              <w:marTop w:val="0"/>
              <w:marBottom w:val="0"/>
              <w:divBdr>
                <w:top w:val="none" w:sz="0" w:space="0" w:color="auto"/>
                <w:left w:val="none" w:sz="0" w:space="0" w:color="auto"/>
                <w:bottom w:val="none" w:sz="0" w:space="0" w:color="auto"/>
                <w:right w:val="none" w:sz="0" w:space="0" w:color="auto"/>
              </w:divBdr>
              <w:divsChild>
                <w:div w:id="275525076">
                  <w:marLeft w:val="0"/>
                  <w:marRight w:val="0"/>
                  <w:marTop w:val="0"/>
                  <w:marBottom w:val="0"/>
                  <w:divBdr>
                    <w:top w:val="none" w:sz="0" w:space="0" w:color="auto"/>
                    <w:left w:val="none" w:sz="0" w:space="0" w:color="auto"/>
                    <w:bottom w:val="none" w:sz="0" w:space="0" w:color="auto"/>
                    <w:right w:val="none" w:sz="0" w:space="0" w:color="auto"/>
                  </w:divBdr>
                </w:div>
              </w:divsChild>
            </w:div>
            <w:div w:id="1267351817">
              <w:marLeft w:val="0"/>
              <w:marRight w:val="0"/>
              <w:marTop w:val="0"/>
              <w:marBottom w:val="0"/>
              <w:divBdr>
                <w:top w:val="none" w:sz="0" w:space="0" w:color="auto"/>
                <w:left w:val="none" w:sz="0" w:space="0" w:color="auto"/>
                <w:bottom w:val="none" w:sz="0" w:space="0" w:color="auto"/>
                <w:right w:val="none" w:sz="0" w:space="0" w:color="auto"/>
              </w:divBdr>
              <w:divsChild>
                <w:div w:id="205095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75602">
          <w:marLeft w:val="0"/>
          <w:marRight w:val="0"/>
          <w:marTop w:val="0"/>
          <w:marBottom w:val="600"/>
          <w:divBdr>
            <w:top w:val="none" w:sz="0" w:space="0" w:color="auto"/>
            <w:left w:val="none" w:sz="0" w:space="0" w:color="auto"/>
            <w:bottom w:val="none" w:sz="0" w:space="0" w:color="auto"/>
            <w:right w:val="none" w:sz="0" w:space="0" w:color="auto"/>
          </w:divBdr>
        </w:div>
      </w:divsChild>
    </w:div>
    <w:div w:id="2049599823">
      <w:marLeft w:val="0"/>
      <w:marRight w:val="0"/>
      <w:marTop w:val="0"/>
      <w:marBottom w:val="0"/>
      <w:divBdr>
        <w:top w:val="none" w:sz="0" w:space="0" w:color="auto"/>
        <w:left w:val="none" w:sz="0" w:space="0" w:color="auto"/>
        <w:bottom w:val="none" w:sz="0" w:space="0" w:color="auto"/>
        <w:right w:val="none" w:sz="0" w:space="0" w:color="auto"/>
      </w:divBdr>
      <w:divsChild>
        <w:div w:id="739595908">
          <w:marLeft w:val="0"/>
          <w:marRight w:val="0"/>
          <w:marTop w:val="600"/>
          <w:marBottom w:val="0"/>
          <w:divBdr>
            <w:top w:val="none" w:sz="0" w:space="0" w:color="auto"/>
            <w:left w:val="none" w:sz="0" w:space="0" w:color="auto"/>
            <w:bottom w:val="none" w:sz="0" w:space="0" w:color="auto"/>
            <w:right w:val="none" w:sz="0" w:space="0" w:color="auto"/>
          </w:divBdr>
        </w:div>
        <w:div w:id="713696349">
          <w:marLeft w:val="0"/>
          <w:marRight w:val="0"/>
          <w:marTop w:val="0"/>
          <w:marBottom w:val="0"/>
          <w:divBdr>
            <w:top w:val="none" w:sz="0" w:space="0" w:color="auto"/>
            <w:left w:val="none" w:sz="0" w:space="0" w:color="auto"/>
            <w:bottom w:val="none" w:sz="0" w:space="0" w:color="auto"/>
            <w:right w:val="none" w:sz="0" w:space="0" w:color="auto"/>
          </w:divBdr>
          <w:divsChild>
            <w:div w:id="598490949">
              <w:marLeft w:val="547"/>
              <w:marRight w:val="0"/>
              <w:marTop w:val="0"/>
              <w:marBottom w:val="0"/>
              <w:divBdr>
                <w:top w:val="none" w:sz="0" w:space="0" w:color="auto"/>
                <w:left w:val="none" w:sz="0" w:space="0" w:color="auto"/>
                <w:bottom w:val="none" w:sz="0" w:space="0" w:color="auto"/>
                <w:right w:val="none" w:sz="0" w:space="0" w:color="auto"/>
              </w:divBdr>
            </w:div>
            <w:div w:id="1357460898">
              <w:marLeft w:val="547"/>
              <w:marRight w:val="0"/>
              <w:marTop w:val="0"/>
              <w:marBottom w:val="0"/>
              <w:divBdr>
                <w:top w:val="none" w:sz="0" w:space="0" w:color="auto"/>
                <w:left w:val="none" w:sz="0" w:space="0" w:color="auto"/>
                <w:bottom w:val="none" w:sz="0" w:space="0" w:color="auto"/>
                <w:right w:val="none" w:sz="0" w:space="0" w:color="auto"/>
              </w:divBdr>
            </w:div>
            <w:div w:id="391126808">
              <w:marLeft w:val="547"/>
              <w:marRight w:val="0"/>
              <w:marTop w:val="0"/>
              <w:marBottom w:val="0"/>
              <w:divBdr>
                <w:top w:val="none" w:sz="0" w:space="0" w:color="auto"/>
                <w:left w:val="none" w:sz="0" w:space="0" w:color="auto"/>
                <w:bottom w:val="none" w:sz="0" w:space="0" w:color="auto"/>
                <w:right w:val="none" w:sz="0" w:space="0" w:color="auto"/>
              </w:divBdr>
            </w:div>
            <w:div w:id="2016565801">
              <w:marLeft w:val="547"/>
              <w:marRight w:val="0"/>
              <w:marTop w:val="0"/>
              <w:marBottom w:val="0"/>
              <w:divBdr>
                <w:top w:val="none" w:sz="0" w:space="0" w:color="auto"/>
                <w:left w:val="none" w:sz="0" w:space="0" w:color="auto"/>
                <w:bottom w:val="none" w:sz="0" w:space="0" w:color="auto"/>
                <w:right w:val="none" w:sz="0" w:space="0" w:color="auto"/>
              </w:divBdr>
            </w:div>
            <w:div w:id="1852061981">
              <w:marLeft w:val="547"/>
              <w:marRight w:val="0"/>
              <w:marTop w:val="0"/>
              <w:marBottom w:val="0"/>
              <w:divBdr>
                <w:top w:val="none" w:sz="0" w:space="0" w:color="auto"/>
                <w:left w:val="none" w:sz="0" w:space="0" w:color="auto"/>
                <w:bottom w:val="none" w:sz="0" w:space="0" w:color="auto"/>
                <w:right w:val="none" w:sz="0" w:space="0" w:color="auto"/>
              </w:divBdr>
            </w:div>
          </w:divsChild>
        </w:div>
        <w:div w:id="505947659">
          <w:marLeft w:val="0"/>
          <w:marRight w:val="0"/>
          <w:marTop w:val="0"/>
          <w:marBottom w:val="600"/>
          <w:divBdr>
            <w:top w:val="none" w:sz="0" w:space="0" w:color="auto"/>
            <w:left w:val="none" w:sz="0" w:space="0" w:color="auto"/>
            <w:bottom w:val="none" w:sz="0" w:space="0" w:color="auto"/>
            <w:right w:val="none" w:sz="0" w:space="0" w:color="auto"/>
          </w:divBdr>
        </w:div>
      </w:divsChild>
    </w:div>
    <w:div w:id="2059166338">
      <w:marLeft w:val="0"/>
      <w:marRight w:val="0"/>
      <w:marTop w:val="0"/>
      <w:marBottom w:val="0"/>
      <w:divBdr>
        <w:top w:val="none" w:sz="0" w:space="0" w:color="auto"/>
        <w:left w:val="none" w:sz="0" w:space="0" w:color="auto"/>
        <w:bottom w:val="none" w:sz="0" w:space="0" w:color="auto"/>
        <w:right w:val="none" w:sz="0" w:space="0" w:color="auto"/>
      </w:divBdr>
      <w:divsChild>
        <w:div w:id="944965982">
          <w:marLeft w:val="0"/>
          <w:marRight w:val="0"/>
          <w:marTop w:val="600"/>
          <w:marBottom w:val="0"/>
          <w:divBdr>
            <w:top w:val="none" w:sz="0" w:space="0" w:color="auto"/>
            <w:left w:val="none" w:sz="0" w:space="0" w:color="auto"/>
            <w:bottom w:val="none" w:sz="0" w:space="0" w:color="auto"/>
            <w:right w:val="none" w:sz="0" w:space="0" w:color="auto"/>
          </w:divBdr>
        </w:div>
        <w:div w:id="1607612592">
          <w:marLeft w:val="0"/>
          <w:marRight w:val="0"/>
          <w:marTop w:val="0"/>
          <w:marBottom w:val="0"/>
          <w:divBdr>
            <w:top w:val="none" w:sz="0" w:space="0" w:color="auto"/>
            <w:left w:val="none" w:sz="0" w:space="0" w:color="auto"/>
            <w:bottom w:val="none" w:sz="0" w:space="0" w:color="auto"/>
            <w:right w:val="none" w:sz="0" w:space="0" w:color="auto"/>
          </w:divBdr>
        </w:div>
        <w:div w:id="1501434077">
          <w:marLeft w:val="0"/>
          <w:marRight w:val="0"/>
          <w:marTop w:val="0"/>
          <w:marBottom w:val="600"/>
          <w:divBdr>
            <w:top w:val="none" w:sz="0" w:space="0" w:color="auto"/>
            <w:left w:val="none" w:sz="0" w:space="0" w:color="auto"/>
            <w:bottom w:val="none" w:sz="0" w:space="0" w:color="auto"/>
            <w:right w:val="none" w:sz="0" w:space="0" w:color="auto"/>
          </w:divBdr>
        </w:div>
      </w:divsChild>
    </w:div>
    <w:div w:id="2094621524">
      <w:marLeft w:val="0"/>
      <w:marRight w:val="0"/>
      <w:marTop w:val="0"/>
      <w:marBottom w:val="0"/>
      <w:divBdr>
        <w:top w:val="none" w:sz="0" w:space="0" w:color="auto"/>
        <w:left w:val="none" w:sz="0" w:space="0" w:color="auto"/>
        <w:bottom w:val="none" w:sz="0" w:space="0" w:color="auto"/>
        <w:right w:val="none" w:sz="0" w:space="0" w:color="auto"/>
      </w:divBdr>
      <w:divsChild>
        <w:div w:id="233469137">
          <w:marLeft w:val="0"/>
          <w:marRight w:val="0"/>
          <w:marTop w:val="600"/>
          <w:marBottom w:val="0"/>
          <w:divBdr>
            <w:top w:val="none" w:sz="0" w:space="0" w:color="auto"/>
            <w:left w:val="none" w:sz="0" w:space="0" w:color="auto"/>
            <w:bottom w:val="none" w:sz="0" w:space="0" w:color="auto"/>
            <w:right w:val="none" w:sz="0" w:space="0" w:color="auto"/>
          </w:divBdr>
        </w:div>
        <w:div w:id="229966115">
          <w:marLeft w:val="0"/>
          <w:marRight w:val="0"/>
          <w:marTop w:val="0"/>
          <w:marBottom w:val="0"/>
          <w:divBdr>
            <w:top w:val="none" w:sz="0" w:space="0" w:color="auto"/>
            <w:left w:val="none" w:sz="0" w:space="0" w:color="auto"/>
            <w:bottom w:val="none" w:sz="0" w:space="0" w:color="auto"/>
            <w:right w:val="none" w:sz="0" w:space="0" w:color="auto"/>
          </w:divBdr>
          <w:divsChild>
            <w:div w:id="644743453">
              <w:marLeft w:val="547"/>
              <w:marRight w:val="0"/>
              <w:marTop w:val="0"/>
              <w:marBottom w:val="0"/>
              <w:divBdr>
                <w:top w:val="none" w:sz="0" w:space="0" w:color="auto"/>
                <w:left w:val="none" w:sz="0" w:space="0" w:color="auto"/>
                <w:bottom w:val="none" w:sz="0" w:space="0" w:color="auto"/>
                <w:right w:val="none" w:sz="0" w:space="0" w:color="auto"/>
              </w:divBdr>
            </w:div>
            <w:div w:id="1067072234">
              <w:marLeft w:val="547"/>
              <w:marRight w:val="0"/>
              <w:marTop w:val="0"/>
              <w:marBottom w:val="0"/>
              <w:divBdr>
                <w:top w:val="none" w:sz="0" w:space="0" w:color="auto"/>
                <w:left w:val="none" w:sz="0" w:space="0" w:color="auto"/>
                <w:bottom w:val="none" w:sz="0" w:space="0" w:color="auto"/>
                <w:right w:val="none" w:sz="0" w:space="0" w:color="auto"/>
              </w:divBdr>
            </w:div>
            <w:div w:id="735204840">
              <w:marLeft w:val="547"/>
              <w:marRight w:val="0"/>
              <w:marTop w:val="0"/>
              <w:marBottom w:val="0"/>
              <w:divBdr>
                <w:top w:val="none" w:sz="0" w:space="0" w:color="auto"/>
                <w:left w:val="none" w:sz="0" w:space="0" w:color="auto"/>
                <w:bottom w:val="none" w:sz="0" w:space="0" w:color="auto"/>
                <w:right w:val="none" w:sz="0" w:space="0" w:color="auto"/>
              </w:divBdr>
            </w:div>
            <w:div w:id="1359117584">
              <w:marLeft w:val="547"/>
              <w:marRight w:val="0"/>
              <w:marTop w:val="0"/>
              <w:marBottom w:val="0"/>
              <w:divBdr>
                <w:top w:val="none" w:sz="0" w:space="0" w:color="auto"/>
                <w:left w:val="none" w:sz="0" w:space="0" w:color="auto"/>
                <w:bottom w:val="none" w:sz="0" w:space="0" w:color="auto"/>
                <w:right w:val="none" w:sz="0" w:space="0" w:color="auto"/>
              </w:divBdr>
            </w:div>
            <w:div w:id="1793016245">
              <w:marLeft w:val="547"/>
              <w:marRight w:val="0"/>
              <w:marTop w:val="0"/>
              <w:marBottom w:val="0"/>
              <w:divBdr>
                <w:top w:val="none" w:sz="0" w:space="0" w:color="auto"/>
                <w:left w:val="none" w:sz="0" w:space="0" w:color="auto"/>
                <w:bottom w:val="none" w:sz="0" w:space="0" w:color="auto"/>
                <w:right w:val="none" w:sz="0" w:space="0" w:color="auto"/>
              </w:divBdr>
            </w:div>
            <w:div w:id="1449198942">
              <w:marLeft w:val="547"/>
              <w:marRight w:val="0"/>
              <w:marTop w:val="0"/>
              <w:marBottom w:val="0"/>
              <w:divBdr>
                <w:top w:val="none" w:sz="0" w:space="0" w:color="auto"/>
                <w:left w:val="none" w:sz="0" w:space="0" w:color="auto"/>
                <w:bottom w:val="none" w:sz="0" w:space="0" w:color="auto"/>
                <w:right w:val="none" w:sz="0" w:space="0" w:color="auto"/>
              </w:divBdr>
            </w:div>
            <w:div w:id="1716466124">
              <w:marLeft w:val="547"/>
              <w:marRight w:val="0"/>
              <w:marTop w:val="0"/>
              <w:marBottom w:val="0"/>
              <w:divBdr>
                <w:top w:val="none" w:sz="0" w:space="0" w:color="auto"/>
                <w:left w:val="none" w:sz="0" w:space="0" w:color="auto"/>
                <w:bottom w:val="none" w:sz="0" w:space="0" w:color="auto"/>
                <w:right w:val="none" w:sz="0" w:space="0" w:color="auto"/>
              </w:divBdr>
            </w:div>
            <w:div w:id="2028679441">
              <w:marLeft w:val="547"/>
              <w:marRight w:val="0"/>
              <w:marTop w:val="0"/>
              <w:marBottom w:val="0"/>
              <w:divBdr>
                <w:top w:val="none" w:sz="0" w:space="0" w:color="auto"/>
                <w:left w:val="none" w:sz="0" w:space="0" w:color="auto"/>
                <w:bottom w:val="none" w:sz="0" w:space="0" w:color="auto"/>
                <w:right w:val="none" w:sz="0" w:space="0" w:color="auto"/>
              </w:divBdr>
            </w:div>
            <w:div w:id="1982729896">
              <w:marLeft w:val="547"/>
              <w:marRight w:val="0"/>
              <w:marTop w:val="0"/>
              <w:marBottom w:val="0"/>
              <w:divBdr>
                <w:top w:val="none" w:sz="0" w:space="0" w:color="auto"/>
                <w:left w:val="none" w:sz="0" w:space="0" w:color="auto"/>
                <w:bottom w:val="none" w:sz="0" w:space="0" w:color="auto"/>
                <w:right w:val="none" w:sz="0" w:space="0" w:color="auto"/>
              </w:divBdr>
            </w:div>
            <w:div w:id="1523938777">
              <w:marLeft w:val="547"/>
              <w:marRight w:val="0"/>
              <w:marTop w:val="0"/>
              <w:marBottom w:val="0"/>
              <w:divBdr>
                <w:top w:val="none" w:sz="0" w:space="0" w:color="auto"/>
                <w:left w:val="none" w:sz="0" w:space="0" w:color="auto"/>
                <w:bottom w:val="none" w:sz="0" w:space="0" w:color="auto"/>
                <w:right w:val="none" w:sz="0" w:space="0" w:color="auto"/>
              </w:divBdr>
            </w:div>
            <w:div w:id="1116484196">
              <w:marLeft w:val="547"/>
              <w:marRight w:val="0"/>
              <w:marTop w:val="0"/>
              <w:marBottom w:val="0"/>
              <w:divBdr>
                <w:top w:val="none" w:sz="0" w:space="0" w:color="auto"/>
                <w:left w:val="none" w:sz="0" w:space="0" w:color="auto"/>
                <w:bottom w:val="none" w:sz="0" w:space="0" w:color="auto"/>
                <w:right w:val="none" w:sz="0" w:space="0" w:color="auto"/>
              </w:divBdr>
            </w:div>
            <w:div w:id="1215389577">
              <w:marLeft w:val="547"/>
              <w:marRight w:val="0"/>
              <w:marTop w:val="0"/>
              <w:marBottom w:val="0"/>
              <w:divBdr>
                <w:top w:val="none" w:sz="0" w:space="0" w:color="auto"/>
                <w:left w:val="none" w:sz="0" w:space="0" w:color="auto"/>
                <w:bottom w:val="none" w:sz="0" w:space="0" w:color="auto"/>
                <w:right w:val="none" w:sz="0" w:space="0" w:color="auto"/>
              </w:divBdr>
            </w:div>
            <w:div w:id="534273117">
              <w:marLeft w:val="547"/>
              <w:marRight w:val="0"/>
              <w:marTop w:val="0"/>
              <w:marBottom w:val="0"/>
              <w:divBdr>
                <w:top w:val="none" w:sz="0" w:space="0" w:color="auto"/>
                <w:left w:val="none" w:sz="0" w:space="0" w:color="auto"/>
                <w:bottom w:val="none" w:sz="0" w:space="0" w:color="auto"/>
                <w:right w:val="none" w:sz="0" w:space="0" w:color="auto"/>
              </w:divBdr>
            </w:div>
            <w:div w:id="218178241">
              <w:marLeft w:val="547"/>
              <w:marRight w:val="0"/>
              <w:marTop w:val="0"/>
              <w:marBottom w:val="0"/>
              <w:divBdr>
                <w:top w:val="none" w:sz="0" w:space="0" w:color="auto"/>
                <w:left w:val="none" w:sz="0" w:space="0" w:color="auto"/>
                <w:bottom w:val="none" w:sz="0" w:space="0" w:color="auto"/>
                <w:right w:val="none" w:sz="0" w:space="0" w:color="auto"/>
              </w:divBdr>
            </w:div>
            <w:div w:id="1726297045">
              <w:marLeft w:val="547"/>
              <w:marRight w:val="0"/>
              <w:marTop w:val="0"/>
              <w:marBottom w:val="0"/>
              <w:divBdr>
                <w:top w:val="none" w:sz="0" w:space="0" w:color="auto"/>
                <w:left w:val="none" w:sz="0" w:space="0" w:color="auto"/>
                <w:bottom w:val="none" w:sz="0" w:space="0" w:color="auto"/>
                <w:right w:val="none" w:sz="0" w:space="0" w:color="auto"/>
              </w:divBdr>
            </w:div>
            <w:div w:id="297222362">
              <w:marLeft w:val="547"/>
              <w:marRight w:val="0"/>
              <w:marTop w:val="0"/>
              <w:marBottom w:val="0"/>
              <w:divBdr>
                <w:top w:val="none" w:sz="0" w:space="0" w:color="auto"/>
                <w:left w:val="none" w:sz="0" w:space="0" w:color="auto"/>
                <w:bottom w:val="none" w:sz="0" w:space="0" w:color="auto"/>
                <w:right w:val="none" w:sz="0" w:space="0" w:color="auto"/>
              </w:divBdr>
            </w:div>
            <w:div w:id="1941183241">
              <w:marLeft w:val="547"/>
              <w:marRight w:val="0"/>
              <w:marTop w:val="0"/>
              <w:marBottom w:val="0"/>
              <w:divBdr>
                <w:top w:val="none" w:sz="0" w:space="0" w:color="auto"/>
                <w:left w:val="none" w:sz="0" w:space="0" w:color="auto"/>
                <w:bottom w:val="none" w:sz="0" w:space="0" w:color="auto"/>
                <w:right w:val="none" w:sz="0" w:space="0" w:color="auto"/>
              </w:divBdr>
            </w:div>
            <w:div w:id="921255738">
              <w:marLeft w:val="547"/>
              <w:marRight w:val="0"/>
              <w:marTop w:val="0"/>
              <w:marBottom w:val="0"/>
              <w:divBdr>
                <w:top w:val="none" w:sz="0" w:space="0" w:color="auto"/>
                <w:left w:val="none" w:sz="0" w:space="0" w:color="auto"/>
                <w:bottom w:val="none" w:sz="0" w:space="0" w:color="auto"/>
                <w:right w:val="none" w:sz="0" w:space="0" w:color="auto"/>
              </w:divBdr>
            </w:div>
            <w:div w:id="862204114">
              <w:marLeft w:val="547"/>
              <w:marRight w:val="0"/>
              <w:marTop w:val="0"/>
              <w:marBottom w:val="0"/>
              <w:divBdr>
                <w:top w:val="none" w:sz="0" w:space="0" w:color="auto"/>
                <w:left w:val="none" w:sz="0" w:space="0" w:color="auto"/>
                <w:bottom w:val="none" w:sz="0" w:space="0" w:color="auto"/>
                <w:right w:val="none" w:sz="0" w:space="0" w:color="auto"/>
              </w:divBdr>
            </w:div>
          </w:divsChild>
        </w:div>
        <w:div w:id="900410057">
          <w:marLeft w:val="0"/>
          <w:marRight w:val="0"/>
          <w:marTop w:val="0"/>
          <w:marBottom w:val="600"/>
          <w:divBdr>
            <w:top w:val="none" w:sz="0" w:space="0" w:color="auto"/>
            <w:left w:val="none" w:sz="0" w:space="0" w:color="auto"/>
            <w:bottom w:val="none" w:sz="0" w:space="0" w:color="auto"/>
            <w:right w:val="none" w:sz="0" w:space="0" w:color="auto"/>
          </w:divBdr>
        </w:div>
      </w:divsChild>
    </w:div>
    <w:div w:id="2128506092">
      <w:marLeft w:val="0"/>
      <w:marRight w:val="0"/>
      <w:marTop w:val="0"/>
      <w:marBottom w:val="0"/>
      <w:divBdr>
        <w:top w:val="none" w:sz="0" w:space="0" w:color="auto"/>
        <w:left w:val="none" w:sz="0" w:space="0" w:color="auto"/>
        <w:bottom w:val="none" w:sz="0" w:space="0" w:color="auto"/>
        <w:right w:val="none" w:sz="0" w:space="0" w:color="auto"/>
      </w:divBdr>
      <w:divsChild>
        <w:div w:id="926766659">
          <w:marLeft w:val="0"/>
          <w:marRight w:val="0"/>
          <w:marTop w:val="600"/>
          <w:marBottom w:val="0"/>
          <w:divBdr>
            <w:top w:val="none" w:sz="0" w:space="0" w:color="auto"/>
            <w:left w:val="none" w:sz="0" w:space="0" w:color="auto"/>
            <w:bottom w:val="none" w:sz="0" w:space="0" w:color="auto"/>
            <w:right w:val="none" w:sz="0" w:space="0" w:color="auto"/>
          </w:divBdr>
        </w:div>
        <w:div w:id="1538161674">
          <w:marLeft w:val="0"/>
          <w:marRight w:val="0"/>
          <w:marTop w:val="0"/>
          <w:marBottom w:val="0"/>
          <w:divBdr>
            <w:top w:val="none" w:sz="0" w:space="0" w:color="auto"/>
            <w:left w:val="none" w:sz="0" w:space="0" w:color="auto"/>
            <w:bottom w:val="none" w:sz="0" w:space="0" w:color="auto"/>
            <w:right w:val="none" w:sz="0" w:space="0" w:color="auto"/>
          </w:divBdr>
          <w:divsChild>
            <w:div w:id="1392656004">
              <w:marLeft w:val="0"/>
              <w:marRight w:val="0"/>
              <w:marTop w:val="0"/>
              <w:marBottom w:val="0"/>
              <w:divBdr>
                <w:top w:val="none" w:sz="0" w:space="0" w:color="auto"/>
                <w:left w:val="none" w:sz="0" w:space="0" w:color="auto"/>
                <w:bottom w:val="none" w:sz="0" w:space="0" w:color="auto"/>
                <w:right w:val="none" w:sz="0" w:space="0" w:color="auto"/>
              </w:divBdr>
              <w:divsChild>
                <w:div w:id="1556040067">
                  <w:marLeft w:val="0"/>
                  <w:marRight w:val="0"/>
                  <w:marTop w:val="0"/>
                  <w:marBottom w:val="0"/>
                  <w:divBdr>
                    <w:top w:val="none" w:sz="0" w:space="0" w:color="auto"/>
                    <w:left w:val="none" w:sz="0" w:space="0" w:color="auto"/>
                    <w:bottom w:val="none" w:sz="0" w:space="0" w:color="auto"/>
                    <w:right w:val="none" w:sz="0" w:space="0" w:color="auto"/>
                  </w:divBdr>
                </w:div>
              </w:divsChild>
            </w:div>
            <w:div w:id="446777891">
              <w:marLeft w:val="0"/>
              <w:marRight w:val="0"/>
              <w:marTop w:val="0"/>
              <w:marBottom w:val="0"/>
              <w:divBdr>
                <w:top w:val="none" w:sz="0" w:space="0" w:color="auto"/>
                <w:left w:val="none" w:sz="0" w:space="0" w:color="auto"/>
                <w:bottom w:val="none" w:sz="0" w:space="0" w:color="auto"/>
                <w:right w:val="none" w:sz="0" w:space="0" w:color="auto"/>
              </w:divBdr>
              <w:divsChild>
                <w:div w:id="1722942428">
                  <w:marLeft w:val="0"/>
                  <w:marRight w:val="0"/>
                  <w:marTop w:val="0"/>
                  <w:marBottom w:val="0"/>
                  <w:divBdr>
                    <w:top w:val="none" w:sz="0" w:space="0" w:color="auto"/>
                    <w:left w:val="none" w:sz="0" w:space="0" w:color="auto"/>
                    <w:bottom w:val="none" w:sz="0" w:space="0" w:color="auto"/>
                    <w:right w:val="none" w:sz="0" w:space="0" w:color="auto"/>
                  </w:divBdr>
                </w:div>
              </w:divsChild>
            </w:div>
            <w:div w:id="1035613833">
              <w:marLeft w:val="0"/>
              <w:marRight w:val="0"/>
              <w:marTop w:val="0"/>
              <w:marBottom w:val="0"/>
              <w:divBdr>
                <w:top w:val="none" w:sz="0" w:space="0" w:color="auto"/>
                <w:left w:val="none" w:sz="0" w:space="0" w:color="auto"/>
                <w:bottom w:val="none" w:sz="0" w:space="0" w:color="auto"/>
                <w:right w:val="none" w:sz="0" w:space="0" w:color="auto"/>
              </w:divBdr>
              <w:divsChild>
                <w:div w:id="864833673">
                  <w:marLeft w:val="0"/>
                  <w:marRight w:val="0"/>
                  <w:marTop w:val="0"/>
                  <w:marBottom w:val="0"/>
                  <w:divBdr>
                    <w:top w:val="none" w:sz="0" w:space="0" w:color="auto"/>
                    <w:left w:val="none" w:sz="0" w:space="0" w:color="auto"/>
                    <w:bottom w:val="none" w:sz="0" w:space="0" w:color="auto"/>
                    <w:right w:val="none" w:sz="0" w:space="0" w:color="auto"/>
                  </w:divBdr>
                </w:div>
              </w:divsChild>
            </w:div>
            <w:div w:id="1423525392">
              <w:marLeft w:val="0"/>
              <w:marRight w:val="0"/>
              <w:marTop w:val="0"/>
              <w:marBottom w:val="0"/>
              <w:divBdr>
                <w:top w:val="none" w:sz="0" w:space="0" w:color="auto"/>
                <w:left w:val="none" w:sz="0" w:space="0" w:color="auto"/>
                <w:bottom w:val="none" w:sz="0" w:space="0" w:color="auto"/>
                <w:right w:val="none" w:sz="0" w:space="0" w:color="auto"/>
              </w:divBdr>
              <w:divsChild>
                <w:div w:id="1108698942">
                  <w:marLeft w:val="0"/>
                  <w:marRight w:val="0"/>
                  <w:marTop w:val="0"/>
                  <w:marBottom w:val="0"/>
                  <w:divBdr>
                    <w:top w:val="none" w:sz="0" w:space="0" w:color="auto"/>
                    <w:left w:val="none" w:sz="0" w:space="0" w:color="auto"/>
                    <w:bottom w:val="none" w:sz="0" w:space="0" w:color="auto"/>
                    <w:right w:val="none" w:sz="0" w:space="0" w:color="auto"/>
                  </w:divBdr>
                </w:div>
              </w:divsChild>
            </w:div>
            <w:div w:id="1886676932">
              <w:marLeft w:val="0"/>
              <w:marRight w:val="0"/>
              <w:marTop w:val="0"/>
              <w:marBottom w:val="0"/>
              <w:divBdr>
                <w:top w:val="none" w:sz="0" w:space="0" w:color="auto"/>
                <w:left w:val="none" w:sz="0" w:space="0" w:color="auto"/>
                <w:bottom w:val="none" w:sz="0" w:space="0" w:color="auto"/>
                <w:right w:val="none" w:sz="0" w:space="0" w:color="auto"/>
              </w:divBdr>
              <w:divsChild>
                <w:div w:id="1593662116">
                  <w:marLeft w:val="0"/>
                  <w:marRight w:val="0"/>
                  <w:marTop w:val="0"/>
                  <w:marBottom w:val="0"/>
                  <w:divBdr>
                    <w:top w:val="none" w:sz="0" w:space="0" w:color="auto"/>
                    <w:left w:val="none" w:sz="0" w:space="0" w:color="auto"/>
                    <w:bottom w:val="none" w:sz="0" w:space="0" w:color="auto"/>
                    <w:right w:val="none" w:sz="0" w:space="0" w:color="auto"/>
                  </w:divBdr>
                </w:div>
              </w:divsChild>
            </w:div>
            <w:div w:id="1280799734">
              <w:marLeft w:val="0"/>
              <w:marRight w:val="0"/>
              <w:marTop w:val="0"/>
              <w:marBottom w:val="0"/>
              <w:divBdr>
                <w:top w:val="none" w:sz="0" w:space="0" w:color="auto"/>
                <w:left w:val="none" w:sz="0" w:space="0" w:color="auto"/>
                <w:bottom w:val="none" w:sz="0" w:space="0" w:color="auto"/>
                <w:right w:val="none" w:sz="0" w:space="0" w:color="auto"/>
              </w:divBdr>
              <w:divsChild>
                <w:div w:id="1840584998">
                  <w:marLeft w:val="0"/>
                  <w:marRight w:val="0"/>
                  <w:marTop w:val="0"/>
                  <w:marBottom w:val="0"/>
                  <w:divBdr>
                    <w:top w:val="none" w:sz="0" w:space="0" w:color="auto"/>
                    <w:left w:val="none" w:sz="0" w:space="0" w:color="auto"/>
                    <w:bottom w:val="none" w:sz="0" w:space="0" w:color="auto"/>
                    <w:right w:val="none" w:sz="0" w:space="0" w:color="auto"/>
                  </w:divBdr>
                </w:div>
              </w:divsChild>
            </w:div>
            <w:div w:id="488325417">
              <w:marLeft w:val="0"/>
              <w:marRight w:val="0"/>
              <w:marTop w:val="0"/>
              <w:marBottom w:val="0"/>
              <w:divBdr>
                <w:top w:val="none" w:sz="0" w:space="0" w:color="auto"/>
                <w:left w:val="none" w:sz="0" w:space="0" w:color="auto"/>
                <w:bottom w:val="none" w:sz="0" w:space="0" w:color="auto"/>
                <w:right w:val="none" w:sz="0" w:space="0" w:color="auto"/>
              </w:divBdr>
              <w:divsChild>
                <w:div w:id="1441534831">
                  <w:marLeft w:val="0"/>
                  <w:marRight w:val="0"/>
                  <w:marTop w:val="0"/>
                  <w:marBottom w:val="0"/>
                  <w:divBdr>
                    <w:top w:val="none" w:sz="0" w:space="0" w:color="auto"/>
                    <w:left w:val="none" w:sz="0" w:space="0" w:color="auto"/>
                    <w:bottom w:val="none" w:sz="0" w:space="0" w:color="auto"/>
                    <w:right w:val="none" w:sz="0" w:space="0" w:color="auto"/>
                  </w:divBdr>
                </w:div>
              </w:divsChild>
            </w:div>
            <w:div w:id="2070154874">
              <w:marLeft w:val="0"/>
              <w:marRight w:val="0"/>
              <w:marTop w:val="0"/>
              <w:marBottom w:val="0"/>
              <w:divBdr>
                <w:top w:val="none" w:sz="0" w:space="0" w:color="auto"/>
                <w:left w:val="none" w:sz="0" w:space="0" w:color="auto"/>
                <w:bottom w:val="none" w:sz="0" w:space="0" w:color="auto"/>
                <w:right w:val="none" w:sz="0" w:space="0" w:color="auto"/>
              </w:divBdr>
              <w:divsChild>
                <w:div w:id="1743868173">
                  <w:marLeft w:val="0"/>
                  <w:marRight w:val="0"/>
                  <w:marTop w:val="0"/>
                  <w:marBottom w:val="0"/>
                  <w:divBdr>
                    <w:top w:val="none" w:sz="0" w:space="0" w:color="auto"/>
                    <w:left w:val="none" w:sz="0" w:space="0" w:color="auto"/>
                    <w:bottom w:val="none" w:sz="0" w:space="0" w:color="auto"/>
                    <w:right w:val="none" w:sz="0" w:space="0" w:color="auto"/>
                  </w:divBdr>
                </w:div>
              </w:divsChild>
            </w:div>
            <w:div w:id="378432004">
              <w:marLeft w:val="0"/>
              <w:marRight w:val="0"/>
              <w:marTop w:val="0"/>
              <w:marBottom w:val="0"/>
              <w:divBdr>
                <w:top w:val="none" w:sz="0" w:space="0" w:color="auto"/>
                <w:left w:val="none" w:sz="0" w:space="0" w:color="auto"/>
                <w:bottom w:val="none" w:sz="0" w:space="0" w:color="auto"/>
                <w:right w:val="none" w:sz="0" w:space="0" w:color="auto"/>
              </w:divBdr>
              <w:divsChild>
                <w:div w:id="1738169307">
                  <w:marLeft w:val="0"/>
                  <w:marRight w:val="0"/>
                  <w:marTop w:val="0"/>
                  <w:marBottom w:val="0"/>
                  <w:divBdr>
                    <w:top w:val="none" w:sz="0" w:space="0" w:color="auto"/>
                    <w:left w:val="none" w:sz="0" w:space="0" w:color="auto"/>
                    <w:bottom w:val="none" w:sz="0" w:space="0" w:color="auto"/>
                    <w:right w:val="none" w:sz="0" w:space="0" w:color="auto"/>
                  </w:divBdr>
                </w:div>
              </w:divsChild>
            </w:div>
            <w:div w:id="1922834590">
              <w:marLeft w:val="0"/>
              <w:marRight w:val="0"/>
              <w:marTop w:val="0"/>
              <w:marBottom w:val="0"/>
              <w:divBdr>
                <w:top w:val="none" w:sz="0" w:space="0" w:color="auto"/>
                <w:left w:val="none" w:sz="0" w:space="0" w:color="auto"/>
                <w:bottom w:val="none" w:sz="0" w:space="0" w:color="auto"/>
                <w:right w:val="none" w:sz="0" w:space="0" w:color="auto"/>
              </w:divBdr>
              <w:divsChild>
                <w:div w:id="1252355906">
                  <w:marLeft w:val="0"/>
                  <w:marRight w:val="0"/>
                  <w:marTop w:val="0"/>
                  <w:marBottom w:val="0"/>
                  <w:divBdr>
                    <w:top w:val="none" w:sz="0" w:space="0" w:color="auto"/>
                    <w:left w:val="none" w:sz="0" w:space="0" w:color="auto"/>
                    <w:bottom w:val="none" w:sz="0" w:space="0" w:color="auto"/>
                    <w:right w:val="none" w:sz="0" w:space="0" w:color="auto"/>
                  </w:divBdr>
                </w:div>
              </w:divsChild>
            </w:div>
            <w:div w:id="1968779443">
              <w:marLeft w:val="0"/>
              <w:marRight w:val="0"/>
              <w:marTop w:val="0"/>
              <w:marBottom w:val="0"/>
              <w:divBdr>
                <w:top w:val="none" w:sz="0" w:space="0" w:color="auto"/>
                <w:left w:val="none" w:sz="0" w:space="0" w:color="auto"/>
                <w:bottom w:val="none" w:sz="0" w:space="0" w:color="auto"/>
                <w:right w:val="none" w:sz="0" w:space="0" w:color="auto"/>
              </w:divBdr>
              <w:divsChild>
                <w:div w:id="1872305467">
                  <w:marLeft w:val="0"/>
                  <w:marRight w:val="0"/>
                  <w:marTop w:val="0"/>
                  <w:marBottom w:val="0"/>
                  <w:divBdr>
                    <w:top w:val="none" w:sz="0" w:space="0" w:color="auto"/>
                    <w:left w:val="none" w:sz="0" w:space="0" w:color="auto"/>
                    <w:bottom w:val="none" w:sz="0" w:space="0" w:color="auto"/>
                    <w:right w:val="none" w:sz="0" w:space="0" w:color="auto"/>
                  </w:divBdr>
                </w:div>
              </w:divsChild>
            </w:div>
            <w:div w:id="1835995241">
              <w:marLeft w:val="0"/>
              <w:marRight w:val="0"/>
              <w:marTop w:val="0"/>
              <w:marBottom w:val="0"/>
              <w:divBdr>
                <w:top w:val="none" w:sz="0" w:space="0" w:color="auto"/>
                <w:left w:val="none" w:sz="0" w:space="0" w:color="auto"/>
                <w:bottom w:val="none" w:sz="0" w:space="0" w:color="auto"/>
                <w:right w:val="none" w:sz="0" w:space="0" w:color="auto"/>
              </w:divBdr>
              <w:divsChild>
                <w:div w:id="1480418601">
                  <w:marLeft w:val="0"/>
                  <w:marRight w:val="0"/>
                  <w:marTop w:val="0"/>
                  <w:marBottom w:val="0"/>
                  <w:divBdr>
                    <w:top w:val="none" w:sz="0" w:space="0" w:color="auto"/>
                    <w:left w:val="none" w:sz="0" w:space="0" w:color="auto"/>
                    <w:bottom w:val="none" w:sz="0" w:space="0" w:color="auto"/>
                    <w:right w:val="none" w:sz="0" w:space="0" w:color="auto"/>
                  </w:divBdr>
                </w:div>
              </w:divsChild>
            </w:div>
            <w:div w:id="1507400294">
              <w:marLeft w:val="0"/>
              <w:marRight w:val="0"/>
              <w:marTop w:val="0"/>
              <w:marBottom w:val="0"/>
              <w:divBdr>
                <w:top w:val="none" w:sz="0" w:space="0" w:color="auto"/>
                <w:left w:val="none" w:sz="0" w:space="0" w:color="auto"/>
                <w:bottom w:val="none" w:sz="0" w:space="0" w:color="auto"/>
                <w:right w:val="none" w:sz="0" w:space="0" w:color="auto"/>
              </w:divBdr>
              <w:divsChild>
                <w:div w:id="285357642">
                  <w:marLeft w:val="0"/>
                  <w:marRight w:val="0"/>
                  <w:marTop w:val="0"/>
                  <w:marBottom w:val="0"/>
                  <w:divBdr>
                    <w:top w:val="none" w:sz="0" w:space="0" w:color="auto"/>
                    <w:left w:val="none" w:sz="0" w:space="0" w:color="auto"/>
                    <w:bottom w:val="none" w:sz="0" w:space="0" w:color="auto"/>
                    <w:right w:val="none" w:sz="0" w:space="0" w:color="auto"/>
                  </w:divBdr>
                </w:div>
              </w:divsChild>
            </w:div>
            <w:div w:id="1612086018">
              <w:marLeft w:val="0"/>
              <w:marRight w:val="0"/>
              <w:marTop w:val="0"/>
              <w:marBottom w:val="0"/>
              <w:divBdr>
                <w:top w:val="none" w:sz="0" w:space="0" w:color="auto"/>
                <w:left w:val="none" w:sz="0" w:space="0" w:color="auto"/>
                <w:bottom w:val="none" w:sz="0" w:space="0" w:color="auto"/>
                <w:right w:val="none" w:sz="0" w:space="0" w:color="auto"/>
              </w:divBdr>
              <w:divsChild>
                <w:div w:id="1186477966">
                  <w:marLeft w:val="0"/>
                  <w:marRight w:val="0"/>
                  <w:marTop w:val="0"/>
                  <w:marBottom w:val="0"/>
                  <w:divBdr>
                    <w:top w:val="none" w:sz="0" w:space="0" w:color="auto"/>
                    <w:left w:val="none" w:sz="0" w:space="0" w:color="auto"/>
                    <w:bottom w:val="none" w:sz="0" w:space="0" w:color="auto"/>
                    <w:right w:val="none" w:sz="0" w:space="0" w:color="auto"/>
                  </w:divBdr>
                </w:div>
              </w:divsChild>
            </w:div>
            <w:div w:id="1850833389">
              <w:marLeft w:val="0"/>
              <w:marRight w:val="0"/>
              <w:marTop w:val="0"/>
              <w:marBottom w:val="0"/>
              <w:divBdr>
                <w:top w:val="none" w:sz="0" w:space="0" w:color="auto"/>
                <w:left w:val="none" w:sz="0" w:space="0" w:color="auto"/>
                <w:bottom w:val="none" w:sz="0" w:space="0" w:color="auto"/>
                <w:right w:val="none" w:sz="0" w:space="0" w:color="auto"/>
              </w:divBdr>
              <w:divsChild>
                <w:div w:id="913585155">
                  <w:marLeft w:val="0"/>
                  <w:marRight w:val="0"/>
                  <w:marTop w:val="0"/>
                  <w:marBottom w:val="0"/>
                  <w:divBdr>
                    <w:top w:val="none" w:sz="0" w:space="0" w:color="auto"/>
                    <w:left w:val="none" w:sz="0" w:space="0" w:color="auto"/>
                    <w:bottom w:val="none" w:sz="0" w:space="0" w:color="auto"/>
                    <w:right w:val="none" w:sz="0" w:space="0" w:color="auto"/>
                  </w:divBdr>
                </w:div>
              </w:divsChild>
            </w:div>
            <w:div w:id="1152482902">
              <w:marLeft w:val="0"/>
              <w:marRight w:val="0"/>
              <w:marTop w:val="0"/>
              <w:marBottom w:val="0"/>
              <w:divBdr>
                <w:top w:val="none" w:sz="0" w:space="0" w:color="auto"/>
                <w:left w:val="none" w:sz="0" w:space="0" w:color="auto"/>
                <w:bottom w:val="none" w:sz="0" w:space="0" w:color="auto"/>
                <w:right w:val="none" w:sz="0" w:space="0" w:color="auto"/>
              </w:divBdr>
              <w:divsChild>
                <w:div w:id="893128627">
                  <w:marLeft w:val="0"/>
                  <w:marRight w:val="0"/>
                  <w:marTop w:val="0"/>
                  <w:marBottom w:val="0"/>
                  <w:divBdr>
                    <w:top w:val="none" w:sz="0" w:space="0" w:color="auto"/>
                    <w:left w:val="none" w:sz="0" w:space="0" w:color="auto"/>
                    <w:bottom w:val="none" w:sz="0" w:space="0" w:color="auto"/>
                    <w:right w:val="none" w:sz="0" w:space="0" w:color="auto"/>
                  </w:divBdr>
                </w:div>
              </w:divsChild>
            </w:div>
            <w:div w:id="1802310386">
              <w:marLeft w:val="0"/>
              <w:marRight w:val="0"/>
              <w:marTop w:val="0"/>
              <w:marBottom w:val="0"/>
              <w:divBdr>
                <w:top w:val="none" w:sz="0" w:space="0" w:color="auto"/>
                <w:left w:val="none" w:sz="0" w:space="0" w:color="auto"/>
                <w:bottom w:val="none" w:sz="0" w:space="0" w:color="auto"/>
                <w:right w:val="none" w:sz="0" w:space="0" w:color="auto"/>
              </w:divBdr>
              <w:divsChild>
                <w:div w:id="1758285425">
                  <w:marLeft w:val="0"/>
                  <w:marRight w:val="0"/>
                  <w:marTop w:val="0"/>
                  <w:marBottom w:val="0"/>
                  <w:divBdr>
                    <w:top w:val="none" w:sz="0" w:space="0" w:color="auto"/>
                    <w:left w:val="none" w:sz="0" w:space="0" w:color="auto"/>
                    <w:bottom w:val="none" w:sz="0" w:space="0" w:color="auto"/>
                    <w:right w:val="none" w:sz="0" w:space="0" w:color="auto"/>
                  </w:divBdr>
                </w:div>
              </w:divsChild>
            </w:div>
            <w:div w:id="714237616">
              <w:marLeft w:val="0"/>
              <w:marRight w:val="0"/>
              <w:marTop w:val="0"/>
              <w:marBottom w:val="0"/>
              <w:divBdr>
                <w:top w:val="none" w:sz="0" w:space="0" w:color="auto"/>
                <w:left w:val="none" w:sz="0" w:space="0" w:color="auto"/>
                <w:bottom w:val="none" w:sz="0" w:space="0" w:color="auto"/>
                <w:right w:val="none" w:sz="0" w:space="0" w:color="auto"/>
              </w:divBdr>
              <w:divsChild>
                <w:div w:id="1471239919">
                  <w:marLeft w:val="0"/>
                  <w:marRight w:val="0"/>
                  <w:marTop w:val="0"/>
                  <w:marBottom w:val="0"/>
                  <w:divBdr>
                    <w:top w:val="none" w:sz="0" w:space="0" w:color="auto"/>
                    <w:left w:val="none" w:sz="0" w:space="0" w:color="auto"/>
                    <w:bottom w:val="none" w:sz="0" w:space="0" w:color="auto"/>
                    <w:right w:val="none" w:sz="0" w:space="0" w:color="auto"/>
                  </w:divBdr>
                </w:div>
              </w:divsChild>
            </w:div>
            <w:div w:id="775442714">
              <w:marLeft w:val="0"/>
              <w:marRight w:val="0"/>
              <w:marTop w:val="0"/>
              <w:marBottom w:val="0"/>
              <w:divBdr>
                <w:top w:val="none" w:sz="0" w:space="0" w:color="auto"/>
                <w:left w:val="none" w:sz="0" w:space="0" w:color="auto"/>
                <w:bottom w:val="none" w:sz="0" w:space="0" w:color="auto"/>
                <w:right w:val="none" w:sz="0" w:space="0" w:color="auto"/>
              </w:divBdr>
              <w:divsChild>
                <w:div w:id="510609888">
                  <w:marLeft w:val="0"/>
                  <w:marRight w:val="0"/>
                  <w:marTop w:val="0"/>
                  <w:marBottom w:val="0"/>
                  <w:divBdr>
                    <w:top w:val="none" w:sz="0" w:space="0" w:color="auto"/>
                    <w:left w:val="none" w:sz="0" w:space="0" w:color="auto"/>
                    <w:bottom w:val="none" w:sz="0" w:space="0" w:color="auto"/>
                    <w:right w:val="none" w:sz="0" w:space="0" w:color="auto"/>
                  </w:divBdr>
                </w:div>
              </w:divsChild>
            </w:div>
            <w:div w:id="292179712">
              <w:marLeft w:val="0"/>
              <w:marRight w:val="0"/>
              <w:marTop w:val="0"/>
              <w:marBottom w:val="0"/>
              <w:divBdr>
                <w:top w:val="none" w:sz="0" w:space="0" w:color="auto"/>
                <w:left w:val="none" w:sz="0" w:space="0" w:color="auto"/>
                <w:bottom w:val="none" w:sz="0" w:space="0" w:color="auto"/>
                <w:right w:val="none" w:sz="0" w:space="0" w:color="auto"/>
              </w:divBdr>
              <w:divsChild>
                <w:div w:id="1778062174">
                  <w:marLeft w:val="0"/>
                  <w:marRight w:val="0"/>
                  <w:marTop w:val="0"/>
                  <w:marBottom w:val="0"/>
                  <w:divBdr>
                    <w:top w:val="none" w:sz="0" w:space="0" w:color="auto"/>
                    <w:left w:val="none" w:sz="0" w:space="0" w:color="auto"/>
                    <w:bottom w:val="none" w:sz="0" w:space="0" w:color="auto"/>
                    <w:right w:val="none" w:sz="0" w:space="0" w:color="auto"/>
                  </w:divBdr>
                </w:div>
              </w:divsChild>
            </w:div>
            <w:div w:id="1399017380">
              <w:marLeft w:val="0"/>
              <w:marRight w:val="0"/>
              <w:marTop w:val="0"/>
              <w:marBottom w:val="0"/>
              <w:divBdr>
                <w:top w:val="none" w:sz="0" w:space="0" w:color="auto"/>
                <w:left w:val="none" w:sz="0" w:space="0" w:color="auto"/>
                <w:bottom w:val="none" w:sz="0" w:space="0" w:color="auto"/>
                <w:right w:val="none" w:sz="0" w:space="0" w:color="auto"/>
              </w:divBdr>
              <w:divsChild>
                <w:div w:id="1326937438">
                  <w:marLeft w:val="0"/>
                  <w:marRight w:val="0"/>
                  <w:marTop w:val="0"/>
                  <w:marBottom w:val="0"/>
                  <w:divBdr>
                    <w:top w:val="none" w:sz="0" w:space="0" w:color="auto"/>
                    <w:left w:val="none" w:sz="0" w:space="0" w:color="auto"/>
                    <w:bottom w:val="none" w:sz="0" w:space="0" w:color="auto"/>
                    <w:right w:val="none" w:sz="0" w:space="0" w:color="auto"/>
                  </w:divBdr>
                </w:div>
              </w:divsChild>
            </w:div>
            <w:div w:id="1201436747">
              <w:marLeft w:val="0"/>
              <w:marRight w:val="0"/>
              <w:marTop w:val="0"/>
              <w:marBottom w:val="0"/>
              <w:divBdr>
                <w:top w:val="none" w:sz="0" w:space="0" w:color="auto"/>
                <w:left w:val="none" w:sz="0" w:space="0" w:color="auto"/>
                <w:bottom w:val="none" w:sz="0" w:space="0" w:color="auto"/>
                <w:right w:val="none" w:sz="0" w:space="0" w:color="auto"/>
              </w:divBdr>
              <w:divsChild>
                <w:div w:id="1994602088">
                  <w:marLeft w:val="0"/>
                  <w:marRight w:val="0"/>
                  <w:marTop w:val="0"/>
                  <w:marBottom w:val="0"/>
                  <w:divBdr>
                    <w:top w:val="none" w:sz="0" w:space="0" w:color="auto"/>
                    <w:left w:val="none" w:sz="0" w:space="0" w:color="auto"/>
                    <w:bottom w:val="none" w:sz="0" w:space="0" w:color="auto"/>
                    <w:right w:val="none" w:sz="0" w:space="0" w:color="auto"/>
                  </w:divBdr>
                </w:div>
              </w:divsChild>
            </w:div>
            <w:div w:id="716928132">
              <w:marLeft w:val="0"/>
              <w:marRight w:val="0"/>
              <w:marTop w:val="0"/>
              <w:marBottom w:val="0"/>
              <w:divBdr>
                <w:top w:val="none" w:sz="0" w:space="0" w:color="auto"/>
                <w:left w:val="none" w:sz="0" w:space="0" w:color="auto"/>
                <w:bottom w:val="none" w:sz="0" w:space="0" w:color="auto"/>
                <w:right w:val="none" w:sz="0" w:space="0" w:color="auto"/>
              </w:divBdr>
              <w:divsChild>
                <w:div w:id="1882670803">
                  <w:marLeft w:val="0"/>
                  <w:marRight w:val="0"/>
                  <w:marTop w:val="0"/>
                  <w:marBottom w:val="0"/>
                  <w:divBdr>
                    <w:top w:val="none" w:sz="0" w:space="0" w:color="auto"/>
                    <w:left w:val="none" w:sz="0" w:space="0" w:color="auto"/>
                    <w:bottom w:val="none" w:sz="0" w:space="0" w:color="auto"/>
                    <w:right w:val="none" w:sz="0" w:space="0" w:color="auto"/>
                  </w:divBdr>
                </w:div>
              </w:divsChild>
            </w:div>
            <w:div w:id="731394937">
              <w:marLeft w:val="0"/>
              <w:marRight w:val="0"/>
              <w:marTop w:val="0"/>
              <w:marBottom w:val="0"/>
              <w:divBdr>
                <w:top w:val="none" w:sz="0" w:space="0" w:color="auto"/>
                <w:left w:val="none" w:sz="0" w:space="0" w:color="auto"/>
                <w:bottom w:val="none" w:sz="0" w:space="0" w:color="auto"/>
                <w:right w:val="none" w:sz="0" w:space="0" w:color="auto"/>
              </w:divBdr>
              <w:divsChild>
                <w:div w:id="231892433">
                  <w:marLeft w:val="0"/>
                  <w:marRight w:val="0"/>
                  <w:marTop w:val="0"/>
                  <w:marBottom w:val="0"/>
                  <w:divBdr>
                    <w:top w:val="none" w:sz="0" w:space="0" w:color="auto"/>
                    <w:left w:val="none" w:sz="0" w:space="0" w:color="auto"/>
                    <w:bottom w:val="none" w:sz="0" w:space="0" w:color="auto"/>
                    <w:right w:val="none" w:sz="0" w:space="0" w:color="auto"/>
                  </w:divBdr>
                </w:div>
              </w:divsChild>
            </w:div>
            <w:div w:id="2142070582">
              <w:marLeft w:val="0"/>
              <w:marRight w:val="0"/>
              <w:marTop w:val="0"/>
              <w:marBottom w:val="0"/>
              <w:divBdr>
                <w:top w:val="none" w:sz="0" w:space="0" w:color="auto"/>
                <w:left w:val="none" w:sz="0" w:space="0" w:color="auto"/>
                <w:bottom w:val="none" w:sz="0" w:space="0" w:color="auto"/>
                <w:right w:val="none" w:sz="0" w:space="0" w:color="auto"/>
              </w:divBdr>
              <w:divsChild>
                <w:div w:id="760955608">
                  <w:marLeft w:val="0"/>
                  <w:marRight w:val="0"/>
                  <w:marTop w:val="0"/>
                  <w:marBottom w:val="0"/>
                  <w:divBdr>
                    <w:top w:val="none" w:sz="0" w:space="0" w:color="auto"/>
                    <w:left w:val="none" w:sz="0" w:space="0" w:color="auto"/>
                    <w:bottom w:val="none" w:sz="0" w:space="0" w:color="auto"/>
                    <w:right w:val="none" w:sz="0" w:space="0" w:color="auto"/>
                  </w:divBdr>
                </w:div>
              </w:divsChild>
            </w:div>
            <w:div w:id="1370183821">
              <w:marLeft w:val="0"/>
              <w:marRight w:val="0"/>
              <w:marTop w:val="0"/>
              <w:marBottom w:val="0"/>
              <w:divBdr>
                <w:top w:val="none" w:sz="0" w:space="0" w:color="auto"/>
                <w:left w:val="none" w:sz="0" w:space="0" w:color="auto"/>
                <w:bottom w:val="none" w:sz="0" w:space="0" w:color="auto"/>
                <w:right w:val="none" w:sz="0" w:space="0" w:color="auto"/>
              </w:divBdr>
              <w:divsChild>
                <w:div w:id="48289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32432">
          <w:marLeft w:val="0"/>
          <w:marRight w:val="0"/>
          <w:marTop w:val="0"/>
          <w:marBottom w:val="60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iova-20200930xex31d2.htm" TargetMode="External"/><Relationship Id="rId3" Type="http://schemas.openxmlformats.org/officeDocument/2006/relationships/webSettings" Target="webSettings.xml"/><Relationship Id="rId7" Type="http://schemas.openxmlformats.org/officeDocument/2006/relationships/hyperlink" Target="iova-20200930xex31d1.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c.gov/Archives/edgar/data/1425205/000110465920091526/iova-20200630xex10d4.htm" TargetMode="External"/><Relationship Id="rId11" Type="http://schemas.openxmlformats.org/officeDocument/2006/relationships/fontTable" Target="fontTable.xml"/><Relationship Id="rId5" Type="http://schemas.openxmlformats.org/officeDocument/2006/relationships/hyperlink" Target="https://www.sec.gov/ix?doc=/Archives/edgar/data/1425205/000110465920024830/iova-20191231x10kab9a30.htm" TargetMode="External"/><Relationship Id="rId10" Type="http://schemas.openxmlformats.org/officeDocument/2006/relationships/hyperlink" Target="iova-20200930xex32d2.htm" TargetMode="External"/><Relationship Id="rId4" Type="http://schemas.openxmlformats.org/officeDocument/2006/relationships/image" Target="file:///E:\projects\LLMs\new_data_collection\data_new\htm\IOVANCE%20BIOTHERAPEUTICS,%20INC\iova-20200930x10q001.jpg" TargetMode="External"/><Relationship Id="rId9" Type="http://schemas.openxmlformats.org/officeDocument/2006/relationships/hyperlink" Target="iova-20200930xex32d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62594</Words>
  <Characters>356787</Characters>
  <Application>Microsoft Office Word</Application>
  <DocSecurity>0</DocSecurity>
  <Lines>2973</Lines>
  <Paragraphs>837</Paragraphs>
  <ScaleCrop>false</ScaleCrop>
  <Company/>
  <LinksUpToDate>false</LinksUpToDate>
  <CharactersWithSpaces>418544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2024-01-04T16:14:00Z</dcterms:created>
  <dcterms:modified xsi:type="dcterms:W3CDTF">2024-01-04T16:14:00Z</dcterms:modified>
</cp:coreProperties>
</file>