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22B2C">
      <w:pPr>
        <w:divId w:val="378944599"/>
        <w:rPr>
          <w:rFonts w:eastAsia="Times New Roman"/>
          <w:vanish/>
        </w:rPr>
      </w:pPr>
      <w:r>
        <w:rPr>
          <w:rFonts w:eastAsia="Times New Roman"/>
          <w:vanish/>
        </w:rPr>
        <w:t>2.231.881.59153406138301124336000false35811190.0100014252052021FY194194trueP1Y10M3D358111928421581570047421570047421478749170001425205us-gaap:CommonStockMember2020-01-012020-12-310001425205</w:t>
      </w:r>
      <w:r>
        <w:rPr>
          <w:rFonts w:eastAsia="Times New Roman"/>
          <w:vanish/>
        </w:rPr>
        <w:t>us-gaap:SeriesBPreferredStockMemberus-gaap:PreferredStockMember2019-01-012019-12-310001425205iova:SolomonCapitalLlcLitigationMember2013-03-012013-03-310001425205srt:CumulativeEffectPeriodOfAdoptionAdjustmentMemberus-gaap:RetainedEarningsMember2019-12-31000</w:t>
      </w:r>
      <w:r>
        <w:rPr>
          <w:rFonts w:eastAsia="Times New Roman"/>
          <w:vanish/>
        </w:rPr>
        <w:t>1425205srt:CumulativeEffectPeriodOfAdoptionAdjustmentMemberus-gaap:AdditionalPaidInCapitalMember2019-12-310001425205us-gaap:RetainedEarningsMember2021-12-310001425205us-gaap:AdditionalPaidInCapitalMember2021-12-310001425205us-gaap:AccumulatedOtherComprehen</w:t>
      </w:r>
      <w:r>
        <w:rPr>
          <w:rFonts w:eastAsia="Times New Roman"/>
          <w:vanish/>
        </w:rPr>
        <w:t>siveIncomeMember2021-12-310001425205us-gaap:RetainedEarningsMember2020-12-310001425205us-gaap:AdditionalPaidInCapitalMember2020-12-310001425205us-gaap:AccumulatedOtherComprehensiveIncomeMember2020-12-310001425205us-gaap:RetainedEarningsMember2019-12-310001</w:t>
      </w:r>
      <w:r>
        <w:rPr>
          <w:rFonts w:eastAsia="Times New Roman"/>
          <w:vanish/>
        </w:rPr>
        <w:t>425205us-gaap:AdditionalPaidInCapitalMember2019-12-310001425205us-gaap:AccumulatedOtherComprehensiveIncomeMember2019-12-310001425205us-gaap:RetainedEarningsMember2018-12-310001425205us-gaap:AdditionalPaidInCapitalMember2018-12-310001425205us-gaap:Accumulat</w:t>
      </w:r>
      <w:r>
        <w:rPr>
          <w:rFonts w:eastAsia="Times New Roman"/>
          <w:vanish/>
        </w:rPr>
        <w:t>edOtherComprehensiveIncomeMember2018-12-310001425205us-gaap:SeriesBPreferredStockMemberus-gaap:PreferredStockMember2021-12-310001425205us-gaap:SeriesAPreferredStockMemberus-gaap:PreferredStockMember2021-12-310001425205us-gaap:CommonStockMember2021-12-31000</w:t>
      </w:r>
      <w:r>
        <w:rPr>
          <w:rFonts w:eastAsia="Times New Roman"/>
          <w:vanish/>
        </w:rPr>
        <w:t>1425205us-gaap:SeriesBPreferredStockMemberus-gaap:PreferredStockMember2020-12-310001425205us-gaap:SeriesAPreferredStockMemberus-gaap:PreferredStockMember2020-12-310001425205us-gaap:CommonStockMember2020-12-310001425205us-gaap:SeriesBPreferredStockMemberus-</w:t>
      </w:r>
      <w:r>
        <w:rPr>
          <w:rFonts w:eastAsia="Times New Roman"/>
          <w:vanish/>
        </w:rPr>
        <w:t>gaap:PreferredStockMember2019-12-310001425205us-gaap:SeriesAPreferredStockMemberus-gaap:PreferredStockMember2019-12-310001425205us-gaap:CommonStockMember2019-12-310001425205us-gaap:SeriesBPreferredStockMemberus-gaap:PreferredStockMember2018-12-310001425205</w:t>
      </w:r>
      <w:r>
        <w:rPr>
          <w:rFonts w:eastAsia="Times New Roman"/>
          <w:vanish/>
        </w:rPr>
        <w:t>us-gaap:SeriesAPreferredStockMemberus-gaap:PreferredStockMember2018-12-310001425205us-gaap:CommonStockMember2018-12-310001425205us-gaap:IPOMember2020-06-300001425205us-gaap:EmployeeStockOptionMember2020-12-310001425205us-gaap:EmployeeStockOptionMember2019-</w:t>
      </w:r>
      <w:r>
        <w:rPr>
          <w:rFonts w:eastAsia="Times New Roman"/>
          <w:vanish/>
        </w:rPr>
        <w:t>12-310001425205us-gaap:EmployeeStockOptionMember2018-12-310001425205us-gaap:EmployeeStockOptionMember2020-01-012020-12-310001425205us-gaap:EmployeeStockOptionMember2019-01-012019-12-310001425205us-gaap:EmployeeStockOptionMember2021-01-012021-12-31000142520</w:t>
      </w:r>
      <w:r>
        <w:rPr>
          <w:rFonts w:eastAsia="Times New Roman"/>
          <w:vanish/>
        </w:rPr>
        <w:t>5us-gaap:EmployeeStockOptionMember2021-12-310001425205iova:TwoThousandTwentyOneInducementPlanMember2021-12-310001425205iova:TwoThousandFourteenEquityIncentivePlanMember2021-12-310001425205iova:TwentyEighteenEquityIncentivePlanMember2021-12-310001425205iova</w:t>
      </w:r>
      <w:r>
        <w:rPr>
          <w:rFonts w:eastAsia="Times New Roman"/>
          <w:vanish/>
        </w:rPr>
        <w:t>:TwoThousandTwentyOneInducementPlanMemberus-gaap:SubsequentEventMember2022-01-120001425205iova:TwoThousandTwentyOneInducementPlanMemberus-gaap:SubsequentEventMember2022-01-110001425205iova:TwoThousandTwentyOneInducementPlanMember2021-09-220001425205iova:Tw</w:t>
      </w:r>
      <w:r>
        <w:rPr>
          <w:rFonts w:eastAsia="Times New Roman"/>
          <w:vanish/>
        </w:rPr>
        <w:t>entyEighteenEquityIncentivePlanMember2020-06-080001425205iova:TwentyEighteenEquityIncentivePlanMember2020-06-070001425205iova:TwentyEighteenEquityIncentivePlanMember2018-04-220001425205srt:MinimumMemberiova:TwoThousandTwentyEsppMember2021-01-012021-12-3100</w:t>
      </w:r>
      <w:r>
        <w:rPr>
          <w:rFonts w:eastAsia="Times New Roman"/>
          <w:vanish/>
        </w:rPr>
        <w:t>01425205srt:MaximumMemberiova:TwoThousandTwentyEsppMember2021-01-012021-12-310001425205srt:MinimumMemberus-gaap:EmployeeStockOptionMember2021-01-012021-12-310001425205srt:MaximumMemberus-gaap:EmployeeStockOptionMember2021-01-012021-12-310001425205srt:Minim</w:t>
      </w:r>
      <w:r>
        <w:rPr>
          <w:rFonts w:eastAsia="Times New Roman"/>
          <w:vanish/>
        </w:rPr>
        <w:t>umMemberus-gaap:EmployeeStockOptionMember2020-01-012020-12-310001425205srt:MaximumMemberus-gaap:EmployeeStockOptionMember2020-01-012020-12-310001425205srt:MinimumMemberus-gaap:EmployeeStockOptionMember2019-01-012019-12-310001425205srt:MaximumMemberus-gaap:</w:t>
      </w:r>
      <w:r>
        <w:rPr>
          <w:rFonts w:eastAsia="Times New Roman"/>
          <w:vanish/>
        </w:rPr>
        <w:t>EmployeeStockOptionMember2019-01-012019-12-310001425205us-gaap:RestrictedStockUnitsRSUMember2021-06-012021-06-300001425205srt:ChiefExecutiveOfficerMemberus-gaap:RestrictedStockUnitsRSUMember2016-06-012016-06-010001425205us-gaap:ResearchAndDevelopmentExpens</w:t>
      </w:r>
      <w:r>
        <w:rPr>
          <w:rFonts w:eastAsia="Times New Roman"/>
          <w:vanish/>
        </w:rPr>
        <w:t>eMember2021-01-012021-12-310001425205us-gaap:GeneralAndAdministrativeExpenseMember2021-01-012021-12-310001425205iova:TwoThousandTwentyEsppMember2021-01-012021-12-310001425205us-gaap:RestrictedStockUnitsRSUMember2020-01-012020-12-310001425205us-gaap:Researc</w:t>
      </w:r>
      <w:r>
        <w:rPr>
          <w:rFonts w:eastAsia="Times New Roman"/>
          <w:vanish/>
        </w:rPr>
        <w:t>hAndDevelopmentExpenseMember2020-01-012020-12-310001425205us-gaap:GeneralAndAdministrativeExpenseMember2020-01-012020-12-310001425205us-gaap:EmployeeStockOptionMember2020-01-012020-12-310001425205iova:TwoThousandTwentyEsppMember2020-01-012020-12-3100014252</w:t>
      </w:r>
      <w:r>
        <w:rPr>
          <w:rFonts w:eastAsia="Times New Roman"/>
          <w:vanish/>
        </w:rPr>
        <w:t>05us-gaap:RestrictedStockUnitsRSUMember2019-01-012019-12-310001425205us-gaap:ResearchAndDevelopmentExpenseMember2019-01-012019-12-310001425205us-gaap:GeneralAndAdministrativeExpenseMember2019-01-012019-12-310001425205us-gaap:EmployeeStockOptionMember2019-0</w:t>
      </w:r>
      <w:r>
        <w:rPr>
          <w:rFonts w:eastAsia="Times New Roman"/>
          <w:vanish/>
        </w:rPr>
        <w:t>1-012019-12-310001425205iova:WuxiApptechIncManufacturingAndServicesAgreementMember2021-01-012021-12-310001425205iova:StrategicAllianceAgreementMember2021-01-012021-12-310001425205iova:ResearchCollaborationAndClinicalGrantAgreementsMember2021-01-012021-12-3</w:t>
      </w:r>
      <w:r>
        <w:rPr>
          <w:rFonts w:eastAsia="Times New Roman"/>
          <w:vanish/>
        </w:rPr>
        <w:t>10001425205iova:MoffittLicenseAgreementTwoMember2021-01-012021-12-310001425205iova:CooperativeResearchAndDevelopmentAgreementMember2021-01-012021-12-310001425205iova:CellectisS.aMember2020-01-012021-12-310001425205iova:WuxiApptechIncManufacturingAndService</w:t>
      </w:r>
      <w:r>
        <w:rPr>
          <w:rFonts w:eastAsia="Times New Roman"/>
          <w:vanish/>
        </w:rPr>
        <w:t>sAgreementMember2020-01-012020-12-310001425205iova:StrategicAllianceAgreementMember2020-01-012020-12-310001425205iova:ResearchCollaborationAndClinicalGrantAgreementsMember2020-01-012020-12-310001425205iova:NovartisPharmaAgLicenseAgreementMember2020-01-0120</w:t>
      </w:r>
      <w:r>
        <w:rPr>
          <w:rFonts w:eastAsia="Times New Roman"/>
          <w:vanish/>
        </w:rPr>
        <w:t>20-12-310001425205iova:MoffittLicenseAgreementTwoMember2020-01-012020-12-310001425205iova:CooperativeResearchAndDevelopmentAgreementMember2020-01-012020-12-310001425205iova:MoffittLicenseAgreementOneMember2019-01-012021-12-310001425205iova:WuxiApptechIncMa</w:t>
      </w:r>
      <w:r>
        <w:rPr>
          <w:rFonts w:eastAsia="Times New Roman"/>
          <w:vanish/>
        </w:rPr>
        <w:t>nufacturingAndServicesAgreementMember2019-01-012019-12-310001425205iova:StrategicAllianceAgreementMember2019-01-012019-12-310001425205iova:ResearchCollaborationAndClinicalGrantAgreementsMember2019-01-012019-12-310001425205iova:MoffittLicenseAgreementTwoMem</w:t>
      </w:r>
      <w:r>
        <w:rPr>
          <w:rFonts w:eastAsia="Times New Roman"/>
          <w:vanish/>
        </w:rPr>
        <w:t>ber2019-01-012019-12-310001425205iova:CooperativeResearchAndDevelopmentAgreementMember2019-01-012019-12-310001425205srt:MaximumMemberiova:StrategicAllianceAgreementMember2017-04-012017-04-300001425205srt:MinimumMemberus-gaap:MachineryAndEquipmentMember2021</w:t>
      </w:r>
      <w:r>
        <w:rPr>
          <w:rFonts w:eastAsia="Times New Roman"/>
          <w:vanish/>
        </w:rPr>
        <w:t>-01-012021-12-310001425205srt:MaximumMemberus-gaap:MachineryAndEquipmentMember2021-01-012021-12-310001425205us-gaap:OfficeEquipmentMember2021-01-012021-12-310001425205us-gaap:ComputerSoftwareIntangibleAssetMember2021-01-012021-12-310001425205us-gaap:Comput</w:t>
      </w:r>
      <w:r>
        <w:rPr>
          <w:rFonts w:eastAsia="Times New Roman"/>
          <w:vanish/>
        </w:rPr>
        <w:t>erEquipmentMember2021-01-012021-12-310001425205us-gaap:OfficeEquipmentMember2021-12-310001425205us-gaap:MachineryAndEquipmentMember2021-12-310001425205us-gaap:LeaseholdImprovementsMember2021-12-310001425205us-gaap:EquipmentMember2021-12-310001425205us-gaap</w:t>
      </w:r>
      <w:r>
        <w:rPr>
          <w:rFonts w:eastAsia="Times New Roman"/>
          <w:vanish/>
        </w:rPr>
        <w:t>:ConstructionInProgressMember2021-12-310001425205us-gaap:ComputerSoftwareIntangibleAssetMember2021-12-310001425205us-gaap:ComputerEquipmentMember2021-12-310001425205iova:UtilityEquipmentMember2021-12-310001425205us-gaap:OfficeEquipmentMember2020-12-3100014</w:t>
      </w:r>
      <w:r>
        <w:rPr>
          <w:rFonts w:eastAsia="Times New Roman"/>
          <w:vanish/>
        </w:rPr>
        <w:t>25205us-gaap:LeaseholdImprovementsMember2020-12-310001425205us-gaap:EquipmentMember2020-12-310001425205us-gaap:ConstructionInProgressMember2020-12-310001425205us-gaap:ComputerEquipmentMember2020-12-310001425205us-gaap:LeaseholdImprovementsMember2021-01-012</w:t>
      </w:r>
      <w:r>
        <w:rPr>
          <w:rFonts w:eastAsia="Times New Roman"/>
          <w:vanish/>
        </w:rPr>
        <w:t>021-12-310001425205us-gaap:EquipmentMember2021-01-012021-12-310001425205iova:UtilityEquipmentMember2021-01-012021-12-310001425205iova:SolomonCapitalLlcLitigationMember2011-11-012011-11-300001425205iova:SolomonCapitalLlcLitigationMember2011-06-012011-06-300</w:t>
      </w:r>
      <w:r>
        <w:rPr>
          <w:rFonts w:eastAsia="Times New Roman"/>
          <w:vanish/>
        </w:rPr>
        <w:t>001425205us-gaap:IPOMember2020-06-012020-06-300001425205us-gaap:SeriesBPreferredStockMemberus-gaap:CommonStockMember2021-12-310001425205us-gaap:SeriesBPreferredStockMemberus-gaap:CommonStockMember2020-12-310001425205iova:SeriesConvertiblePreferredStockMemb</w:t>
      </w:r>
      <w:r>
        <w:rPr>
          <w:rFonts w:eastAsia="Times New Roman"/>
          <w:vanish/>
        </w:rPr>
        <w:t>er2020-12-310001425205us-gaap:SeriesBPreferredStockMemberus-gaap:IPOMember2021-12-310001425205iova:SeriesConvertiblePreferredStockMember2021-12-310001425205iova:BlankCheckMember2021-12-310001425205iova:SeriesConvertiblePreferredStockMemberus-gaap:PrivatePl</w:t>
      </w:r>
      <w:r>
        <w:rPr>
          <w:rFonts w:eastAsia="Times New Roman"/>
          <w:vanish/>
        </w:rPr>
        <w:t>acementMember2021-12-310001425205us-gaap:SeriesBPreferredStockMember2021-12-310001425205us-gaap:SeriesAPreferredStockMember2021-12-310001425205us-gaap:SeriesBPreferredStockMember2020-12-310001425205us-gaap:SeriesAPreferredStockMember2020-12-310001425205us-</w:t>
      </w:r>
      <w:r>
        <w:rPr>
          <w:rFonts w:eastAsia="Times New Roman"/>
          <w:vanish/>
        </w:rPr>
        <w:t>gaap:AccumulatedOtherComprehensiveIncomeMember2021-01-012021-12-310001425205us-gaap:AccumulatedOtherComprehensiveIncomeMember2020-01-012020-12-310001425205us-gaap:AccumulatedOtherComprehensiveIncomeMember2019-01-012019-12-310001425205us-gaap:StateAndLocalJ</w:t>
      </w:r>
      <w:r>
        <w:rPr>
          <w:rFonts w:eastAsia="Times New Roman"/>
          <w:vanish/>
        </w:rPr>
        <w:t>urisdictionMember2021-12-310001425205us-gaap:DomesticCountryMember2021-12-310001425205us-gaap:RetainedEarningsMember2021-01-012021-12-310001425205us-gaap:RetainedEarningsMember2020-01-012020-12-310001425205us-gaap:RetainedEarningsMember2019-01-012019-12-31</w:t>
      </w:r>
      <w:r>
        <w:rPr>
          <w:rFonts w:eastAsia="Times New Roman"/>
          <w:vanish/>
        </w:rPr>
        <w:t>0001425205srt:MinimumMember2016-04-0800014252052016-06-032016-06-030001425205srt:MinimumMemberiova:OfficeSpaceMember2021-12-310001425205srt:MaximumMemberus-gaap:FurnitureAndFixturesMember2021-12-310001425205srt:MinimumMember2021-12-310001425205srt:MaximumM</w:t>
      </w:r>
      <w:r>
        <w:rPr>
          <w:rFonts w:eastAsia="Times New Roman"/>
          <w:vanish/>
        </w:rPr>
        <w:t>ember2021-12-310001425205iova:CmoEmbeddedLeasesMember2021-12-310001425205us-gaap:RestrictedStockUnitsRSUMember2021-12-310001425205us-gaap:RestrictedStockUnitsRSUMember2021-01-012021-12-310001425205us-gaap:EmployeeStockOptionMember2021-01-012021-12-31000142</w:t>
      </w:r>
      <w:r>
        <w:rPr>
          <w:rFonts w:eastAsia="Times New Roman"/>
          <w:vanish/>
        </w:rPr>
        <w:t>5205iova:TwoThousandTwentyEsppMember2020-01-012020-12-310001425205us-gaap:EmployeeStockOptionMember2021-12-310001425205iova:CommercialManufacturingFacilityAgreementMember2021-01-012021-12-310001425205iova:SolomonCapitalLlcLitigationMemberus-gaap:Commercial</w:t>
      </w:r>
      <w:r>
        <w:rPr>
          <w:rFonts w:eastAsia="Times New Roman"/>
          <w:vanish/>
        </w:rPr>
        <w:t>PaperMember2016-04-080001425205iova:SolomonCapitalLlcLitigationMember2016-04-082016-04-080001425205iova:IssuanceOfCommonStockUponConversionOfPreferredStockMemberus-gaap:SeriesBPreferredStockMember2021-01-012021-12-310001425205iova:IssuanceOfCommonStockUpon</w:t>
      </w:r>
      <w:r>
        <w:rPr>
          <w:rFonts w:eastAsia="Times New Roman"/>
          <w:vanish/>
        </w:rPr>
        <w:t>ConversionOfPreferredStockMemberus-gaap:SeriesBPreferredStockMember2020-01-012020-12-310001425205iova:SeriesConvertiblePreferredStockMember2021-01-012021-12-310001425205iova:SeriesConvertiblePreferredStockMember2020-01-012020-12-310001425205iova:TwoThousan</w:t>
      </w:r>
      <w:r>
        <w:rPr>
          <w:rFonts w:eastAsia="Times New Roman"/>
          <w:vanish/>
        </w:rPr>
        <w:t>dTwentyEsppMember2021-12-310001425205iova:TwoThousandTwentyEsppMember2020-12-310001425205us-gaap:DemandDepositsMember2021-12-310001425205us-gaap:DemandDepositsMember2020-12-3100014252052018-12-3100014252052019-12-3100014252052020-01-012021-12-310001425205u</w:t>
      </w:r>
      <w:r>
        <w:rPr>
          <w:rFonts w:eastAsia="Times New Roman"/>
          <w:vanish/>
        </w:rPr>
        <w:t>s-gaap:MoneyMarketFundsMember2021-12-310001425205us-gaap:MoneyMarketFundsMember2020-12-310001425205us-gaap:USTreasurySecuritiesMember2021-12-310001425205us-gaap:USGovernmentCorporationsAndAgenciesSecuritiesMember2021-12-310001425205us-gaap:CorporateDebtSec</w:t>
      </w:r>
      <w:r>
        <w:rPr>
          <w:rFonts w:eastAsia="Times New Roman"/>
          <w:vanish/>
        </w:rPr>
        <w:t>uritiesMember2021-12-310001425205us-gaap:CommercialPaperMember2021-12-310001425205us-gaap:USTreasurySecuritiesMember2020-12-310001425205us-gaap:USGovernmentCorporationsAndAgenciesSecuritiesMember2020-12-310001425205us-gaap:FairValueInputsLevel2Memberus-gaa</w:t>
      </w:r>
      <w:r>
        <w:rPr>
          <w:rFonts w:eastAsia="Times New Roman"/>
          <w:vanish/>
        </w:rPr>
        <w:t>p:FairValueMeasurementsRecurringMemberus-gaap:USGovernmentCorporationsAndAgenciesSecuritiesMember2021-12-310001425205us-gaap:FairValueInputsLevel2Memberus-gaap:FairValueMeasurementsRecurringMemberus-gaap:CorporateDebtSecuritiesMember2021-12-310001425205us-</w:t>
      </w:r>
      <w:r>
        <w:rPr>
          <w:rFonts w:eastAsia="Times New Roman"/>
          <w:vanish/>
        </w:rPr>
        <w:t>gaap:FairValueInputsLevel2Memberus-gaap:FairValueMeasurementsRecurringMemberus-gaap:CommercialPaperMember2021-12-310001425205us-gaap:FairValueInputsLevel1Memberus-gaap:FairValueMeasurementsRecurringMemberus-gaap:USTreasurySecuritiesMember2021-12-3100014252</w:t>
      </w:r>
      <w:r>
        <w:rPr>
          <w:rFonts w:eastAsia="Times New Roman"/>
          <w:vanish/>
        </w:rPr>
        <w:t>05us-gaap:FairValueInputsLevel1Memberus-gaap:FairValueMeasurementsRecurringMemberus-gaap:MoneyMarketFundsMember2021-12-310001425205us-gaap:FairValueMeasurementsRecurringMemberus-gaap:USTreasurySecuritiesMember2021-12-310001425205us-gaap:FairValueMeasuremen</w:t>
      </w:r>
      <w:r>
        <w:rPr>
          <w:rFonts w:eastAsia="Times New Roman"/>
          <w:vanish/>
        </w:rPr>
        <w:t>tsRecurringMemberus-gaap:USGovernmentCorporationsAndAgenciesSecuritiesMember2021-12-310001425205us-gaap:FairValueMeasurementsRecurringMemberus-gaap:MoneyMarketFundsMember2021-12-310001425205us-gaap:FairValueMeasurementsRecurringMemberus-gaap:CorporateDebtS</w:t>
      </w:r>
      <w:r>
        <w:rPr>
          <w:rFonts w:eastAsia="Times New Roman"/>
          <w:vanish/>
        </w:rPr>
        <w:t>ecuritiesMember2021-12-310001425205us-gaap:FairValueMeasurementsRecurringMemberus-gaap:CommercialPaperMember2021-12-310001425205us-gaap:FairValueInputsLevel2Memberus-gaap:FairValueMeasurementsRecurringMember2021-12-310001425205us-gaap:FairValueInputsLevel1</w:t>
      </w:r>
      <w:r>
        <w:rPr>
          <w:rFonts w:eastAsia="Times New Roman"/>
          <w:vanish/>
        </w:rPr>
        <w:t>Memberus-gaap:FairValueMeasurementsRecurringMember2021-12-310001425205us-gaap:FairValueMeasurementsRecurringMember2021-12-310001425205us-gaap:FairValueInputsLevel1Memberus-gaap:FairValueMeasurementsRecurringMemberus-gaap:USTreasurySecuritiesMember2020-12-3</w:t>
      </w:r>
      <w:r>
        <w:rPr>
          <w:rFonts w:eastAsia="Times New Roman"/>
          <w:vanish/>
        </w:rPr>
        <w:t>10001425205us-gaap:FairValueInputsLevel1Memberus-gaap:FairValueMeasurementsRecurringMemberus-gaap:USGovernmentCorporationsAndAgenciesSecuritiesMember2020-12-310001425205us-gaap:FairValueInputsLevel1Memberus-gaap:FairValueMeasurementsRecurringMemberus-gaap:</w:t>
      </w:r>
      <w:r>
        <w:rPr>
          <w:rFonts w:eastAsia="Times New Roman"/>
          <w:vanish/>
        </w:rPr>
        <w:t>MoneyMarketFundsMember2020-12-310001425205us-gaap:FairValueMeasurementsRecurringMemberus-gaap:USTreasurySecuritiesMember2020-12-310001425205us-gaap:FairValueMeasurementsRecurringMemberus-gaap:USGovernmentCorporationsAndAgenciesSecuritiesMember2020-12-31000</w:t>
      </w:r>
      <w:r>
        <w:rPr>
          <w:rFonts w:eastAsia="Times New Roman"/>
          <w:vanish/>
        </w:rPr>
        <w:t>1425205us-gaap:FairValueMeasurementsRecurringMemberus-gaap:MoneyMarketFundsMember2020-12-310001425205us-gaap:FairValueInputsLevel1Memberus-gaap:FairValueMeasurementsRecurringMember2020-12-310001425205us-gaap:FairValueMeasurementsRecurringMember2020-12-3100</w:t>
      </w:r>
      <w:r>
        <w:rPr>
          <w:rFonts w:eastAsia="Times New Roman"/>
          <w:vanish/>
        </w:rPr>
        <w:t>01425205iova:SanCarlosCaliforniaMemberiova:NewHeadquartersLeaseMemberiova:OfficeSpaceMember2021-12-310001425205iova:PhiladelphiaPennsylvaniaMemberiova:OfficeSpaceMember2021-12-310001425205us-gaap:SeriesAPreferredStockMember2021-01-012021-12-310001425205us-</w:t>
      </w:r>
      <w:r>
        <w:rPr>
          <w:rFonts w:eastAsia="Times New Roman"/>
          <w:vanish/>
        </w:rPr>
        <w:t>gaap:RestrictedStockUnitsRSUMember2021-01-012021-12-310001425205us-gaap:EmployeeStockOptionMember2021-01-012021-12-310001425205iova:EmployeeStockPurchasePlanMember2021-01-012021-12-310001425205us-gaap:SeriesBPreferredStockMember2020-01-012020-12-3100014252</w:t>
      </w:r>
      <w:r>
        <w:rPr>
          <w:rFonts w:eastAsia="Times New Roman"/>
          <w:vanish/>
        </w:rPr>
        <w:t>05us-gaap:SeriesAPreferredStockMember2020-01-012020-12-310001425205us-gaap:EmployeeStockOptionMember2020-01-012020-12-310001425205iova:EmployeeStockPurchasePlanMember2020-01-012020-12-310001425205us-gaap:SeriesBPreferredStockMember2019-01-012019-12-3100014</w:t>
      </w:r>
      <w:r>
        <w:rPr>
          <w:rFonts w:eastAsia="Times New Roman"/>
          <w:vanish/>
        </w:rPr>
        <w:t>25205us-gaap:SeriesAPreferredStockMember2019-01-012019-12-310001425205us-gaap:RestrictedStockUnitsRSUMember2019-01-012019-12-310001425205us-gaap:EmployeeStockOptionMember2019-01-012019-12-310001425205iova:TwoThousandTwentyEsppMember2021-01-012021-12-310001</w:t>
      </w:r>
      <w:r>
        <w:rPr>
          <w:rFonts w:eastAsia="Times New Roman"/>
          <w:vanish/>
        </w:rPr>
        <w:t>425205us-gaap:AdditionalPaidInCapitalMember2020-01-012020-12-310001425205iova:AtMarketOfferingProgramMember2021-01-012021-12-310001425205iova:SanCarlosCaliforniaMemberiova:NewHeadquartersLeaseMemberiova:OfficeSpaceMember2021-01-012021-12-310001425205us-gaa</w:t>
      </w:r>
      <w:r>
        <w:rPr>
          <w:rFonts w:eastAsia="Times New Roman"/>
          <w:vanish/>
        </w:rPr>
        <w:t>p:AdditionalPaidInCapitalMember2019-01-012019-12-310001425205iova:AtMarketOfferingProgramMember2021-02-082021-02-080001425205iova:AtMarketOfferingProgramMember2021-02-080001425205iova:UnderwriterMemberus-gaap:IPOMember2020-06-012020-06-300001425205iova:Mof</w:t>
      </w:r>
      <w:r>
        <w:rPr>
          <w:rFonts w:eastAsia="Times New Roman"/>
          <w:vanish/>
        </w:rPr>
        <w:t>fittLicenseAgreementTwoAmendedAndRestatedMember2021-01-012021-12-310001425205iova:MoffittLicenseAgreementTwoMember2018-05-072018-05-070001425205iova:FacilityLeasesMember2021-12-3100014252052020-05-122020-05-120001425205iova:JobCreationLoanMember2021-01-262</w:t>
      </w:r>
      <w:r>
        <w:rPr>
          <w:rFonts w:eastAsia="Times New Roman"/>
          <w:vanish/>
        </w:rPr>
        <w:t>021-01-260001425205iova:JobCreationLoanMember2021-01-260001425205us-gaap:SeriesBPreferredStockMemberus-gaap:IPOMember2021-01-012021-12-310001425205iova:SeriesConvertiblePreferredStockMemberus-gaap:PrivatePlacementMember2021-01-012021-12-310001425205us-gaap</w:t>
      </w:r>
      <w:r>
        <w:rPr>
          <w:rFonts w:eastAsia="Times New Roman"/>
          <w:vanish/>
        </w:rPr>
        <w:t>:SeriesBPreferredStockMember2021-01-012021-12-310001425205iova:SeriesConvertiblePreferredStockMemberus-gaap:CommonStockMember2021-12-310001425205iova:SeriesConvertiblePreferredStockMemberus-gaap:CommonStockMember2020-12-310001425205us-gaap:CommonStockMembe</w:t>
      </w:r>
      <w:r>
        <w:rPr>
          <w:rFonts w:eastAsia="Times New Roman"/>
          <w:vanish/>
        </w:rPr>
        <w:t>r2021-01-012021-12-310001425205us-gaap:SeriesBPreferredStockMemberus-gaap:PreferredStockMember2021-01-012021-12-310001425205us-gaap:AdditionalPaidInCapitalMember2021-01-012021-12-3100014252052020-12-310001425205us-gaap:CommonStockMember2019-01-012019-12-31</w:t>
      </w:r>
      <w:r>
        <w:rPr>
          <w:rFonts w:eastAsia="Times New Roman"/>
          <w:vanish/>
        </w:rPr>
        <w:t>00014252052021-12-310001425205iova:ResearchCollaborationAndClinicalGrantAgreementsWithMoffittMember2016-12-012016-12-310001425205iova:WuxiApptechIncManufacturingAndServicesAgreementMember2016-11-012016-11-300001425205iova:CooperativeResearchAndDevelopmentA</w:t>
      </w:r>
      <w:r>
        <w:rPr>
          <w:rFonts w:eastAsia="Times New Roman"/>
          <w:vanish/>
        </w:rPr>
        <w:t>greementMember2016-08-012016-08-310001425205iova:MoffittLicenseAgreementOneMember2014-06-282014-06-280001425205iova:CooperativeResearchAndDevelopmentAgreementMember2011-08-012011-08-310001425205iova:MoffittLicenseAgreementTwoMember2021-12-3100014252052019-</w:t>
      </w:r>
      <w:r>
        <w:rPr>
          <w:rFonts w:eastAsia="Times New Roman"/>
          <w:vanish/>
        </w:rPr>
        <w:t>01-012019-12-3100014252052021-06-3000014252052022-02-1700014252052020-01-012020-12-3100014252052021-01-012021-12-31xbrli:sharesiso4217:USDiso4217:USDxbrli:sharesxbrli:pureiova:itemutr:sqftiova:segment</w:t>
      </w:r>
    </w:p>
    <w:p w:rsidR="00000000" w:rsidRDefault="00F22B2C">
      <w:pPr>
        <w:pStyle w:val="a3"/>
        <w:spacing w:before="0" w:beforeAutospacing="0" w:after="120" w:afterAutospacing="0"/>
        <w:divId w:val="1811745635"/>
        <w:rPr>
          <w:sz w:val="20"/>
          <w:szCs w:val="20"/>
        </w:rPr>
      </w:pPr>
      <w:hyperlink w:anchor="TOC" w:history="1">
        <w:r>
          <w:rPr>
            <w:rStyle w:val="a4"/>
            <w:sz w:val="20"/>
            <w:szCs w:val="20"/>
          </w:rPr>
          <w:t>Table of Contents</w:t>
        </w:r>
      </w:hyperlink>
    </w:p>
    <w:p w:rsidR="00000000" w:rsidRDefault="00F22B2C">
      <w:pPr>
        <w:pStyle w:val="a3"/>
        <w:pBdr>
          <w:top w:val="single" w:sz="24" w:space="1" w:color="000000"/>
          <w:bottom w:val="single" w:sz="8" w:space="1" w:color="000000"/>
        </w:pBdr>
        <w:spacing w:before="0" w:beforeAutospacing="0" w:after="0" w:afterAutospacing="0"/>
        <w:divId w:val="1719891144"/>
        <w:rPr>
          <w:sz w:val="20"/>
          <w:szCs w:val="20"/>
        </w:rPr>
      </w:pPr>
      <w:r>
        <w:rPr>
          <w:sz w:val="2"/>
          <w:szCs w:val="2"/>
        </w:rPr>
        <w:t>​</w:t>
      </w:r>
    </w:p>
    <w:p w:rsidR="00000000" w:rsidRDefault="00F22B2C">
      <w:pPr>
        <w:pStyle w:val="a3"/>
        <w:spacing w:before="0" w:beforeAutospacing="0" w:after="0" w:afterAutospacing="0"/>
        <w:divId w:val="1719891144"/>
        <w:rPr>
          <w:sz w:val="20"/>
          <w:szCs w:val="20"/>
        </w:rPr>
      </w:pPr>
      <w:r>
        <w:rPr>
          <w:sz w:val="14"/>
          <w:szCs w:val="14"/>
        </w:rPr>
        <w:t>​</w:t>
      </w:r>
    </w:p>
    <w:p w:rsidR="00000000" w:rsidRDefault="00F22B2C">
      <w:pPr>
        <w:pStyle w:val="a3"/>
        <w:spacing w:before="0" w:beforeAutospacing="0" w:after="0" w:afterAutospacing="0"/>
        <w:jc w:val="center"/>
        <w:divId w:val="1719891144"/>
        <w:rPr>
          <w:sz w:val="14"/>
          <w:szCs w:val="14"/>
        </w:rPr>
      </w:pPr>
      <w:r>
        <w:rPr>
          <w:b/>
          <w:bCs/>
          <w:sz w:val="14"/>
          <w:szCs w:val="14"/>
        </w:rPr>
        <w:t xml:space="preserve">UNITED </w:t>
      </w:r>
      <w:r>
        <w:rPr>
          <w:b/>
          <w:bCs/>
          <w:sz w:val="14"/>
          <w:szCs w:val="14"/>
        </w:rPr>
        <w:t>STATES</w:t>
      </w:r>
    </w:p>
    <w:p w:rsidR="00000000" w:rsidRDefault="00F22B2C">
      <w:pPr>
        <w:pStyle w:val="a3"/>
        <w:spacing w:before="0" w:beforeAutospacing="0" w:after="0" w:afterAutospacing="0"/>
        <w:jc w:val="center"/>
        <w:divId w:val="1719891144"/>
        <w:rPr>
          <w:sz w:val="14"/>
          <w:szCs w:val="14"/>
        </w:rPr>
      </w:pPr>
      <w:r>
        <w:rPr>
          <w:b/>
          <w:bCs/>
          <w:sz w:val="14"/>
          <w:szCs w:val="14"/>
        </w:rPr>
        <w:t>SECURITIES AND EXCHANGE COMMISSION</w:t>
      </w:r>
    </w:p>
    <w:p w:rsidR="00000000" w:rsidRDefault="00F22B2C">
      <w:pPr>
        <w:pStyle w:val="a3"/>
        <w:spacing w:before="0" w:beforeAutospacing="0" w:after="0" w:afterAutospacing="0"/>
        <w:jc w:val="center"/>
        <w:divId w:val="1719891144"/>
        <w:rPr>
          <w:sz w:val="14"/>
          <w:szCs w:val="14"/>
        </w:rPr>
      </w:pPr>
      <w:r>
        <w:rPr>
          <w:b/>
          <w:bCs/>
          <w:sz w:val="14"/>
          <w:szCs w:val="14"/>
        </w:rPr>
        <w:t>WASHINGTON, D.C. 20549</w:t>
      </w:r>
    </w:p>
    <w:p w:rsidR="00000000" w:rsidRDefault="00F22B2C">
      <w:pPr>
        <w:pStyle w:val="a3"/>
        <w:spacing w:before="0" w:beforeAutospacing="0" w:after="0" w:afterAutospacing="0"/>
        <w:jc w:val="center"/>
        <w:divId w:val="1719891144"/>
        <w:rPr>
          <w:sz w:val="20"/>
          <w:szCs w:val="20"/>
        </w:rPr>
      </w:pPr>
      <w:r>
        <w:rPr>
          <w:sz w:val="8"/>
          <w:szCs w:val="8"/>
        </w:rPr>
        <w:t>​</w:t>
      </w:r>
    </w:p>
    <w:p w:rsidR="00000000" w:rsidRDefault="00F22B2C">
      <w:pPr>
        <w:pStyle w:val="a3"/>
        <w:spacing w:before="0" w:beforeAutospacing="0" w:after="0" w:afterAutospacing="0"/>
        <w:jc w:val="center"/>
        <w:divId w:val="1719891144"/>
        <w:rPr>
          <w:sz w:val="20"/>
          <w:szCs w:val="20"/>
        </w:rPr>
      </w:pPr>
      <w:r>
        <w:rPr>
          <w:b/>
          <w:bCs/>
          <w:sz w:val="14"/>
          <w:szCs w:val="14"/>
        </w:rPr>
        <w:t>Form 10-K</w:t>
      </w:r>
    </w:p>
    <w:p w:rsidR="00000000" w:rsidRDefault="00F22B2C">
      <w:pPr>
        <w:pStyle w:val="a3"/>
        <w:spacing w:before="0" w:beforeAutospacing="0" w:after="0" w:afterAutospacing="0"/>
        <w:jc w:val="center"/>
        <w:divId w:val="1719891144"/>
        <w:rPr>
          <w:sz w:val="20"/>
          <w:szCs w:val="20"/>
        </w:rPr>
      </w:pPr>
      <w:r>
        <w:rPr>
          <w:sz w:val="8"/>
          <w:szCs w:val="8"/>
        </w:rPr>
        <w:t>​</w:t>
      </w:r>
    </w:p>
    <w:p w:rsidR="00000000" w:rsidRDefault="00F22B2C">
      <w:pPr>
        <w:pStyle w:val="a3"/>
        <w:spacing w:before="0" w:beforeAutospacing="0" w:after="0" w:afterAutospacing="0"/>
        <w:divId w:val="1719891144"/>
        <w:rPr>
          <w:sz w:val="14"/>
          <w:szCs w:val="14"/>
        </w:rPr>
      </w:pPr>
      <w:r>
        <w:rPr>
          <w:sz w:val="14"/>
          <w:szCs w:val="14"/>
        </w:rPr>
        <w:t>(Mark One)</w:t>
      </w:r>
    </w:p>
    <w:p w:rsidR="00000000" w:rsidRDefault="00F22B2C">
      <w:pPr>
        <w:pStyle w:val="a3"/>
        <w:spacing w:before="0" w:beforeAutospacing="0" w:after="0" w:afterAutospacing="0"/>
        <w:divId w:val="1719891144"/>
        <w:rPr>
          <w:sz w:val="20"/>
          <w:szCs w:val="20"/>
        </w:rPr>
      </w:pPr>
      <w:r>
        <w:rPr>
          <w:sz w:val="8"/>
          <w:szCs w:val="8"/>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6526"/>
      </w:tblGrid>
      <w:tr w:rsidR="00000000">
        <w:trPr>
          <w:divId w:val="1719891144"/>
        </w:trPr>
        <w:tc>
          <w:tcPr>
            <w:tcW w:w="720" w:type="dxa"/>
            <w:noWrap/>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rFonts w:ascii="Segoe UI Symbol" w:hAnsi="Segoe UI Symbol"/>
                <w:sz w:val="14"/>
                <w:szCs w:val="14"/>
              </w:rPr>
              <w:t>☒</w:t>
            </w:r>
          </w:p>
        </w:tc>
        <w:tc>
          <w:tcPr>
            <w:tcW w:w="0" w:type="auto"/>
            <w:tcMar>
              <w:top w:w="0" w:type="dxa"/>
              <w:left w:w="0" w:type="dxa"/>
              <w:bottom w:w="0" w:type="dxa"/>
              <w:right w:w="0" w:type="dxa"/>
            </w:tcMar>
            <w:vAlign w:val="center"/>
            <w:hideMark/>
          </w:tcPr>
          <w:p w:rsidR="00000000" w:rsidRDefault="00F22B2C">
            <w:pPr>
              <w:pStyle w:val="a3"/>
              <w:spacing w:before="0" w:beforeAutospacing="0" w:after="0" w:afterAutospacing="0"/>
              <w:rPr>
                <w:sz w:val="20"/>
                <w:szCs w:val="20"/>
              </w:rPr>
            </w:pPr>
            <w:r>
              <w:rPr>
                <w:sz w:val="14"/>
                <w:szCs w:val="14"/>
              </w:rPr>
              <w:t>ANNUAL REPORT PURSUANT TO SECTION 13 OR 15(d) OF THE SECURITIES EXCHANGE ACT OF 1934</w:t>
            </w:r>
          </w:p>
        </w:tc>
      </w:tr>
    </w:tbl>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jc w:val="center"/>
        <w:divId w:val="1719891144"/>
        <w:rPr>
          <w:sz w:val="20"/>
          <w:szCs w:val="20"/>
        </w:rPr>
      </w:pPr>
      <w:r>
        <w:rPr>
          <w:sz w:val="14"/>
          <w:szCs w:val="14"/>
        </w:rPr>
        <w:t>For the fiscal year ended December 31, 2021</w:t>
      </w:r>
    </w:p>
    <w:p w:rsidR="00000000" w:rsidRDefault="00F22B2C">
      <w:pPr>
        <w:pStyle w:val="a3"/>
        <w:spacing w:before="0" w:beforeAutospacing="0" w:after="0" w:afterAutospacing="0"/>
        <w:divId w:val="1719891144"/>
        <w:rPr>
          <w:sz w:val="20"/>
          <w:szCs w:val="20"/>
        </w:rPr>
      </w:pPr>
      <w:r>
        <w:rPr>
          <w:sz w:val="8"/>
          <w:szCs w:val="8"/>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6775"/>
      </w:tblGrid>
      <w:tr w:rsidR="00000000">
        <w:trPr>
          <w:divId w:val="1719891144"/>
        </w:trPr>
        <w:tc>
          <w:tcPr>
            <w:tcW w:w="720" w:type="dxa"/>
            <w:noWrap/>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rFonts w:ascii="Segoe UI Symbol" w:hAnsi="Segoe UI Symbol"/>
                <w:sz w:val="14"/>
                <w:szCs w:val="14"/>
              </w:rPr>
              <w:t>☐</w:t>
            </w:r>
          </w:p>
        </w:tc>
        <w:tc>
          <w:tcPr>
            <w:tcW w:w="0" w:type="auto"/>
            <w:tcMar>
              <w:top w:w="0" w:type="dxa"/>
              <w:left w:w="0" w:type="dxa"/>
              <w:bottom w:w="0" w:type="dxa"/>
              <w:right w:w="0" w:type="dxa"/>
            </w:tcMar>
            <w:vAlign w:val="center"/>
            <w:hideMark/>
          </w:tcPr>
          <w:p w:rsidR="00000000" w:rsidRDefault="00F22B2C">
            <w:pPr>
              <w:pStyle w:val="a3"/>
              <w:spacing w:before="0" w:beforeAutospacing="0" w:after="0" w:afterAutospacing="0"/>
              <w:rPr>
                <w:sz w:val="20"/>
                <w:szCs w:val="20"/>
              </w:rPr>
            </w:pPr>
            <w:r>
              <w:rPr>
                <w:sz w:val="14"/>
                <w:szCs w:val="14"/>
              </w:rPr>
              <w:t>TRANSITION REPORT PURSUANT TO SECTION 13 OR 15(d) OF THE SECURITIES EXCHANGE ACT OF 1934</w:t>
            </w:r>
          </w:p>
        </w:tc>
      </w:tr>
    </w:tbl>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jc w:val="center"/>
        <w:divId w:val="1719891144"/>
        <w:rPr>
          <w:sz w:val="14"/>
          <w:szCs w:val="14"/>
        </w:rPr>
      </w:pPr>
      <w:r>
        <w:rPr>
          <w:sz w:val="14"/>
          <w:szCs w:val="14"/>
        </w:rPr>
        <w:t>For the transaction period from __________ to __________</w:t>
      </w:r>
    </w:p>
    <w:p w:rsidR="00000000" w:rsidRDefault="00F22B2C">
      <w:pPr>
        <w:pStyle w:val="a3"/>
        <w:spacing w:before="0" w:beforeAutospacing="0" w:after="0" w:afterAutospacing="0"/>
        <w:jc w:val="center"/>
        <w:divId w:val="1719891144"/>
        <w:rPr>
          <w:sz w:val="20"/>
          <w:szCs w:val="20"/>
        </w:rPr>
      </w:pPr>
      <w:r>
        <w:rPr>
          <w:sz w:val="8"/>
          <w:szCs w:val="8"/>
        </w:rPr>
        <w:t>​</w:t>
      </w:r>
    </w:p>
    <w:p w:rsidR="00000000" w:rsidRDefault="00F22B2C">
      <w:pPr>
        <w:pStyle w:val="a3"/>
        <w:spacing w:before="0" w:beforeAutospacing="0" w:after="0" w:afterAutospacing="0"/>
        <w:jc w:val="center"/>
        <w:divId w:val="1719891144"/>
        <w:rPr>
          <w:sz w:val="20"/>
          <w:szCs w:val="20"/>
        </w:rPr>
      </w:pPr>
      <w:r>
        <w:rPr>
          <w:sz w:val="14"/>
          <w:szCs w:val="14"/>
        </w:rPr>
        <w:t>Commission file number: 001-36860</w:t>
      </w:r>
    </w:p>
    <w:p w:rsidR="00000000" w:rsidRDefault="00F22B2C">
      <w:pPr>
        <w:pStyle w:val="a3"/>
        <w:spacing w:before="0" w:beforeAutospacing="0" w:after="0" w:afterAutospacing="0"/>
        <w:jc w:val="center"/>
        <w:divId w:val="1719891144"/>
        <w:rPr>
          <w:sz w:val="20"/>
          <w:szCs w:val="20"/>
        </w:rPr>
      </w:pPr>
      <w:r>
        <w:rPr>
          <w:sz w:val="8"/>
          <w:szCs w:val="8"/>
        </w:rPr>
        <w:t>​</w:t>
      </w:r>
    </w:p>
    <w:p w:rsidR="00000000" w:rsidRDefault="00F22B2C">
      <w:pPr>
        <w:pStyle w:val="a3"/>
        <w:spacing w:before="0" w:beforeAutospacing="0" w:after="0" w:afterAutospacing="0"/>
        <w:jc w:val="center"/>
        <w:divId w:val="1719891144"/>
        <w:rPr>
          <w:sz w:val="22"/>
          <w:szCs w:val="22"/>
        </w:rPr>
      </w:pPr>
      <w:r>
        <w:rPr>
          <w:b/>
          <w:bCs/>
          <w:sz w:val="22"/>
          <w:szCs w:val="22"/>
        </w:rPr>
        <w:t>IOVANCE BIOTHERAPEUTICS, INC.</w:t>
      </w:r>
    </w:p>
    <w:p w:rsidR="00000000" w:rsidRDefault="00F22B2C">
      <w:pPr>
        <w:pStyle w:val="a3"/>
        <w:spacing w:before="0" w:beforeAutospacing="0" w:after="0" w:afterAutospacing="0"/>
        <w:jc w:val="center"/>
        <w:divId w:val="1719891144"/>
        <w:rPr>
          <w:sz w:val="14"/>
          <w:szCs w:val="14"/>
        </w:rPr>
      </w:pPr>
      <w:r>
        <w:rPr>
          <w:sz w:val="14"/>
          <w:szCs w:val="14"/>
        </w:rPr>
        <w:t xml:space="preserve">(Exact Name of Registrant as Specified </w:t>
      </w:r>
      <w:r>
        <w:rPr>
          <w:sz w:val="14"/>
          <w:szCs w:val="14"/>
        </w:rPr>
        <w:t>in Its Charter)</w:t>
      </w:r>
    </w:p>
    <w:p w:rsidR="00000000" w:rsidRDefault="00F22B2C">
      <w:pPr>
        <w:pStyle w:val="a3"/>
        <w:spacing w:before="0" w:beforeAutospacing="0" w:after="0" w:afterAutospacing="0"/>
        <w:divId w:val="1719891144"/>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719891144"/>
          <w:trHeight w:val="20"/>
        </w:trPr>
        <w:tc>
          <w:tcPr>
            <w:tcW w:w="2500" w:type="pct"/>
            <w:tcMar>
              <w:top w:w="0" w:type="dxa"/>
              <w:left w:w="0" w:type="dxa"/>
              <w:bottom w:w="0" w:type="dxa"/>
              <w:right w:w="0" w:type="dxa"/>
            </w:tcMar>
            <w:hideMark/>
          </w:tcPr>
          <w:p w:rsidR="00000000" w:rsidRDefault="00F22B2C">
            <w:pPr>
              <w:rPr>
                <w:sz w:val="20"/>
                <w:szCs w:val="20"/>
              </w:rPr>
            </w:pPr>
          </w:p>
        </w:tc>
        <w:tc>
          <w:tcPr>
            <w:tcW w:w="2500" w:type="pct"/>
            <w:tcMar>
              <w:top w:w="0" w:type="dxa"/>
              <w:left w:w="0" w:type="dxa"/>
              <w:bottom w:w="0" w:type="dxa"/>
              <w:right w:w="0" w:type="dxa"/>
            </w:tcMar>
            <w:hideMark/>
          </w:tcPr>
          <w:p w:rsidR="00000000" w:rsidRDefault="00F22B2C">
            <w:pPr>
              <w:rPr>
                <w:rFonts w:eastAsia="Times New Roman"/>
                <w:sz w:val="20"/>
                <w:szCs w:val="20"/>
              </w:rPr>
            </w:pPr>
          </w:p>
        </w:tc>
      </w:tr>
      <w:tr w:rsidR="00000000">
        <w:trPr>
          <w:divId w:val="1719891144"/>
        </w:trPr>
        <w:tc>
          <w:tcPr>
            <w:tcW w:w="2500" w:type="pct"/>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b/>
                <w:bCs/>
                <w:sz w:val="14"/>
                <w:szCs w:val="14"/>
              </w:rPr>
              <w:t>Delaware</w:t>
            </w:r>
          </w:p>
        </w:tc>
        <w:tc>
          <w:tcPr>
            <w:tcW w:w="2500" w:type="pct"/>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b/>
                <w:bCs/>
                <w:sz w:val="14"/>
                <w:szCs w:val="14"/>
              </w:rPr>
              <w:t>75-3254381</w:t>
            </w:r>
          </w:p>
        </w:tc>
      </w:tr>
      <w:tr w:rsidR="00000000">
        <w:trPr>
          <w:divId w:val="1719891144"/>
        </w:trPr>
        <w:tc>
          <w:tcPr>
            <w:tcW w:w="2500" w:type="pct"/>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sz w:val="14"/>
                <w:szCs w:val="14"/>
              </w:rPr>
              <w:t>(State or Other Jurisdiction of</w:t>
            </w:r>
          </w:p>
          <w:p w:rsidR="00000000" w:rsidRDefault="00F22B2C">
            <w:pPr>
              <w:pStyle w:val="a3"/>
              <w:spacing w:before="0" w:beforeAutospacing="0" w:after="0" w:afterAutospacing="0"/>
              <w:jc w:val="center"/>
              <w:rPr>
                <w:sz w:val="14"/>
                <w:szCs w:val="14"/>
              </w:rPr>
            </w:pPr>
            <w:r>
              <w:rPr>
                <w:sz w:val="14"/>
                <w:szCs w:val="14"/>
              </w:rPr>
              <w:t>Incorporation or Organization)</w:t>
            </w:r>
          </w:p>
        </w:tc>
        <w:tc>
          <w:tcPr>
            <w:tcW w:w="2500" w:type="pct"/>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sz w:val="14"/>
                <w:szCs w:val="14"/>
              </w:rPr>
              <w:t>(I.R.S.  Employer</w:t>
            </w:r>
          </w:p>
          <w:p w:rsidR="00000000" w:rsidRDefault="00F22B2C">
            <w:pPr>
              <w:pStyle w:val="a3"/>
              <w:spacing w:before="0" w:beforeAutospacing="0" w:after="0" w:afterAutospacing="0"/>
              <w:jc w:val="center"/>
              <w:rPr>
                <w:sz w:val="14"/>
                <w:szCs w:val="14"/>
              </w:rPr>
            </w:pPr>
            <w:r>
              <w:rPr>
                <w:sz w:val="14"/>
                <w:szCs w:val="14"/>
              </w:rPr>
              <w:t>Identification No.)</w:t>
            </w:r>
          </w:p>
        </w:tc>
      </w:tr>
    </w:tbl>
    <w:p w:rsidR="00000000" w:rsidRDefault="00F22B2C">
      <w:pPr>
        <w:pStyle w:val="a3"/>
        <w:spacing w:before="0" w:beforeAutospacing="0" w:after="0" w:afterAutospacing="0"/>
        <w:divId w:val="1719891144"/>
        <w:rPr>
          <w:sz w:val="20"/>
          <w:szCs w:val="20"/>
        </w:rPr>
      </w:pPr>
      <w:r>
        <w:rPr>
          <w:sz w:val="2"/>
          <w:szCs w:val="2"/>
        </w:rPr>
        <w:t>​</w:t>
      </w:r>
    </w:p>
    <w:p w:rsidR="00000000" w:rsidRDefault="00F22B2C">
      <w:pPr>
        <w:pStyle w:val="a3"/>
        <w:spacing w:before="0" w:beforeAutospacing="0" w:after="0" w:afterAutospacing="0"/>
        <w:divId w:val="1719891144"/>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719891144"/>
          <w:trHeight w:val="20"/>
        </w:trPr>
        <w:tc>
          <w:tcPr>
            <w:tcW w:w="2500" w:type="pct"/>
            <w:tcMar>
              <w:top w:w="0" w:type="dxa"/>
              <w:left w:w="0" w:type="dxa"/>
              <w:bottom w:w="0" w:type="dxa"/>
              <w:right w:w="0" w:type="dxa"/>
            </w:tcMar>
            <w:hideMark/>
          </w:tcPr>
          <w:p w:rsidR="00000000" w:rsidRDefault="00F22B2C">
            <w:pPr>
              <w:rPr>
                <w:sz w:val="20"/>
                <w:szCs w:val="20"/>
              </w:rPr>
            </w:pPr>
          </w:p>
        </w:tc>
        <w:tc>
          <w:tcPr>
            <w:tcW w:w="2500" w:type="pct"/>
            <w:tcMar>
              <w:top w:w="0" w:type="dxa"/>
              <w:left w:w="0" w:type="dxa"/>
              <w:bottom w:w="0" w:type="dxa"/>
              <w:right w:w="0" w:type="dxa"/>
            </w:tcMar>
            <w:hideMark/>
          </w:tcPr>
          <w:p w:rsidR="00000000" w:rsidRDefault="00F22B2C">
            <w:pPr>
              <w:rPr>
                <w:rFonts w:eastAsia="Times New Roman"/>
                <w:sz w:val="20"/>
                <w:szCs w:val="20"/>
              </w:rPr>
            </w:pPr>
          </w:p>
        </w:tc>
      </w:tr>
      <w:tr w:rsidR="00000000">
        <w:trPr>
          <w:divId w:val="1719891144"/>
        </w:trPr>
        <w:tc>
          <w:tcPr>
            <w:tcW w:w="2500" w:type="pct"/>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b/>
                <w:bCs/>
                <w:sz w:val="14"/>
                <w:szCs w:val="14"/>
              </w:rPr>
              <w:t>825 Industrial Road, Suite 400, San Carlos, California</w:t>
            </w:r>
          </w:p>
        </w:tc>
        <w:tc>
          <w:tcPr>
            <w:tcW w:w="2500" w:type="pct"/>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b/>
                <w:bCs/>
                <w:sz w:val="14"/>
                <w:szCs w:val="14"/>
              </w:rPr>
              <w:t>94070</w:t>
            </w:r>
          </w:p>
        </w:tc>
      </w:tr>
      <w:tr w:rsidR="00000000">
        <w:trPr>
          <w:divId w:val="1719891144"/>
        </w:trPr>
        <w:tc>
          <w:tcPr>
            <w:tcW w:w="2500" w:type="pct"/>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sz w:val="14"/>
                <w:szCs w:val="14"/>
              </w:rPr>
              <w:t>(Address of Principal Executive Offices)</w:t>
            </w:r>
          </w:p>
        </w:tc>
        <w:tc>
          <w:tcPr>
            <w:tcW w:w="2500" w:type="pct"/>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sz w:val="14"/>
                <w:szCs w:val="14"/>
              </w:rPr>
              <w:t>(Zip Code)</w:t>
            </w:r>
          </w:p>
        </w:tc>
      </w:tr>
    </w:tbl>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jc w:val="center"/>
        <w:divId w:val="1719891144"/>
        <w:rPr>
          <w:sz w:val="20"/>
          <w:szCs w:val="20"/>
        </w:rPr>
      </w:pPr>
      <w:r>
        <w:rPr>
          <w:b/>
          <w:bCs/>
          <w:sz w:val="14"/>
          <w:szCs w:val="14"/>
        </w:rPr>
        <w:t>(650) 260-7120</w:t>
      </w:r>
    </w:p>
    <w:p w:rsidR="00000000" w:rsidRDefault="00F22B2C">
      <w:pPr>
        <w:pStyle w:val="a3"/>
        <w:spacing w:before="0" w:beforeAutospacing="0" w:after="0" w:afterAutospacing="0"/>
        <w:jc w:val="center"/>
        <w:divId w:val="1719891144"/>
        <w:rPr>
          <w:sz w:val="14"/>
          <w:szCs w:val="14"/>
        </w:rPr>
      </w:pPr>
      <w:r>
        <w:rPr>
          <w:sz w:val="14"/>
          <w:szCs w:val="14"/>
        </w:rPr>
        <w:t>(Registrant’s Telephone Number, Including Area Code)</w:t>
      </w:r>
    </w:p>
    <w:p w:rsidR="00000000" w:rsidRDefault="00F22B2C">
      <w:pPr>
        <w:pStyle w:val="a3"/>
        <w:spacing w:before="0" w:beforeAutospacing="0" w:after="0" w:afterAutospacing="0"/>
        <w:jc w:val="center"/>
        <w:divId w:val="1719891144"/>
        <w:rPr>
          <w:sz w:val="20"/>
          <w:szCs w:val="20"/>
        </w:rPr>
      </w:pPr>
      <w:r>
        <w:rPr>
          <w:sz w:val="8"/>
          <w:szCs w:val="8"/>
        </w:rPr>
        <w:t>​</w:t>
      </w:r>
    </w:p>
    <w:p w:rsidR="00000000" w:rsidRDefault="00F22B2C">
      <w:pPr>
        <w:pStyle w:val="a3"/>
        <w:spacing w:before="0" w:beforeAutospacing="0" w:after="0" w:afterAutospacing="0"/>
        <w:jc w:val="center"/>
        <w:divId w:val="1719891144"/>
        <w:rPr>
          <w:sz w:val="14"/>
          <w:szCs w:val="14"/>
        </w:rPr>
      </w:pPr>
      <w:r>
        <w:rPr>
          <w:sz w:val="14"/>
          <w:szCs w:val="14"/>
        </w:rPr>
        <w:t>Securities registered pursuant to Section 12(b) of the Act:</w:t>
      </w:r>
    </w:p>
    <w:p w:rsidR="00000000" w:rsidRDefault="00F22B2C">
      <w:pPr>
        <w:pStyle w:val="a3"/>
        <w:spacing w:before="0" w:beforeAutospacing="0" w:after="0" w:afterAutospacing="0"/>
        <w:divId w:val="1719891144"/>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2658"/>
        <w:gridCol w:w="166"/>
        <w:gridCol w:w="2658"/>
        <w:gridCol w:w="166"/>
        <w:gridCol w:w="2658"/>
      </w:tblGrid>
      <w:tr w:rsidR="00000000">
        <w:trPr>
          <w:divId w:val="1719891144"/>
        </w:trPr>
        <w:tc>
          <w:tcPr>
            <w:tcW w:w="1600" w:type="pct"/>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sz w:val="14"/>
                <w:szCs w:val="14"/>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b/>
                <w:bCs/>
                <w:sz w:val="14"/>
                <w:szCs w:val="14"/>
              </w:rPr>
              <w:t>​</w:t>
            </w:r>
          </w:p>
        </w:tc>
        <w:tc>
          <w:tcPr>
            <w:tcW w:w="1600" w:type="pct"/>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b/>
                <w:bCs/>
                <w:sz w:val="14"/>
                <w:szCs w:val="14"/>
              </w:rPr>
              <w:t>​</w:t>
            </w:r>
          </w:p>
        </w:tc>
        <w:tc>
          <w:tcPr>
            <w:tcW w:w="100" w:type="pct"/>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b/>
                <w:bCs/>
                <w:sz w:val="14"/>
                <w:szCs w:val="14"/>
              </w:rPr>
              <w:t>​</w:t>
            </w:r>
          </w:p>
        </w:tc>
        <w:tc>
          <w:tcPr>
            <w:tcW w:w="1600" w:type="pct"/>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b/>
                <w:bCs/>
                <w:sz w:val="14"/>
                <w:szCs w:val="14"/>
              </w:rPr>
              <w:t>Name Of Each Exchange</w:t>
            </w:r>
          </w:p>
        </w:tc>
      </w:tr>
      <w:tr w:rsidR="00000000">
        <w:trPr>
          <w:divId w:val="1719891144"/>
        </w:trPr>
        <w:tc>
          <w:tcPr>
            <w:tcW w:w="1600" w:type="pct"/>
            <w:tcBorders>
              <w:bottom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b/>
                <w:bCs/>
                <w:sz w:val="14"/>
                <w:szCs w:val="14"/>
              </w:rPr>
              <w:t>Title of Each Class</w:t>
            </w:r>
          </w:p>
        </w:tc>
        <w:tc>
          <w:tcPr>
            <w:tcW w:w="100" w:type="pct"/>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b/>
                <w:bCs/>
                <w:sz w:val="14"/>
                <w:szCs w:val="14"/>
              </w:rPr>
              <w:t>    </w:t>
            </w:r>
          </w:p>
        </w:tc>
        <w:tc>
          <w:tcPr>
            <w:tcW w:w="1600" w:type="pct"/>
            <w:tcBorders>
              <w:bottom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b/>
                <w:bCs/>
                <w:sz w:val="14"/>
                <w:szCs w:val="14"/>
              </w:rPr>
              <w:t>Trading Symbol(s)</w:t>
            </w:r>
          </w:p>
        </w:tc>
        <w:tc>
          <w:tcPr>
            <w:tcW w:w="100" w:type="pct"/>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b/>
                <w:bCs/>
                <w:sz w:val="14"/>
                <w:szCs w:val="14"/>
              </w:rPr>
              <w:t>    </w:t>
            </w:r>
          </w:p>
        </w:tc>
        <w:tc>
          <w:tcPr>
            <w:tcW w:w="1600" w:type="pct"/>
            <w:tcBorders>
              <w:bottom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jc w:val="center"/>
              <w:rPr>
                <w:sz w:val="14"/>
                <w:szCs w:val="14"/>
              </w:rPr>
            </w:pPr>
            <w:r>
              <w:rPr>
                <w:b/>
                <w:bCs/>
                <w:sz w:val="14"/>
                <w:szCs w:val="14"/>
              </w:rPr>
              <w:t>On Which Registered</w:t>
            </w:r>
          </w:p>
        </w:tc>
      </w:tr>
      <w:tr w:rsidR="00000000">
        <w:trPr>
          <w:divId w:val="1719891144"/>
        </w:trPr>
        <w:tc>
          <w:tcPr>
            <w:tcW w:w="1600" w:type="pct"/>
            <w:tcBorders>
              <w:top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sz w:val="14"/>
                <w:szCs w:val="14"/>
              </w:rPr>
              <w:t>Common Stock, $ 0.000041666 Par Value per Share</w:t>
            </w:r>
          </w:p>
        </w:tc>
        <w:tc>
          <w:tcPr>
            <w:tcW w:w="100" w:type="pct"/>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b/>
                <w:bCs/>
                <w:sz w:val="14"/>
                <w:szCs w:val="14"/>
              </w:rPr>
              <w:t>​</w:t>
            </w:r>
          </w:p>
        </w:tc>
        <w:tc>
          <w:tcPr>
            <w:tcW w:w="1600" w:type="pct"/>
            <w:tcBorders>
              <w:top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sz w:val="14"/>
                <w:szCs w:val="14"/>
              </w:rPr>
              <w:t>IOVA</w:t>
            </w:r>
          </w:p>
        </w:tc>
        <w:tc>
          <w:tcPr>
            <w:tcW w:w="100" w:type="pct"/>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b/>
                <w:bCs/>
                <w:sz w:val="14"/>
                <w:szCs w:val="14"/>
              </w:rPr>
              <w:t>​</w:t>
            </w:r>
          </w:p>
        </w:tc>
        <w:tc>
          <w:tcPr>
            <w:tcW w:w="1600" w:type="pct"/>
            <w:tcBorders>
              <w:top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sz w:val="14"/>
                <w:szCs w:val="14"/>
              </w:rPr>
              <w:t>The Nasdaq Global Market</w:t>
            </w:r>
          </w:p>
        </w:tc>
      </w:tr>
    </w:tbl>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jc w:val="center"/>
        <w:divId w:val="1719891144"/>
        <w:rPr>
          <w:sz w:val="14"/>
          <w:szCs w:val="14"/>
        </w:rPr>
      </w:pPr>
      <w:r>
        <w:rPr>
          <w:sz w:val="14"/>
          <w:szCs w:val="14"/>
        </w:rPr>
        <w:t>Securities registered pursuant to Section 12(g) of the Act:</w:t>
      </w:r>
    </w:p>
    <w:p w:rsidR="00000000" w:rsidRDefault="00F22B2C">
      <w:pPr>
        <w:pStyle w:val="a3"/>
        <w:spacing w:before="0" w:beforeAutospacing="0" w:after="0" w:afterAutospacing="0"/>
        <w:jc w:val="center"/>
        <w:divId w:val="1719891144"/>
        <w:rPr>
          <w:sz w:val="14"/>
          <w:szCs w:val="14"/>
        </w:rPr>
      </w:pPr>
      <w:r>
        <w:rPr>
          <w:b/>
          <w:bCs/>
          <w:sz w:val="14"/>
          <w:szCs w:val="14"/>
        </w:rPr>
        <w:t>None</w:t>
      </w:r>
    </w:p>
    <w:p w:rsidR="00000000" w:rsidRDefault="00F22B2C">
      <w:pPr>
        <w:pStyle w:val="a3"/>
        <w:spacing w:before="0" w:beforeAutospacing="0" w:after="0" w:afterAutospacing="0"/>
        <w:jc w:val="center"/>
        <w:divId w:val="1719891144"/>
        <w:rPr>
          <w:sz w:val="20"/>
          <w:szCs w:val="20"/>
        </w:rPr>
      </w:pPr>
      <w:r>
        <w:rPr>
          <w:sz w:val="8"/>
          <w:szCs w:val="8"/>
        </w:rPr>
        <w:t>​</w:t>
      </w:r>
    </w:p>
    <w:p w:rsidR="00000000" w:rsidRDefault="00F22B2C">
      <w:pPr>
        <w:pStyle w:val="a3"/>
        <w:spacing w:before="0" w:beforeAutospacing="0" w:after="0" w:afterAutospacing="0"/>
        <w:divId w:val="1719891144"/>
        <w:rPr>
          <w:sz w:val="20"/>
          <w:szCs w:val="20"/>
        </w:rPr>
      </w:pPr>
      <w:r>
        <w:rPr>
          <w:sz w:val="14"/>
          <w:szCs w:val="14"/>
        </w:rPr>
        <w:t xml:space="preserve">Indicate by check mark if the registrant is a well-known seasoned issuer, as defined in Rule 405 of the Securities Act. Yes  </w:t>
      </w:r>
      <w:r>
        <w:rPr>
          <w:rFonts w:ascii="Segoe UI Emoji" w:hAnsi="Segoe UI Emoji" w:cs="Segoe UI Emoji"/>
          <w:sz w:val="14"/>
          <w:szCs w:val="14"/>
        </w:rPr>
        <w:t>◻</w:t>
      </w:r>
      <w:r>
        <w:rPr>
          <w:sz w:val="14"/>
          <w:szCs w:val="14"/>
        </w:rPr>
        <w:t xml:space="preserve">  No  </w:t>
      </w:r>
      <w:r>
        <w:rPr>
          <w:rFonts w:ascii="Cambria" w:hAnsi="Cambria" w:cs="Cambria"/>
          <w:sz w:val="14"/>
          <w:szCs w:val="14"/>
        </w:rPr>
        <w:t>⌧</w:t>
      </w:r>
    </w:p>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divId w:val="1719891144"/>
        <w:rPr>
          <w:sz w:val="20"/>
          <w:szCs w:val="20"/>
        </w:rPr>
      </w:pPr>
      <w:r>
        <w:rPr>
          <w:sz w:val="14"/>
          <w:szCs w:val="14"/>
        </w:rPr>
        <w:t xml:space="preserve">Indicate by check mark if the registrant is not required to file reports pursuant to Section 13 or Section 15(d) of the </w:t>
      </w:r>
      <w:r>
        <w:rPr>
          <w:sz w:val="14"/>
          <w:szCs w:val="14"/>
        </w:rPr>
        <w:t xml:space="preserve">Act. Yes  </w:t>
      </w:r>
      <w:r>
        <w:rPr>
          <w:rFonts w:ascii="Segoe UI Emoji" w:hAnsi="Segoe UI Emoji" w:cs="Segoe UI Emoji"/>
          <w:sz w:val="14"/>
          <w:szCs w:val="14"/>
        </w:rPr>
        <w:t>◻</w:t>
      </w:r>
      <w:r>
        <w:rPr>
          <w:sz w:val="14"/>
          <w:szCs w:val="14"/>
        </w:rPr>
        <w:t xml:space="preserve">  No  </w:t>
      </w:r>
      <w:r>
        <w:rPr>
          <w:rFonts w:ascii="Cambria" w:hAnsi="Cambria" w:cs="Cambria"/>
          <w:sz w:val="14"/>
          <w:szCs w:val="14"/>
        </w:rPr>
        <w:t>⌧</w:t>
      </w:r>
    </w:p>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divId w:val="1719891144"/>
        <w:rPr>
          <w:sz w:val="20"/>
          <w:szCs w:val="20"/>
        </w:rPr>
      </w:pPr>
      <w:r>
        <w:rPr>
          <w:sz w:val="14"/>
          <w:szCs w:val="14"/>
        </w:rPr>
        <w:t>Indicate by check mark whether the registrant (1) has filed all reports required to be filed by Section 13 or 15(d) of the Securities Exchange Act of 1934 during the preceding 12 months (or for such shorter period that the registrant w</w:t>
      </w:r>
      <w:r>
        <w:rPr>
          <w:sz w:val="14"/>
          <w:szCs w:val="14"/>
        </w:rPr>
        <w:t xml:space="preserve">as required to file such reports), and (2) has been subject to such filing requirements for the past 90 days. Yes  </w:t>
      </w:r>
      <w:r>
        <w:rPr>
          <w:rFonts w:ascii="Cambria" w:hAnsi="Cambria" w:cs="Cambria"/>
          <w:sz w:val="14"/>
          <w:szCs w:val="14"/>
        </w:rPr>
        <w:t>⌧</w:t>
      </w:r>
      <w:r>
        <w:rPr>
          <w:sz w:val="14"/>
          <w:szCs w:val="14"/>
        </w:rPr>
        <w:t xml:space="preserve">  No  </w:t>
      </w:r>
      <w:r>
        <w:rPr>
          <w:rFonts w:ascii="Segoe UI Emoji" w:hAnsi="Segoe UI Emoji" w:cs="Segoe UI Emoji"/>
          <w:sz w:val="14"/>
          <w:szCs w:val="14"/>
        </w:rPr>
        <w:t>◻</w:t>
      </w:r>
    </w:p>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divId w:val="1719891144"/>
        <w:rPr>
          <w:sz w:val="20"/>
          <w:szCs w:val="20"/>
        </w:rPr>
      </w:pPr>
      <w:r>
        <w:rPr>
          <w:sz w:val="14"/>
          <w:szCs w:val="14"/>
        </w:rPr>
        <w:t>Indicate by check mark whether the registrant has submitted electronically every Interactive Data File required to be submitted an</w:t>
      </w:r>
      <w:r>
        <w:rPr>
          <w:sz w:val="14"/>
          <w:szCs w:val="14"/>
        </w:rPr>
        <w:t xml:space="preserve">d posted pursuant to Rule 405 of Regulation S-T during the preceding 12 months (or for such shorter period that the registrant was required to submit such files). Yes  </w:t>
      </w:r>
      <w:r>
        <w:rPr>
          <w:rFonts w:ascii="Cambria" w:hAnsi="Cambria" w:cs="Cambria"/>
          <w:sz w:val="14"/>
          <w:szCs w:val="14"/>
        </w:rPr>
        <w:t>⌧</w:t>
      </w:r>
      <w:r>
        <w:rPr>
          <w:sz w:val="14"/>
          <w:szCs w:val="14"/>
        </w:rPr>
        <w:t xml:space="preserve">  No  </w:t>
      </w:r>
      <w:r>
        <w:rPr>
          <w:rFonts w:ascii="Segoe UI Emoji" w:hAnsi="Segoe UI Emoji" w:cs="Segoe UI Emoji"/>
          <w:sz w:val="14"/>
          <w:szCs w:val="14"/>
        </w:rPr>
        <w:t>◻</w:t>
      </w:r>
    </w:p>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divId w:val="1719891144"/>
        <w:rPr>
          <w:sz w:val="14"/>
          <w:szCs w:val="14"/>
        </w:rPr>
      </w:pPr>
      <w:r>
        <w:rPr>
          <w:sz w:val="14"/>
          <w:szCs w:val="14"/>
        </w:rPr>
        <w:t>Indicate by check mark whether the registrant is a large accelerated filer, a</w:t>
      </w:r>
      <w:r>
        <w:rPr>
          <w:sz w:val="14"/>
          <w:szCs w:val="14"/>
        </w:rPr>
        <w:t>n accelerated filer, a non-accelerated filer, a smaller reporting company, or an emerging growth company. See the definitions of “large accelerated filer,” “accelerated filer,” “smaller reporting company,” and “emerging growth company” in Rule 12b-2 of the</w:t>
      </w:r>
      <w:r>
        <w:rPr>
          <w:sz w:val="14"/>
          <w:szCs w:val="14"/>
        </w:rPr>
        <w:t xml:space="preserve"> Exchange Act.</w:t>
      </w:r>
    </w:p>
    <w:p w:rsidR="00000000" w:rsidRDefault="00F22B2C">
      <w:pPr>
        <w:pStyle w:val="a3"/>
        <w:spacing w:before="0" w:beforeAutospacing="0" w:after="0" w:afterAutospacing="0"/>
        <w:divId w:val="1719891144"/>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3988"/>
        <w:gridCol w:w="170"/>
        <w:gridCol w:w="4148"/>
      </w:tblGrid>
      <w:tr w:rsidR="00000000">
        <w:trPr>
          <w:divId w:val="1719891144"/>
        </w:trPr>
        <w:tc>
          <w:tcPr>
            <w:tcW w:w="24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14"/>
                <w:szCs w:val="14"/>
              </w:rPr>
              <w:t xml:space="preserve">Large accelerated filer   </w:t>
            </w:r>
            <w:r>
              <w:rPr>
                <w:rFonts w:ascii="Wingdings" w:hAnsi="Wingdings"/>
                <w:sz w:val="14"/>
                <w:szCs w:val="14"/>
              </w:rPr>
              <w:t>þ</w:t>
            </w:r>
          </w:p>
        </w:tc>
        <w:tc>
          <w:tcPr>
            <w:tcW w:w="102" w:type="pct"/>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    </w:t>
            </w:r>
          </w:p>
        </w:tc>
        <w:tc>
          <w:tcPr>
            <w:tcW w:w="2497" w:type="pct"/>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 xml:space="preserve">Accelerated filer </w:t>
            </w:r>
            <w:r>
              <w:rPr>
                <w:rFonts w:ascii="Segoe UI Emoji" w:hAnsi="Segoe UI Emoji" w:cs="Segoe UI Emoji"/>
                <w:sz w:val="14"/>
                <w:szCs w:val="14"/>
              </w:rPr>
              <w:t>◻</w:t>
            </w:r>
          </w:p>
        </w:tc>
      </w:tr>
      <w:tr w:rsidR="00000000">
        <w:trPr>
          <w:divId w:val="1719891144"/>
        </w:trPr>
        <w:tc>
          <w:tcPr>
            <w:tcW w:w="2400" w:type="pct"/>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 xml:space="preserve">Non-accelerated filer     </w:t>
            </w:r>
            <w:r>
              <w:rPr>
                <w:rFonts w:ascii="Segoe UI Emoji" w:hAnsi="Segoe UI Emoji" w:cs="Segoe UI Emoji"/>
                <w:sz w:val="14"/>
                <w:szCs w:val="14"/>
              </w:rPr>
              <w:t>◻</w:t>
            </w:r>
          </w:p>
        </w:tc>
        <w:tc>
          <w:tcPr>
            <w:tcW w:w="102"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14"/>
                <w:szCs w:val="14"/>
              </w:rPr>
              <w:t>​</w:t>
            </w:r>
          </w:p>
        </w:tc>
        <w:tc>
          <w:tcPr>
            <w:tcW w:w="249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14"/>
                <w:szCs w:val="14"/>
              </w:rPr>
              <w:t xml:space="preserve">Smaller reporting company </w:t>
            </w:r>
            <w:r>
              <w:rPr>
                <w:rFonts w:ascii="Segoe UI Symbol" w:hAnsi="Segoe UI Symbol"/>
                <w:sz w:val="14"/>
                <w:szCs w:val="14"/>
              </w:rPr>
              <w:t>☐</w:t>
            </w:r>
          </w:p>
        </w:tc>
      </w:tr>
      <w:tr w:rsidR="00000000">
        <w:trPr>
          <w:divId w:val="1719891144"/>
        </w:trPr>
        <w:tc>
          <w:tcPr>
            <w:tcW w:w="2400" w:type="pct"/>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 </w:t>
            </w:r>
          </w:p>
        </w:tc>
        <w:tc>
          <w:tcPr>
            <w:tcW w:w="102"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14"/>
                <w:szCs w:val="14"/>
              </w:rPr>
              <w:t>​</w:t>
            </w:r>
          </w:p>
        </w:tc>
        <w:tc>
          <w:tcPr>
            <w:tcW w:w="249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14"/>
                <w:szCs w:val="14"/>
              </w:rPr>
              <w:t xml:space="preserve">Emerging growth company </w:t>
            </w:r>
            <w:r>
              <w:rPr>
                <w:rFonts w:ascii="Segoe UI Symbol" w:hAnsi="Segoe UI Symbol"/>
                <w:sz w:val="14"/>
                <w:szCs w:val="14"/>
              </w:rPr>
              <w:t>☐</w:t>
            </w:r>
          </w:p>
        </w:tc>
      </w:tr>
    </w:tbl>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divId w:val="1719891144"/>
        <w:rPr>
          <w:sz w:val="14"/>
          <w:szCs w:val="14"/>
        </w:rPr>
      </w:pPr>
      <w:r>
        <w:rPr>
          <w:sz w:val="14"/>
          <w:szCs w:val="14"/>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14"/>
          <w:szCs w:val="14"/>
        </w:rPr>
        <w:t>◻</w:t>
      </w:r>
    </w:p>
    <w:p w:rsidR="00000000" w:rsidRDefault="00F22B2C">
      <w:pPr>
        <w:pStyle w:val="a3"/>
        <w:spacing w:before="0" w:beforeAutospacing="0" w:after="0" w:afterAutospacing="0"/>
        <w:divId w:val="1719891144"/>
        <w:rPr>
          <w:sz w:val="20"/>
          <w:szCs w:val="20"/>
        </w:rPr>
      </w:pPr>
      <w:r>
        <w:rPr>
          <w:sz w:val="14"/>
          <w:szCs w:val="14"/>
        </w:rPr>
        <w:t>​</w:t>
      </w:r>
    </w:p>
    <w:p w:rsidR="00000000" w:rsidRDefault="00F22B2C">
      <w:pPr>
        <w:pStyle w:val="a3"/>
        <w:spacing w:before="0" w:beforeAutospacing="0" w:after="0" w:afterAutospacing="0"/>
        <w:jc w:val="both"/>
        <w:divId w:val="1719891144"/>
        <w:rPr>
          <w:sz w:val="20"/>
          <w:szCs w:val="20"/>
        </w:rPr>
      </w:pPr>
      <w:r>
        <w:rPr>
          <w:sz w:val="14"/>
          <w:szCs w:val="14"/>
        </w:rPr>
        <w:lastRenderedPageBreak/>
        <w:t>I</w:t>
      </w:r>
      <w:r>
        <w:rPr>
          <w:sz w:val="14"/>
          <w:szCs w:val="14"/>
        </w:rPr>
        <w:t>ndicate by check mark whether the registrant has filed a report on and attestation to its management’s assessment of the effectiveness of its internal control over financial reporting under Section 404(b) of the Sarbanes-Oxley Act (15 U.S.C. 7262(b)) by th</w:t>
      </w:r>
      <w:r>
        <w:rPr>
          <w:sz w:val="14"/>
          <w:szCs w:val="14"/>
        </w:rPr>
        <w:t>e registered public accounting firm that prepared or issued its audit report.</w:t>
      </w:r>
      <w:r>
        <w:rPr>
          <w:sz w:val="14"/>
          <w:szCs w:val="14"/>
        </w:rPr>
        <w:t xml:space="preserve"> </w:t>
      </w:r>
      <w:r>
        <w:rPr>
          <w:rFonts w:ascii="Cambria" w:hAnsi="Cambria" w:cs="Cambria"/>
          <w:sz w:val="14"/>
          <w:szCs w:val="14"/>
        </w:rPr>
        <w:t>⌧</w:t>
      </w:r>
      <w:r>
        <w:rPr>
          <w:sz w:val="14"/>
          <w:szCs w:val="14"/>
        </w:rPr>
        <w:t xml:space="preserve"> </w:t>
      </w:r>
    </w:p>
    <w:p w:rsidR="00000000" w:rsidRDefault="00F22B2C">
      <w:pPr>
        <w:pStyle w:val="a3"/>
        <w:spacing w:before="0" w:beforeAutospacing="0" w:after="0" w:afterAutospacing="0"/>
        <w:divId w:val="1719891144"/>
        <w:rPr>
          <w:sz w:val="20"/>
          <w:szCs w:val="20"/>
        </w:rPr>
      </w:pPr>
      <w:r>
        <w:rPr>
          <w:sz w:val="14"/>
          <w:szCs w:val="14"/>
        </w:rPr>
        <w:t>​</w:t>
      </w:r>
    </w:p>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divId w:val="1719891144"/>
        <w:rPr>
          <w:sz w:val="20"/>
          <w:szCs w:val="20"/>
        </w:rPr>
      </w:pPr>
      <w:r>
        <w:rPr>
          <w:sz w:val="14"/>
          <w:szCs w:val="14"/>
        </w:rPr>
        <w:t xml:space="preserve">Indicate by check mark whether the registrant is a shell company (as defined in Rule 12b-2 of the Exchange Act). Yes  </w:t>
      </w:r>
      <w:r>
        <w:rPr>
          <w:rFonts w:ascii="Segoe UI Symbol" w:hAnsi="Segoe UI Symbol"/>
          <w:sz w:val="14"/>
          <w:szCs w:val="14"/>
        </w:rPr>
        <w:t>☐</w:t>
      </w:r>
      <w:r>
        <w:rPr>
          <w:sz w:val="14"/>
          <w:szCs w:val="14"/>
        </w:rPr>
        <w:t xml:space="preserve">  No  </w:t>
      </w:r>
      <w:r>
        <w:rPr>
          <w:rFonts w:ascii="Segoe UI Symbol" w:hAnsi="Segoe UI Symbol"/>
          <w:sz w:val="14"/>
          <w:szCs w:val="14"/>
        </w:rPr>
        <w:t>☒</w:t>
      </w:r>
    </w:p>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ind w:firstLine="720"/>
        <w:divId w:val="1719891144"/>
        <w:rPr>
          <w:sz w:val="14"/>
          <w:szCs w:val="14"/>
        </w:rPr>
      </w:pPr>
      <w:r>
        <w:rPr>
          <w:b/>
          <w:bCs/>
          <w:sz w:val="14"/>
          <w:szCs w:val="14"/>
        </w:rPr>
        <w:t>Securities registered pursuant to Section </w:t>
      </w:r>
      <w:r>
        <w:rPr>
          <w:b/>
          <w:bCs/>
          <w:sz w:val="14"/>
          <w:szCs w:val="14"/>
        </w:rPr>
        <w:t>12(b) of the Act:</w:t>
      </w:r>
    </w:p>
    <w:p w:rsidR="00000000" w:rsidRDefault="00F22B2C">
      <w:pPr>
        <w:pStyle w:val="a3"/>
        <w:spacing w:before="0" w:beforeAutospacing="0" w:after="0" w:afterAutospacing="0"/>
        <w:ind w:firstLine="720"/>
        <w:divId w:val="1719891144"/>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074"/>
        <w:gridCol w:w="134"/>
        <w:gridCol w:w="2121"/>
        <w:gridCol w:w="113"/>
        <w:gridCol w:w="2864"/>
      </w:tblGrid>
      <w:tr w:rsidR="00000000">
        <w:trPr>
          <w:divId w:val="1719891144"/>
          <w:trHeight w:val="20"/>
        </w:trPr>
        <w:tc>
          <w:tcPr>
            <w:tcW w:w="1850" w:type="pct"/>
            <w:noWrap/>
            <w:tcMar>
              <w:top w:w="0" w:type="dxa"/>
              <w:left w:w="0" w:type="dxa"/>
              <w:bottom w:w="0" w:type="dxa"/>
              <w:right w:w="0" w:type="dxa"/>
            </w:tcMar>
            <w:hideMark/>
          </w:tcPr>
          <w:p w:rsidR="00000000" w:rsidRDefault="00F22B2C">
            <w:pPr>
              <w:rPr>
                <w:sz w:val="20"/>
                <w:szCs w:val="20"/>
              </w:rPr>
            </w:pPr>
          </w:p>
        </w:tc>
        <w:tc>
          <w:tcPr>
            <w:tcW w:w="81" w:type="pct"/>
            <w:noWrap/>
            <w:tcMar>
              <w:top w:w="0" w:type="dxa"/>
              <w:left w:w="0" w:type="dxa"/>
              <w:bottom w:w="0" w:type="dxa"/>
              <w:right w:w="0" w:type="dxa"/>
            </w:tcMar>
            <w:hideMark/>
          </w:tcPr>
          <w:p w:rsidR="00000000" w:rsidRDefault="00F22B2C">
            <w:pPr>
              <w:rPr>
                <w:rFonts w:eastAsia="Times New Roman"/>
                <w:sz w:val="20"/>
                <w:szCs w:val="20"/>
              </w:rPr>
            </w:pPr>
          </w:p>
        </w:tc>
        <w:tc>
          <w:tcPr>
            <w:tcW w:w="1276" w:type="pct"/>
            <w:noWrap/>
            <w:tcMar>
              <w:top w:w="0" w:type="dxa"/>
              <w:left w:w="0" w:type="dxa"/>
              <w:bottom w:w="0" w:type="dxa"/>
              <w:right w:w="0" w:type="dxa"/>
            </w:tcMar>
            <w:hideMark/>
          </w:tcPr>
          <w:p w:rsidR="00000000" w:rsidRDefault="00F22B2C">
            <w:pPr>
              <w:rPr>
                <w:rFonts w:eastAsia="Times New Roman"/>
                <w:sz w:val="20"/>
                <w:szCs w:val="20"/>
              </w:rPr>
            </w:pPr>
          </w:p>
        </w:tc>
        <w:tc>
          <w:tcPr>
            <w:tcW w:w="68" w:type="pct"/>
            <w:noWrap/>
            <w:tcMar>
              <w:top w:w="0" w:type="dxa"/>
              <w:left w:w="0" w:type="dxa"/>
              <w:bottom w:w="0" w:type="dxa"/>
              <w:right w:w="0" w:type="dxa"/>
            </w:tcMar>
            <w:hideMark/>
          </w:tcPr>
          <w:p w:rsidR="00000000" w:rsidRDefault="00F22B2C">
            <w:pPr>
              <w:rPr>
                <w:rFonts w:eastAsia="Times New Roman"/>
                <w:sz w:val="20"/>
                <w:szCs w:val="20"/>
              </w:rPr>
            </w:pPr>
          </w:p>
        </w:tc>
        <w:tc>
          <w:tcPr>
            <w:tcW w:w="1723" w:type="pct"/>
            <w:noWrap/>
            <w:tcMar>
              <w:top w:w="0" w:type="dxa"/>
              <w:left w:w="0" w:type="dxa"/>
              <w:bottom w:w="0" w:type="dxa"/>
              <w:right w:w="0" w:type="dxa"/>
            </w:tcMar>
            <w:hideMark/>
          </w:tcPr>
          <w:p w:rsidR="00000000" w:rsidRDefault="00F22B2C">
            <w:pPr>
              <w:rPr>
                <w:rFonts w:eastAsia="Times New Roman"/>
                <w:sz w:val="20"/>
                <w:szCs w:val="20"/>
              </w:rPr>
            </w:pPr>
          </w:p>
        </w:tc>
      </w:tr>
      <w:tr w:rsidR="00000000">
        <w:trPr>
          <w:divId w:val="1719891144"/>
        </w:trPr>
        <w:tc>
          <w:tcPr>
            <w:tcW w:w="1850" w:type="pct"/>
            <w:tcBorders>
              <w:bottom w:val="single" w:sz="8" w:space="0" w:color="000000"/>
            </w:tcBorders>
            <w:noWrap/>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b/>
                <w:bCs/>
                <w:sz w:val="14"/>
                <w:szCs w:val="14"/>
              </w:rPr>
              <w:t>Title of each class</w:t>
            </w:r>
          </w:p>
        </w:tc>
        <w:tc>
          <w:tcPr>
            <w:tcW w:w="81" w:type="pct"/>
            <w:noWrap/>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   </w:t>
            </w:r>
          </w:p>
        </w:tc>
        <w:tc>
          <w:tcPr>
            <w:tcW w:w="1276" w:type="pct"/>
            <w:tcBorders>
              <w:bottom w:val="single" w:sz="8" w:space="0" w:color="000000"/>
            </w:tcBorders>
            <w:noWrap/>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b/>
                <w:bCs/>
                <w:sz w:val="14"/>
                <w:szCs w:val="14"/>
              </w:rPr>
              <w:t>Trading Symbol(s)</w:t>
            </w:r>
          </w:p>
        </w:tc>
        <w:tc>
          <w:tcPr>
            <w:tcW w:w="68" w:type="pct"/>
            <w:noWrap/>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   </w:t>
            </w:r>
          </w:p>
        </w:tc>
        <w:tc>
          <w:tcPr>
            <w:tcW w:w="1723" w:type="pct"/>
            <w:tcBorders>
              <w:bottom w:val="single" w:sz="8" w:space="0" w:color="000000"/>
            </w:tcBorders>
            <w:noWrap/>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b/>
                <w:bCs/>
                <w:sz w:val="14"/>
                <w:szCs w:val="14"/>
              </w:rPr>
              <w:t>Name of each exchange on which registered</w:t>
            </w:r>
          </w:p>
        </w:tc>
      </w:tr>
      <w:tr w:rsidR="00000000">
        <w:trPr>
          <w:divId w:val="1719891144"/>
        </w:trPr>
        <w:tc>
          <w:tcPr>
            <w:tcW w:w="1850" w:type="pct"/>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Common stock, par value $0.000041666 per value</w:t>
            </w:r>
          </w:p>
        </w:tc>
        <w:tc>
          <w:tcPr>
            <w:tcW w:w="81" w:type="pct"/>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 </w:t>
            </w:r>
          </w:p>
        </w:tc>
        <w:tc>
          <w:tcPr>
            <w:tcW w:w="1276" w:type="pct"/>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IOVA</w:t>
            </w:r>
          </w:p>
        </w:tc>
        <w:tc>
          <w:tcPr>
            <w:tcW w:w="68" w:type="pct"/>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 </w:t>
            </w:r>
          </w:p>
        </w:tc>
        <w:tc>
          <w:tcPr>
            <w:tcW w:w="1723" w:type="pct"/>
            <w:tcMar>
              <w:top w:w="0" w:type="dxa"/>
              <w:left w:w="0" w:type="dxa"/>
              <w:bottom w:w="0" w:type="dxa"/>
              <w:right w:w="0" w:type="dxa"/>
            </w:tcMar>
            <w:hideMark/>
          </w:tcPr>
          <w:p w:rsidR="00000000" w:rsidRDefault="00F22B2C">
            <w:pPr>
              <w:pStyle w:val="a3"/>
              <w:spacing w:before="0" w:beforeAutospacing="0" w:after="0" w:afterAutospacing="0"/>
              <w:rPr>
                <w:sz w:val="14"/>
                <w:szCs w:val="14"/>
              </w:rPr>
            </w:pPr>
            <w:r>
              <w:rPr>
                <w:sz w:val="14"/>
                <w:szCs w:val="14"/>
              </w:rPr>
              <w:t>The Nasdaq Stock Market, LLC</w:t>
            </w:r>
          </w:p>
        </w:tc>
      </w:tr>
    </w:tbl>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divId w:val="1719891144"/>
        <w:rPr>
          <w:sz w:val="14"/>
          <w:szCs w:val="14"/>
        </w:rPr>
      </w:pPr>
      <w:r>
        <w:rPr>
          <w:sz w:val="14"/>
          <w:szCs w:val="14"/>
        </w:rPr>
        <w:t>The aggregate market value of the registrant’s common stock held by non-affiliates on June 30, 2021, the last business day of the registrant’s most recently completed second fiscal quarter, was approximately $3.8. billion. Shares of common stock held by di</w:t>
      </w:r>
      <w:r>
        <w:rPr>
          <w:sz w:val="14"/>
          <w:szCs w:val="14"/>
        </w:rPr>
        <w:t>rectors and executive officers and any ten percent or greater stockholders and their respective affiliates have been excluded from this calculation, because such stockholders may be deemed to be "affiliates" of the Registrant. This is not necessarily deter</w:t>
      </w:r>
      <w:r>
        <w:rPr>
          <w:sz w:val="14"/>
          <w:szCs w:val="14"/>
        </w:rPr>
        <w:t>minative of affiliate status of other purposes. As of February 17, 2022, there were 157,168,321 shares of the registrant’s common stock outstanding.</w:t>
      </w:r>
    </w:p>
    <w:p w:rsidR="00000000" w:rsidRDefault="00F22B2C">
      <w:pPr>
        <w:pStyle w:val="a3"/>
        <w:spacing w:before="0" w:beforeAutospacing="0" w:after="0" w:afterAutospacing="0"/>
        <w:divId w:val="1719891144"/>
        <w:rPr>
          <w:sz w:val="20"/>
          <w:szCs w:val="20"/>
        </w:rPr>
      </w:pPr>
      <w:r>
        <w:rPr>
          <w:sz w:val="8"/>
          <w:szCs w:val="8"/>
        </w:rPr>
        <w:t>​</w:t>
      </w:r>
    </w:p>
    <w:p w:rsidR="00000000" w:rsidRDefault="00F22B2C">
      <w:pPr>
        <w:pStyle w:val="a3"/>
        <w:spacing w:before="0" w:beforeAutospacing="0" w:after="0" w:afterAutospacing="0"/>
        <w:jc w:val="center"/>
        <w:divId w:val="1719891144"/>
        <w:rPr>
          <w:sz w:val="14"/>
          <w:szCs w:val="14"/>
        </w:rPr>
      </w:pPr>
      <w:r>
        <w:rPr>
          <w:b/>
          <w:bCs/>
          <w:sz w:val="14"/>
          <w:szCs w:val="14"/>
        </w:rPr>
        <w:t>Documents Incorporated By Reference</w:t>
      </w:r>
    </w:p>
    <w:p w:rsidR="00000000" w:rsidRDefault="00F22B2C">
      <w:pPr>
        <w:pStyle w:val="a3"/>
        <w:spacing w:before="0" w:beforeAutospacing="0" w:after="0" w:afterAutospacing="0"/>
        <w:ind w:firstLine="547"/>
        <w:divId w:val="1719891144"/>
        <w:rPr>
          <w:sz w:val="14"/>
          <w:szCs w:val="14"/>
        </w:rPr>
      </w:pPr>
      <w:r>
        <w:rPr>
          <w:sz w:val="14"/>
          <w:szCs w:val="14"/>
        </w:rPr>
        <w:t>Portions of registrant’s proxy statement relating to registrant’s 202</w:t>
      </w:r>
      <w:r>
        <w:rPr>
          <w:sz w:val="14"/>
          <w:szCs w:val="14"/>
        </w:rPr>
        <w:t xml:space="preserve">2 Annual Meeting of Stockholders (the “Proxy Statement”) to be filed with the Securities and Exchange Commission pursuant to Regulation 14A, not later than 120 days after the close of the registrant’s fiscal year, are incorporated by reference in Part III </w:t>
      </w:r>
      <w:r>
        <w:rPr>
          <w:sz w:val="14"/>
          <w:szCs w:val="14"/>
        </w:rPr>
        <w:t>of this Annual Report on Form 10-K. Except with respect to information specifically incorporated by reference in this Annual Report on Form 10-K, the Proxy Statement is not deemed to be filed as part of this Annual Report on Form 10-K.</w:t>
      </w:r>
    </w:p>
    <w:p w:rsidR="00000000" w:rsidRDefault="00F22B2C">
      <w:pPr>
        <w:pStyle w:val="a3"/>
        <w:pBdr>
          <w:top w:val="single" w:sz="8" w:space="1" w:color="000000"/>
          <w:bottom w:val="single" w:sz="24" w:space="1" w:color="000000"/>
        </w:pBdr>
        <w:spacing w:before="0" w:beforeAutospacing="0" w:after="0" w:afterAutospacing="0"/>
        <w:divId w:val="1719891144"/>
        <w:rPr>
          <w:sz w:val="20"/>
          <w:szCs w:val="20"/>
        </w:rPr>
      </w:pPr>
      <w:r>
        <w:rPr>
          <w:sz w:val="2"/>
          <w:szCs w:val="2"/>
        </w:rPr>
        <w:t>​</w:t>
      </w:r>
    </w:p>
    <w:p w:rsidR="00000000" w:rsidRDefault="00F22B2C">
      <w:pPr>
        <w:pStyle w:val="a3"/>
        <w:spacing w:before="0" w:beforeAutospacing="0" w:after="0" w:afterAutospacing="0" w:line="0" w:lineRule="atLeast"/>
        <w:divId w:val="1719891144"/>
        <w:rPr>
          <w:vanish/>
        </w:rPr>
      </w:pPr>
      <w:r>
        <w:rPr>
          <w:vanish/>
          <w:sz w:val="2"/>
          <w:szCs w:val="2"/>
        </w:rPr>
        <w:t>​</w:t>
      </w:r>
    </w:p>
    <w:p w:rsidR="00000000" w:rsidRDefault="00F22B2C">
      <w:pPr>
        <w:pStyle w:val="a3"/>
        <w:spacing w:before="0" w:beforeAutospacing="0" w:after="600" w:afterAutospacing="0"/>
        <w:divId w:val="1474983023"/>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jc w:val="center"/>
        <w:divId w:val="2118719411"/>
        <w:rPr>
          <w:sz w:val="20"/>
          <w:szCs w:val="20"/>
        </w:rPr>
      </w:pPr>
      <w:r>
        <w:rPr>
          <w:b/>
          <w:bCs/>
          <w:sz w:val="20"/>
          <w:szCs w:val="20"/>
        </w:rPr>
        <w:t>TABLE OF CONTENTS</w:t>
      </w:r>
    </w:p>
    <w:tbl>
      <w:tblPr>
        <w:tblW w:w="5000" w:type="pct"/>
        <w:tblCellMar>
          <w:top w:w="15" w:type="dxa"/>
          <w:left w:w="0" w:type="dxa"/>
          <w:bottom w:w="15" w:type="dxa"/>
          <w:right w:w="0" w:type="dxa"/>
        </w:tblCellMar>
        <w:tblLook w:val="04A0" w:firstRow="1" w:lastRow="0" w:firstColumn="1" w:lastColumn="0" w:noHBand="0" w:noVBand="1"/>
      </w:tblPr>
      <w:tblGrid>
        <w:gridCol w:w="830"/>
        <w:gridCol w:w="6645"/>
        <w:gridCol w:w="831"/>
      </w:tblGrid>
      <w:tr w:rsidR="00000000">
        <w:trPr>
          <w:divId w:val="2118719411"/>
        </w:trPr>
        <w:tc>
          <w:tcPr>
            <w:tcW w:w="500" w:type="pct"/>
            <w:tcMar>
              <w:top w:w="0" w:type="dxa"/>
              <w:left w:w="0" w:type="dxa"/>
              <w:bottom w:w="0" w:type="dxa"/>
              <w:right w:w="0" w:type="dxa"/>
            </w:tcMar>
            <w:hideMark/>
          </w:tcPr>
          <w:p w:rsidR="00000000" w:rsidRDefault="00F22B2C">
            <w:pPr>
              <w:rPr>
                <w:sz w:val="20"/>
                <w:szCs w:val="20"/>
              </w:rPr>
            </w:pPr>
          </w:p>
        </w:tc>
        <w:tc>
          <w:tcPr>
            <w:tcW w:w="4000" w:type="pct"/>
            <w:tcMar>
              <w:top w:w="0" w:type="dxa"/>
              <w:left w:w="0" w:type="dxa"/>
              <w:bottom w:w="0" w:type="dxa"/>
              <w:right w:w="0" w:type="dxa"/>
            </w:tcMar>
            <w:hideMark/>
          </w:tcPr>
          <w:p w:rsidR="00000000" w:rsidRDefault="00F22B2C">
            <w:pPr>
              <w:rPr>
                <w:rFonts w:eastAsia="Times New Roman"/>
                <w:sz w:val="20"/>
                <w:szCs w:val="20"/>
              </w:rPr>
            </w:pPr>
          </w:p>
        </w:tc>
        <w:tc>
          <w:tcPr>
            <w:tcW w:w="500" w:type="pct"/>
            <w:tcMar>
              <w:top w:w="0" w:type="dxa"/>
              <w:left w:w="0" w:type="dxa"/>
              <w:bottom w:w="0" w:type="dxa"/>
              <w:right w:w="0" w:type="dxa"/>
            </w:tcMar>
            <w:vAlign w:val="bottom"/>
            <w:hideMark/>
          </w:tcPr>
          <w:p w:rsidR="00000000" w:rsidRDefault="00F22B2C">
            <w:pPr>
              <w:rPr>
                <w:rFonts w:eastAsia="Times New Roman"/>
                <w:sz w:val="20"/>
                <w:szCs w:val="20"/>
              </w:rPr>
            </w:pP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500" w:type="pct"/>
            <w:tcBorders>
              <w:bottom w:val="single" w:sz="8" w:space="0" w:color="000000"/>
            </w:tcBorders>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20"/>
                <w:szCs w:val="20"/>
              </w:rPr>
              <w:t>Page</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r>
      <w:tr w:rsidR="00000000">
        <w:trPr>
          <w:divId w:val="2118719411"/>
        </w:trPr>
        <w:tc>
          <w:tcPr>
            <w:tcW w:w="4500" w:type="pct"/>
            <w:gridSpan w:val="2"/>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PARTI_69556" w:history="1">
              <w:r>
                <w:rPr>
                  <w:rStyle w:val="a4"/>
                  <w:sz w:val="20"/>
                  <w:szCs w:val="20"/>
                </w:rPr>
                <w:t>PART I</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4</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Business_12257" w:history="1">
              <w:r>
                <w:rPr>
                  <w:rStyle w:val="a4"/>
                  <w:sz w:val="20"/>
                  <w:szCs w:val="20"/>
                </w:rPr>
                <w:t>Item 1.</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Business_12257" w:history="1">
              <w:r>
                <w:rPr>
                  <w:rStyle w:val="a4"/>
                  <w:sz w:val="20"/>
                  <w:szCs w:val="20"/>
                </w:rPr>
                <w:t>Business</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4</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ARiskFactors_616207" w:history="1">
              <w:r>
                <w:rPr>
                  <w:rStyle w:val="a4"/>
                  <w:sz w:val="20"/>
                  <w:szCs w:val="20"/>
                </w:rPr>
                <w:t>Item 1A.</w:t>
              </w:r>
            </w:hyperlink>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ARiskFactors_616207" w:history="1">
              <w:r>
                <w:rPr>
                  <w:rStyle w:val="a4"/>
                  <w:sz w:val="20"/>
                  <w:szCs w:val="20"/>
                </w:rPr>
                <w:t>Risk Factors</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39</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BUnresolvedStaffComments_474723" w:history="1">
              <w:r>
                <w:rPr>
                  <w:rStyle w:val="a4"/>
                  <w:sz w:val="20"/>
                  <w:szCs w:val="20"/>
                </w:rPr>
                <w:t>Item 1B.</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BUnresolvedStaffComments_474723" w:history="1">
              <w:r>
                <w:rPr>
                  <w:rStyle w:val="a4"/>
                  <w:sz w:val="20"/>
                  <w:szCs w:val="20"/>
                </w:rPr>
                <w:t>Unresolved Staff Comments</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83</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2Properties_146901" w:history="1">
              <w:r>
                <w:rPr>
                  <w:rStyle w:val="a4"/>
                  <w:sz w:val="20"/>
                  <w:szCs w:val="20"/>
                </w:rPr>
                <w:t>Item 2.</w:t>
              </w:r>
            </w:hyperlink>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2Properties_146901" w:history="1">
              <w:r>
                <w:rPr>
                  <w:rStyle w:val="a4"/>
                  <w:sz w:val="20"/>
                  <w:szCs w:val="20"/>
                </w:rPr>
                <w:t>Properties</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83</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3LegalProceedings_488764" w:history="1">
              <w:r>
                <w:rPr>
                  <w:rStyle w:val="a4"/>
                  <w:sz w:val="20"/>
                  <w:szCs w:val="20"/>
                </w:rPr>
                <w:t>Ite</w:t>
              </w:r>
              <w:r>
                <w:rPr>
                  <w:rStyle w:val="a4"/>
                  <w:sz w:val="20"/>
                  <w:szCs w:val="20"/>
                </w:rPr>
                <w:t>m 3.</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3LegalProceedings_488764" w:history="1">
              <w:r>
                <w:rPr>
                  <w:rStyle w:val="a4"/>
                  <w:sz w:val="20"/>
                  <w:szCs w:val="20"/>
                </w:rPr>
                <w:t>Legal Proceedings</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85</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4MineSafetyDisclosures_418606" w:history="1">
              <w:r>
                <w:rPr>
                  <w:rStyle w:val="a4"/>
                  <w:sz w:val="20"/>
                  <w:szCs w:val="20"/>
                </w:rPr>
                <w:t>Item 4.</w:t>
              </w:r>
            </w:hyperlink>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4MineSafetyDisclosures_418606" w:history="1">
              <w:r>
                <w:rPr>
                  <w:rStyle w:val="a4"/>
                  <w:sz w:val="20"/>
                  <w:szCs w:val="20"/>
                </w:rPr>
                <w:t>Mine Safety Disclosures</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85</w:t>
            </w:r>
          </w:p>
        </w:tc>
      </w:tr>
      <w:tr w:rsidR="00000000">
        <w:trPr>
          <w:divId w:val="2118719411"/>
        </w:trPr>
        <w:tc>
          <w:tcPr>
            <w:tcW w:w="4500" w:type="pct"/>
            <w:gridSpan w:val="2"/>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r>
      <w:tr w:rsidR="00000000">
        <w:trPr>
          <w:divId w:val="2118719411"/>
        </w:trPr>
        <w:tc>
          <w:tcPr>
            <w:tcW w:w="4500" w:type="pct"/>
            <w:gridSpan w:val="2"/>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PARTII_422476" w:history="1">
              <w:r>
                <w:rPr>
                  <w:rStyle w:val="a4"/>
                  <w:sz w:val="20"/>
                  <w:szCs w:val="20"/>
                </w:rPr>
                <w:t>PART II </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85</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5MarketforCommonEquityRelatedStockh" w:history="1">
              <w:r>
                <w:rPr>
                  <w:rStyle w:val="a4"/>
                  <w:sz w:val="20"/>
                  <w:szCs w:val="20"/>
                </w:rPr>
                <w:t>Item 5.</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5MarketforCommonEquityRelatedStockh" w:history="1">
              <w:r>
                <w:rPr>
                  <w:rStyle w:val="a4"/>
                  <w:sz w:val="20"/>
                  <w:szCs w:val="20"/>
                </w:rPr>
                <w:t>Market for Common Equity, Related Stockholder Matters and Issuer Purchases of Equity Securities</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85</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6SelectedFinancialData" w:history="1">
              <w:r>
                <w:rPr>
                  <w:rStyle w:val="a4"/>
                  <w:sz w:val="20"/>
                  <w:szCs w:val="20"/>
                </w:rPr>
                <w:t>Item 6.</w:t>
              </w:r>
            </w:hyperlink>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6Reserved" w:history="1">
              <w:r>
                <w:rPr>
                  <w:rStyle w:val="a4"/>
                  <w:sz w:val="20"/>
                  <w:szCs w:val="20"/>
                </w:rPr>
                <w:t>[Reserved]</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87</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7ManagementsDiscussionandAnalysisof" w:history="1">
              <w:r>
                <w:rPr>
                  <w:rStyle w:val="a4"/>
                  <w:sz w:val="20"/>
                  <w:szCs w:val="20"/>
                </w:rPr>
                <w:t>Item 7.</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7ManagementsDiscussionandAnalysisof" w:history="1">
              <w:r>
                <w:rPr>
                  <w:rStyle w:val="a4"/>
                  <w:sz w:val="20"/>
                  <w:szCs w:val="20"/>
                </w:rPr>
                <w:t>Management’s Discussion and Analysis of Financial Condition and Results of Operations</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87</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7AQuantitativeandQualitativeDisclos" w:history="1">
              <w:r>
                <w:rPr>
                  <w:rStyle w:val="a4"/>
                  <w:sz w:val="20"/>
                  <w:szCs w:val="20"/>
                </w:rPr>
                <w:t>Item 7A.</w:t>
              </w:r>
            </w:hyperlink>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7AQuantitativeandQualitativeDisclos" w:history="1">
              <w:r>
                <w:rPr>
                  <w:rStyle w:val="a4"/>
                  <w:sz w:val="20"/>
                  <w:szCs w:val="20"/>
                </w:rPr>
                <w:t>Quantitative and Qualitative Disclosures About Market Risk</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100</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8FinancialStatementsandSupplementar" w:history="1">
              <w:r>
                <w:rPr>
                  <w:rStyle w:val="a4"/>
                  <w:sz w:val="20"/>
                  <w:szCs w:val="20"/>
                </w:rPr>
                <w:t>Item 8.</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8FinancialStatementsandSupplementar" w:history="1">
              <w:r>
                <w:rPr>
                  <w:rStyle w:val="a4"/>
                  <w:sz w:val="20"/>
                  <w:szCs w:val="20"/>
                </w:rPr>
                <w:t>Financial</w:t>
              </w:r>
              <w:r>
                <w:rPr>
                  <w:rStyle w:val="a4"/>
                  <w:sz w:val="20"/>
                  <w:szCs w:val="20"/>
                </w:rPr>
                <w:t xml:space="preserve"> Statements and Supplementary Data</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100</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9ChangesinandDisagreementswithAccou" w:history="1">
              <w:r>
                <w:rPr>
                  <w:rStyle w:val="a4"/>
                  <w:sz w:val="20"/>
                  <w:szCs w:val="20"/>
                </w:rPr>
                <w:t>Item 9.</w:t>
              </w:r>
            </w:hyperlink>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9ChangesinandDisagreementswithAccou" w:history="1">
              <w:r>
                <w:rPr>
                  <w:rStyle w:val="a4"/>
                  <w:sz w:val="20"/>
                  <w:szCs w:val="20"/>
                </w:rPr>
                <w:t>Changes in and Disagreements with Accountants on Accounting and Financial Disclosure</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100</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9AControlsandProcedures_724099" w:history="1">
              <w:r>
                <w:rPr>
                  <w:rStyle w:val="a4"/>
                  <w:sz w:val="20"/>
                  <w:szCs w:val="20"/>
                </w:rPr>
                <w:t>Item 9A.</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9AControlsandProcedures_724099" w:history="1">
              <w:r>
                <w:rPr>
                  <w:rStyle w:val="a4"/>
                  <w:sz w:val="20"/>
                  <w:szCs w:val="20"/>
                </w:rPr>
                <w:t>Controls and Procedures</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100</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9BOtherInformation_680665" w:history="1">
              <w:r>
                <w:rPr>
                  <w:rStyle w:val="a4"/>
                  <w:sz w:val="20"/>
                  <w:szCs w:val="20"/>
                </w:rPr>
                <w:t>Item 9B.</w:t>
              </w:r>
            </w:hyperlink>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9BOtherInformation_680665" w:history="1">
              <w:r>
                <w:rPr>
                  <w:rStyle w:val="a4"/>
                  <w:sz w:val="20"/>
                  <w:szCs w:val="20"/>
                </w:rPr>
                <w:t>Other Information</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101</w:t>
            </w:r>
          </w:p>
        </w:tc>
      </w:tr>
      <w:tr w:rsidR="00000000">
        <w:trPr>
          <w:divId w:val="2118719411"/>
        </w:trPr>
        <w:tc>
          <w:tcPr>
            <w:tcW w:w="4500" w:type="pct"/>
            <w:gridSpan w:val="2"/>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r>
      <w:tr w:rsidR="00000000">
        <w:trPr>
          <w:divId w:val="2118719411"/>
        </w:trPr>
        <w:tc>
          <w:tcPr>
            <w:tcW w:w="4500" w:type="pct"/>
            <w:gridSpan w:val="2"/>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PARTIII_176735" w:history="1">
              <w:r>
                <w:rPr>
                  <w:rStyle w:val="a4"/>
                  <w:sz w:val="20"/>
                  <w:szCs w:val="20"/>
                </w:rPr>
                <w:t>PART III </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101</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0DirectorsExecutiveOfficersandCorp" w:history="1">
              <w:r>
                <w:rPr>
                  <w:rStyle w:val="a4"/>
                  <w:sz w:val="20"/>
                  <w:szCs w:val="20"/>
                </w:rPr>
                <w:t>Item 10.</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0DirectorsExecutiveOfficersandCorp" w:history="1">
              <w:r>
                <w:rPr>
                  <w:rStyle w:val="a4"/>
                  <w:sz w:val="20"/>
                  <w:szCs w:val="20"/>
                </w:rPr>
                <w:t>Directors, Executive Officers and Corporate Governance</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101</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1ExecutiveCompensation_771474" w:history="1">
              <w:r>
                <w:rPr>
                  <w:rStyle w:val="a4"/>
                  <w:sz w:val="20"/>
                  <w:szCs w:val="20"/>
                </w:rPr>
                <w:t>Item 11.</w:t>
              </w:r>
            </w:hyperlink>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1ExecutiveCompensation_771474" w:history="1">
              <w:r>
                <w:rPr>
                  <w:rStyle w:val="a4"/>
                  <w:sz w:val="20"/>
                  <w:szCs w:val="20"/>
                </w:rPr>
                <w:t>Executive Compensation</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101</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2SecurityOwnershipofCertainBenefic" w:history="1">
              <w:r>
                <w:rPr>
                  <w:rStyle w:val="a4"/>
                  <w:sz w:val="20"/>
                  <w:szCs w:val="20"/>
                </w:rPr>
                <w:t>Item 12.</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2SecurityOwnershipofCertainBenefic" w:history="1">
              <w:r>
                <w:rPr>
                  <w:rStyle w:val="a4"/>
                  <w:sz w:val="20"/>
                  <w:szCs w:val="20"/>
                </w:rPr>
                <w:t>Security Ownership of Certain Beneficial Owners and Management and Related Stockholder Matters</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101</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3CertainRelationshipsandRelatedTra" w:history="1">
              <w:r>
                <w:rPr>
                  <w:rStyle w:val="a4"/>
                  <w:sz w:val="20"/>
                  <w:szCs w:val="20"/>
                </w:rPr>
                <w:t>Item 13.</w:t>
              </w:r>
            </w:hyperlink>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3CertainRelationshipsandRelatedTra" w:history="1">
              <w:r>
                <w:rPr>
                  <w:rStyle w:val="a4"/>
                  <w:sz w:val="20"/>
                  <w:szCs w:val="20"/>
                </w:rPr>
                <w:t>Certain Relationships and Related Transactions, and Director Independence</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101</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4PrincipalAccountantsFeesandServic" w:history="1">
              <w:r>
                <w:rPr>
                  <w:rStyle w:val="a4"/>
                  <w:sz w:val="20"/>
                  <w:szCs w:val="20"/>
                </w:rPr>
                <w:t>Item 14.</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4PrincipalAccountantsFeesandServic" w:history="1">
              <w:r>
                <w:rPr>
                  <w:rStyle w:val="a4"/>
                  <w:sz w:val="20"/>
                  <w:szCs w:val="20"/>
                </w:rPr>
                <w:t>Principal Accounting Fees and Services</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101</w:t>
            </w:r>
          </w:p>
        </w:tc>
      </w:tr>
      <w:tr w:rsidR="00000000">
        <w:trPr>
          <w:divId w:val="2118719411"/>
        </w:trPr>
        <w:tc>
          <w:tcPr>
            <w:tcW w:w="4500" w:type="pct"/>
            <w:gridSpan w:val="2"/>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r>
      <w:tr w:rsidR="00000000">
        <w:trPr>
          <w:divId w:val="2118719411"/>
        </w:trPr>
        <w:tc>
          <w:tcPr>
            <w:tcW w:w="4500" w:type="pct"/>
            <w:gridSpan w:val="2"/>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PARTIV_789494" w:history="1">
              <w:r>
                <w:rPr>
                  <w:rStyle w:val="a4"/>
                  <w:sz w:val="20"/>
                  <w:szCs w:val="20"/>
                </w:rPr>
                <w:t>PART IV </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101</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5ExhibitsFinancialStatementsSchedu" w:history="1">
              <w:r>
                <w:rPr>
                  <w:rStyle w:val="a4"/>
                  <w:sz w:val="20"/>
                  <w:szCs w:val="20"/>
                </w:rPr>
                <w:t>Item 15.</w:t>
              </w:r>
            </w:hyperlink>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5ExhibitsFinancialStatementsSchedu" w:history="1">
              <w:r>
                <w:rPr>
                  <w:rStyle w:val="a4"/>
                  <w:sz w:val="20"/>
                  <w:szCs w:val="20"/>
                </w:rPr>
                <w:t>Exhibits, Financial Statements Schedules</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101</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6Form10KSummary_418252" w:history="1">
              <w:r>
                <w:rPr>
                  <w:rStyle w:val="a4"/>
                  <w:sz w:val="20"/>
                  <w:szCs w:val="20"/>
                </w:rPr>
                <w:t>Item 16.</w:t>
              </w:r>
            </w:hyperlink>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Item16Form10KSummary_418252" w:history="1">
              <w:r>
                <w:rPr>
                  <w:rStyle w:val="a4"/>
                  <w:sz w:val="20"/>
                  <w:szCs w:val="20"/>
                </w:rPr>
                <w:t>10-K Summary</w:t>
              </w:r>
            </w:hyperlink>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105</w:t>
            </w:r>
          </w:p>
        </w:tc>
      </w:tr>
      <w:tr w:rsidR="00000000">
        <w:trPr>
          <w:divId w:val="2118719411"/>
        </w:trPr>
        <w:tc>
          <w:tcPr>
            <w:tcW w:w="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40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Signatures" w:history="1">
              <w:r>
                <w:rPr>
                  <w:rStyle w:val="a4"/>
                  <w:sz w:val="20"/>
                  <w:szCs w:val="20"/>
                </w:rPr>
                <w:t>Signatures</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106</w:t>
            </w:r>
          </w:p>
        </w:tc>
      </w:tr>
      <w:tr w:rsidR="00000000">
        <w:trPr>
          <w:divId w:val="2118719411"/>
        </w:trPr>
        <w:tc>
          <w:tcPr>
            <w:tcW w:w="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4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r>
    </w:tbl>
    <w:p w:rsidR="00000000" w:rsidRDefault="00F22B2C">
      <w:pPr>
        <w:pStyle w:val="a3"/>
        <w:spacing w:before="0" w:beforeAutospacing="0" w:after="0" w:afterAutospacing="0"/>
        <w:divId w:val="2118719411"/>
        <w:rPr>
          <w:sz w:val="20"/>
          <w:szCs w:val="20"/>
        </w:rPr>
      </w:pPr>
      <w:r>
        <w:rPr>
          <w:sz w:val="2"/>
          <w:szCs w:val="2"/>
        </w:rPr>
        <w:t>​</w:t>
      </w:r>
    </w:p>
    <w:p w:rsidR="00000000" w:rsidRDefault="00F22B2C">
      <w:pPr>
        <w:pStyle w:val="a3"/>
        <w:spacing w:before="0" w:beforeAutospacing="0" w:after="0" w:afterAutospacing="0"/>
        <w:divId w:val="2118719411"/>
        <w:rPr>
          <w:sz w:val="20"/>
          <w:szCs w:val="20"/>
        </w:rPr>
      </w:pPr>
      <w:r>
        <w:rPr>
          <w:sz w:val="20"/>
          <w:szCs w:val="20"/>
        </w:rPr>
        <w:t>​</w:t>
      </w:r>
    </w:p>
    <w:p w:rsidR="00000000" w:rsidRDefault="00F22B2C">
      <w:pPr>
        <w:pStyle w:val="a3"/>
        <w:spacing w:before="0" w:beforeAutospacing="0" w:after="0" w:afterAutospacing="0" w:line="0" w:lineRule="atLeast"/>
        <w:divId w:val="2118719411"/>
        <w:rPr>
          <w:vanish/>
        </w:rPr>
      </w:pPr>
      <w:r>
        <w:rPr>
          <w:vanish/>
          <w:sz w:val="2"/>
          <w:szCs w:val="2"/>
        </w:rPr>
        <w:t>​</w:t>
      </w:r>
    </w:p>
    <w:p w:rsidR="00000000" w:rsidRDefault="00F22B2C">
      <w:pPr>
        <w:pStyle w:val="a3"/>
        <w:spacing w:before="480" w:beforeAutospacing="0" w:after="0" w:afterAutospacing="0"/>
        <w:jc w:val="center"/>
        <w:divId w:val="856697787"/>
        <w:rPr>
          <w:sz w:val="20"/>
          <w:szCs w:val="20"/>
        </w:rPr>
      </w:pPr>
      <w:r>
        <w:rPr>
          <w:sz w:val="20"/>
          <w:szCs w:val="20"/>
        </w:rPr>
        <w:t>2</w:t>
      </w:r>
    </w:p>
    <w:p w:rsidR="00000000" w:rsidRDefault="00F22B2C">
      <w:pPr>
        <w:pStyle w:val="a3"/>
        <w:spacing w:before="0" w:beforeAutospacing="0" w:after="600" w:afterAutospacing="0"/>
        <w:divId w:val="477189184"/>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jc w:val="center"/>
        <w:divId w:val="1399282933"/>
        <w:rPr>
          <w:sz w:val="20"/>
          <w:szCs w:val="20"/>
        </w:rPr>
      </w:pPr>
      <w:r>
        <w:rPr>
          <w:b/>
          <w:bCs/>
          <w:sz w:val="20"/>
          <w:szCs w:val="20"/>
        </w:rPr>
        <w:t>Forward-Looking Statements and Market Data</w:t>
      </w:r>
    </w:p>
    <w:p w:rsidR="00000000" w:rsidRDefault="00F22B2C">
      <w:pPr>
        <w:pStyle w:val="a3"/>
        <w:spacing w:before="0" w:beforeAutospacing="0" w:after="240" w:afterAutospacing="0"/>
        <w:divId w:val="1399282933"/>
        <w:rPr>
          <w:sz w:val="20"/>
          <w:szCs w:val="20"/>
        </w:rPr>
      </w:pPr>
      <w:r>
        <w:rPr>
          <w:sz w:val="20"/>
          <w:szCs w:val="20"/>
        </w:rPr>
        <w:t>This Annual Report on Form 10-K contains forward-looking statements that are based on management’</w:t>
      </w:r>
      <w:r>
        <w:rPr>
          <w:sz w:val="20"/>
          <w:szCs w:val="20"/>
        </w:rPr>
        <w:t xml:space="preserve">s beliefs and assumptions and on information currently available to management. All statements other than statements of historical facts contained in this report are forward-looking statements. In some cases, you can identify forward-looking statements by </w:t>
      </w:r>
      <w:r>
        <w:rPr>
          <w:sz w:val="20"/>
          <w:szCs w:val="20"/>
        </w:rPr>
        <w:t>the following words: “may,” “will,” “might,” “could,” “would,” “should,” “expect,” “intend,” “plan,” “anticipate,” “believe,” “estimate,” “predict,” “project,” “aim,” “potential,” “continue,” “ongoing,” “goal,” “forecast,” “guidance,” “outlook,” or the neg</w:t>
      </w:r>
      <w:r>
        <w:rPr>
          <w:sz w:val="20"/>
          <w:szCs w:val="20"/>
        </w:rPr>
        <w:t>ative of these terms or other similar expressions, although not all forward-looking statements contain these words.</w:t>
      </w:r>
    </w:p>
    <w:p w:rsidR="00000000" w:rsidRDefault="00F22B2C">
      <w:pPr>
        <w:pStyle w:val="a3"/>
        <w:spacing w:before="0" w:beforeAutospacing="0" w:after="240" w:afterAutospacing="0"/>
        <w:divId w:val="1399282933"/>
        <w:rPr>
          <w:sz w:val="20"/>
          <w:szCs w:val="20"/>
        </w:rPr>
      </w:pPr>
      <w:r>
        <w:rPr>
          <w:sz w:val="20"/>
          <w:szCs w:val="20"/>
        </w:rPr>
        <w:t>These statements involve risks, uncertainties and other factors that may cause actual results, levels of activity, performance or achievemen</w:t>
      </w:r>
      <w:r>
        <w:rPr>
          <w:sz w:val="20"/>
          <w:szCs w:val="20"/>
        </w:rPr>
        <w:t>ts to be materially different from the information expressed or implied by these forward-looking statements. Although we believe that we have a reasonable basis for each forward-looking statement contained in this report, we caution you that these statemen</w:t>
      </w:r>
      <w:r>
        <w:rPr>
          <w:sz w:val="20"/>
          <w:szCs w:val="20"/>
        </w:rPr>
        <w:t>ts are based on a combination of facts and factors currently known by us and our projections of the future, about which we cannot be certain. Forward-looking statements in this Annual Report on Form 10-K include, but are not limited to, statements about: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the success, cost, enrollment, and timing of our clinical trials;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the success, cost and timing of our product development activities;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the ability of us or our third-party contract manufacturers to continue to manufacture tumor infiltrating lymp</w:t>
            </w:r>
            <w:r>
              <w:rPr>
                <w:rFonts w:eastAsia="Times New Roman"/>
                <w:sz w:val="20"/>
                <w:szCs w:val="20"/>
              </w:rPr>
              <w:t>hocytes, or TIL, in accordance with our selected process;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our ability to design, construct and staff our own manufacturing facility on a timely basis and within the estimated expenses;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the success of competing therapies that are or may become available;</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regulatory developments in the United States of America, or U.S., and foreign countries;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 xml:space="preserve">the timing of and our ability to obtain and maintain U.S. Food and Drug Administration, </w:t>
            </w:r>
            <w:r>
              <w:rPr>
                <w:rFonts w:eastAsia="Times New Roman"/>
                <w:sz w:val="20"/>
                <w:szCs w:val="20"/>
              </w:rPr>
              <w:t>or the FDA, or other regulatory authority approval of, or other action with respect to, our product candidates;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our ability to attract and retain key scientific or management personnel;</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the accuracy of our estimates regarding expenses, future revenue, capital requirements and needs for additional financing;</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our ability to obtain funding for our operations, including funding necessary to complete further development and commercializat</w:t>
            </w:r>
            <w:r>
              <w:rPr>
                <w:rFonts w:eastAsia="Times New Roman"/>
                <w:sz w:val="20"/>
                <w:szCs w:val="20"/>
              </w:rPr>
              <w:t>ion of our product candidates;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the ability and willingness of our third-party research institution collaborators to continue research and development activities relating to our product candidates;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the potential of our other research and developme</w:t>
            </w:r>
            <w:r>
              <w:rPr>
                <w:rFonts w:eastAsia="Times New Roman"/>
                <w:sz w:val="20"/>
                <w:szCs w:val="20"/>
              </w:rPr>
              <w:t>nt and strategic collaborations;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our expectations regarding our ability to obtain and maintain intellectual property protection for our manufacturing methods and product candidates;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our plans to research, develop and commercialize our product candidates;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the size and growth potential of the markets for our product candidates, and our ability to serve those markets;</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our ability to contract with third-party suppliers and manuf</w:t>
            </w:r>
            <w:r>
              <w:rPr>
                <w:rFonts w:eastAsia="Times New Roman"/>
                <w:sz w:val="20"/>
                <w:szCs w:val="20"/>
              </w:rPr>
              <w:t>acturers and their ability to perform adequately;</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fluctuations in the trading price of our common stock; and</w:t>
            </w:r>
          </w:p>
        </w:tc>
      </w:tr>
    </w:tbl>
    <w:p w:rsidR="00000000" w:rsidRDefault="00F22B2C">
      <w:pPr>
        <w:divId w:val="13992829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9282933"/>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our use of cash and other resources.</w:t>
            </w:r>
          </w:p>
        </w:tc>
      </w:tr>
    </w:tbl>
    <w:p w:rsidR="00000000" w:rsidRDefault="00F22B2C">
      <w:pPr>
        <w:pStyle w:val="a3"/>
        <w:spacing w:before="0" w:beforeAutospacing="0" w:after="240" w:afterAutospacing="0"/>
        <w:divId w:val="1399282933"/>
        <w:rPr>
          <w:sz w:val="20"/>
          <w:szCs w:val="20"/>
        </w:rPr>
      </w:pPr>
      <w:r>
        <w:rPr>
          <w:sz w:val="20"/>
          <w:szCs w:val="20"/>
        </w:rPr>
        <w:t>Actual results may differ from those set forth in this Annual Report on Form 10-K due to the risks and uncertainties inherent in our business, including, without limitation: the FDA may not agree with our interpretation of the results of its clinical trial</w:t>
      </w:r>
      <w:r>
        <w:rPr>
          <w:sz w:val="20"/>
          <w:szCs w:val="20"/>
        </w:rPr>
        <w:t>s; later developments with the FDA that may be inconsistent with already completed FDA meetings; the preliminary clinical results, including efficacy and safety results, from ongoing Phase 2 may not be reflected in the final analyses of these trials includ</w:t>
      </w:r>
      <w:r>
        <w:rPr>
          <w:sz w:val="20"/>
          <w:szCs w:val="20"/>
        </w:rPr>
        <w:t>ing new cohorts within these trials; the results obtained in our ongoing clinical trials, such as the studies and trials referred to in this Annual Report on Form 10-K, may not be indicative of results obtained in future clinical trials or supportive of pr</w:t>
      </w:r>
      <w:r>
        <w:rPr>
          <w:sz w:val="20"/>
          <w:szCs w:val="20"/>
        </w:rPr>
        <w:t>oduct approval; regulatory authorities may potentially delay the timing of FDA or other regulatory authority approval of, or other action with respect to, our product candidates, specifically, our description of FDA interactions are subject to FDA’s interp</w:t>
      </w:r>
      <w:r>
        <w:rPr>
          <w:sz w:val="20"/>
          <w:szCs w:val="20"/>
        </w:rPr>
        <w:t>retation, as well as FDA’s authority to request new or additional information; we may not be able to obtain or maintain FDA or other regulatory authority approval of its product candidates; our ability to address FDA or other regulatory authority requireme</w:t>
      </w:r>
      <w:r>
        <w:rPr>
          <w:sz w:val="20"/>
          <w:szCs w:val="20"/>
        </w:rPr>
        <w:t>nts relating to our clinical programs and registrational plans, such requirements including, but not limited to, clinical and safety requirements as well as manufacturing and control requirements; risks related to our accelerated FDA review designations; o</w:t>
      </w:r>
      <w:r>
        <w:rPr>
          <w:sz w:val="20"/>
          <w:szCs w:val="20"/>
        </w:rPr>
        <w:t>ur ability to obtain and maintain intellectual property rights relating to our product pipeline; and the acceptance by the market of our product candidates and their potential reimbursement by payors, if approved.</w:t>
      </w:r>
    </w:p>
    <w:p w:rsidR="00000000" w:rsidRDefault="00F22B2C">
      <w:pPr>
        <w:pStyle w:val="a3"/>
        <w:spacing w:before="480" w:beforeAutospacing="0" w:after="0" w:afterAutospacing="0"/>
        <w:jc w:val="center"/>
        <w:divId w:val="1117944235"/>
        <w:rPr>
          <w:sz w:val="20"/>
          <w:szCs w:val="20"/>
        </w:rPr>
      </w:pPr>
      <w:r>
        <w:rPr>
          <w:sz w:val="20"/>
          <w:szCs w:val="20"/>
        </w:rPr>
        <w:t>3</w:t>
      </w:r>
    </w:p>
    <w:p w:rsidR="00000000" w:rsidRDefault="00F22B2C">
      <w:pPr>
        <w:pStyle w:val="a3"/>
        <w:spacing w:before="0" w:beforeAutospacing="0" w:after="600" w:afterAutospacing="0"/>
        <w:divId w:val="656305560"/>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91703274"/>
        <w:rPr>
          <w:sz w:val="20"/>
          <w:szCs w:val="20"/>
        </w:rPr>
      </w:pPr>
      <w:r>
        <w:rPr>
          <w:sz w:val="20"/>
          <w:szCs w:val="20"/>
        </w:rPr>
        <w:t>We caution you that the risks, uncertainties and other factors referenced above may not contain all the risks, uncertainties and other factors that are important to you. In addition, we cannot guarantee future re</w:t>
      </w:r>
      <w:r>
        <w:rPr>
          <w:sz w:val="20"/>
          <w:szCs w:val="20"/>
        </w:rPr>
        <w:t>sults, level of activity, performance or achievements. Any forward-looking statement made by us in this Annual Report on Form 10-K speaks only as of the date of this Annual Report on Form 10-K or as of the date on which it is made. Except as required by la</w:t>
      </w:r>
      <w:r>
        <w:rPr>
          <w:sz w:val="20"/>
          <w:szCs w:val="20"/>
        </w:rPr>
        <w:t>w, we undertake no obligation to publicly update any forward-looking statements, whether because of new information, future events or otherwise, after the date of this Annual Report on Form 10-K.</w:t>
      </w:r>
    </w:p>
    <w:p w:rsidR="00000000" w:rsidRDefault="00F22B2C">
      <w:pPr>
        <w:pStyle w:val="a3"/>
        <w:spacing w:before="0" w:beforeAutospacing="0" w:after="0" w:afterAutospacing="0"/>
        <w:divId w:val="91703274"/>
        <w:rPr>
          <w:sz w:val="20"/>
          <w:szCs w:val="20"/>
        </w:rPr>
      </w:pPr>
      <w:r>
        <w:rPr>
          <w:sz w:val="20"/>
          <w:szCs w:val="20"/>
        </w:rPr>
        <w:t>Unless the context requires otherwise, in this report the te</w:t>
      </w:r>
      <w:r>
        <w:rPr>
          <w:sz w:val="20"/>
          <w:szCs w:val="20"/>
        </w:rPr>
        <w:t>rms “Iovance,” the “Company,” “we,” “us” and “our” refer to Iovance Biotherapeutics, Inc.</w:t>
      </w:r>
    </w:p>
    <w:p w:rsidR="00000000" w:rsidRDefault="00F22B2C">
      <w:pPr>
        <w:pStyle w:val="a3"/>
        <w:spacing w:before="0" w:beforeAutospacing="0" w:after="0" w:afterAutospacing="0"/>
        <w:divId w:val="91703274"/>
        <w:rPr>
          <w:sz w:val="20"/>
          <w:szCs w:val="20"/>
        </w:rPr>
      </w:pPr>
      <w:r>
        <w:rPr>
          <w:sz w:val="20"/>
          <w:szCs w:val="20"/>
        </w:rPr>
        <w:t>​</w:t>
      </w:r>
    </w:p>
    <w:p w:rsidR="00000000" w:rsidRDefault="00F22B2C">
      <w:pPr>
        <w:pStyle w:val="a3"/>
        <w:spacing w:before="0" w:beforeAutospacing="0" w:after="0" w:afterAutospacing="0"/>
        <w:ind w:firstLine="547"/>
        <w:jc w:val="center"/>
        <w:divId w:val="91703274"/>
        <w:rPr>
          <w:sz w:val="20"/>
          <w:szCs w:val="20"/>
        </w:rPr>
      </w:pPr>
      <w:r>
        <w:rPr>
          <w:b/>
          <w:bCs/>
          <w:sz w:val="20"/>
          <w:szCs w:val="20"/>
        </w:rPr>
        <w:t>PART I</w:t>
      </w:r>
    </w:p>
    <w:p w:rsidR="00000000" w:rsidRDefault="00F22B2C">
      <w:pPr>
        <w:pStyle w:val="a3"/>
        <w:spacing w:before="0" w:beforeAutospacing="0" w:after="240" w:afterAutospacing="0"/>
        <w:divId w:val="91703274"/>
        <w:rPr>
          <w:sz w:val="20"/>
          <w:szCs w:val="20"/>
        </w:rPr>
      </w:pPr>
      <w:r>
        <w:rPr>
          <w:b/>
          <w:bCs/>
          <w:sz w:val="20"/>
          <w:szCs w:val="20"/>
        </w:rPr>
        <w:t>Item 1.          Business</w:t>
      </w:r>
    </w:p>
    <w:p w:rsidR="00000000" w:rsidRDefault="00F22B2C">
      <w:pPr>
        <w:pStyle w:val="a3"/>
        <w:spacing w:before="0" w:beforeAutospacing="0" w:after="240" w:afterAutospacing="0"/>
        <w:divId w:val="91703274"/>
        <w:rPr>
          <w:sz w:val="20"/>
          <w:szCs w:val="20"/>
        </w:rPr>
      </w:pPr>
      <w:r>
        <w:rPr>
          <w:b/>
          <w:bCs/>
          <w:sz w:val="20"/>
          <w:szCs w:val="20"/>
        </w:rPr>
        <w:t>Overview</w:t>
      </w:r>
    </w:p>
    <w:p w:rsidR="00000000" w:rsidRDefault="00F22B2C">
      <w:pPr>
        <w:pStyle w:val="a3"/>
        <w:spacing w:before="0" w:beforeAutospacing="0" w:after="0" w:afterAutospacing="0"/>
        <w:ind w:firstLine="547"/>
        <w:divId w:val="91703274"/>
        <w:rPr>
          <w:sz w:val="20"/>
          <w:szCs w:val="20"/>
        </w:rPr>
      </w:pPr>
      <w:r>
        <w:rPr>
          <w:sz w:val="20"/>
          <w:szCs w:val="20"/>
        </w:rPr>
        <w:t xml:space="preserve">We are a clinical-stage biopharmaceutical company pioneering a transformational approach to cure cancer by harnessing the </w:t>
      </w:r>
      <w:r>
        <w:rPr>
          <w:sz w:val="20"/>
          <w:szCs w:val="20"/>
        </w:rPr>
        <w:t>human immune system’s ability to recognize and destroy diverse cancer cells in each patient. TIL therapy is an autologous, polyclonal cell therapy platform technology that was originally developed by the National Cancer Institute, or NCI, which conducted i</w:t>
      </w:r>
      <w:r>
        <w:rPr>
          <w:sz w:val="20"/>
          <w:szCs w:val="20"/>
        </w:rPr>
        <w:t>nitial clinical trials of this therapy in diseases such as metastatic melanoma and cervical cancer. Our mission is to be the global leader in innovating, developing and delivering TIL therapies for patients with cancer. We have developed a new, shorter TIL</w:t>
      </w:r>
      <w:r>
        <w:rPr>
          <w:sz w:val="20"/>
          <w:szCs w:val="20"/>
        </w:rPr>
        <w:t xml:space="preserve"> manufacturing process known as Gen 2, which yields a cryopreserved TIL product. This centralized, proprietary, and scalable manufacturing method is being investigated in multiple indications. Our lead product candidates include lifileucel for metastatic m</w:t>
      </w:r>
      <w:r>
        <w:rPr>
          <w:sz w:val="20"/>
          <w:szCs w:val="20"/>
        </w:rPr>
        <w:t>elanoma and metastatic cervical cancer, as well as LN-145 for metastatic non-small cell lung cancer, or NSCLC. In addition, we are investigating the effectiveness and safety of combinations of TIL therapy with immune checkpoint inhibitors, or ICIs, in meta</w:t>
      </w:r>
      <w:r>
        <w:rPr>
          <w:sz w:val="20"/>
          <w:szCs w:val="20"/>
        </w:rPr>
        <w:t xml:space="preserve">static melanoma, cervical cancer, NSCLC, </w:t>
      </w:r>
      <w:r>
        <w:rPr>
          <w:sz w:val="20"/>
          <w:szCs w:val="20"/>
        </w:rPr>
        <w:lastRenderedPageBreak/>
        <w:t>and head and neck squamous cell carcinoma, or HNSCC. We are investigating peripheral blood lymphocyte, or PBL, therapy for patients with relapsed or refractory chronic lymphocytic leukemia, or CLL, and small lymphoc</w:t>
      </w:r>
      <w:r>
        <w:rPr>
          <w:sz w:val="20"/>
          <w:szCs w:val="20"/>
        </w:rPr>
        <w:t>ytic lymphoma, or SLL, through our sponsored trials. We are developing first-in-class genetically edited TIL products based on the inactivation of genes that encode immune checkpoint proteins and other proteins, as well as the insertion of genes that encod</w:t>
      </w:r>
      <w:r>
        <w:rPr>
          <w:sz w:val="20"/>
          <w:szCs w:val="20"/>
        </w:rPr>
        <w:t>e immunomodulatory proteins. We are also developing an alternative interleukin-2, or IL-2, co-therapy for use with TIL therapies. Finally, we are investigating the potential for TIL therapy in other oncology indications and treatment settings through acade</w:t>
      </w:r>
      <w:r>
        <w:rPr>
          <w:sz w:val="20"/>
          <w:szCs w:val="20"/>
        </w:rPr>
        <w:t>mic collaborations with leading cancer research centers.</w:t>
      </w:r>
    </w:p>
    <w:p w:rsidR="00000000" w:rsidRDefault="00F22B2C">
      <w:pPr>
        <w:pStyle w:val="a3"/>
        <w:spacing w:before="480" w:beforeAutospacing="0" w:after="0" w:afterAutospacing="0"/>
        <w:jc w:val="center"/>
        <w:divId w:val="2056807123"/>
        <w:rPr>
          <w:sz w:val="20"/>
          <w:szCs w:val="20"/>
        </w:rPr>
      </w:pPr>
      <w:r>
        <w:rPr>
          <w:sz w:val="20"/>
          <w:szCs w:val="20"/>
        </w:rPr>
        <w:t>4</w:t>
      </w:r>
    </w:p>
    <w:p w:rsidR="00000000" w:rsidRDefault="00F22B2C">
      <w:pPr>
        <w:pStyle w:val="a3"/>
        <w:spacing w:before="0" w:beforeAutospacing="0" w:after="600" w:afterAutospacing="0"/>
        <w:divId w:val="1956979453"/>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ind w:firstLine="547"/>
        <w:divId w:val="1631401018"/>
        <w:rPr>
          <w:sz w:val="20"/>
          <w:szCs w:val="20"/>
        </w:rPr>
      </w:pPr>
      <w:r>
        <w:rPr>
          <w:sz w:val="20"/>
          <w:szCs w:val="20"/>
        </w:rPr>
        <w:t>​</w:t>
      </w:r>
    </w:p>
    <w:p w:rsidR="00000000" w:rsidRDefault="00F22B2C">
      <w:pPr>
        <w:pStyle w:val="a3"/>
        <w:spacing w:before="0" w:beforeAutospacing="0" w:after="0" w:afterAutospacing="0"/>
        <w:ind w:firstLine="547"/>
        <w:divId w:val="1631401018"/>
        <w:rPr>
          <w:sz w:val="20"/>
          <w:szCs w:val="20"/>
        </w:rPr>
      </w:pPr>
      <w:r>
        <w:rPr>
          <w:sz w:val="20"/>
          <w:szCs w:val="20"/>
        </w:rPr>
        <w:t>Our current product candidate pipeline is summarized in the figure below:</w:t>
      </w:r>
    </w:p>
    <w:p w:rsidR="00000000" w:rsidRDefault="00F22B2C">
      <w:pPr>
        <w:pStyle w:val="a3"/>
        <w:spacing w:before="0" w:beforeAutospacing="0" w:after="0" w:afterAutospacing="0"/>
        <w:jc w:val="center"/>
        <w:divId w:val="1631401018"/>
        <w:rPr>
          <w:sz w:val="20"/>
          <w:szCs w:val="20"/>
        </w:rPr>
      </w:pPr>
      <w:r>
        <w:rPr>
          <w:noProof/>
          <w:sz w:val="20"/>
          <w:szCs w:val="20"/>
        </w:rPr>
        <w:drawing>
          <wp:inline distT="0" distB="0" distL="0" distR="0">
            <wp:extent cx="304800" cy="304800"/>
            <wp:effectExtent l="0" t="0" r="0" b="0"/>
            <wp:docPr id="1" name="图片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22B2C">
      <w:pPr>
        <w:pStyle w:val="a3"/>
        <w:spacing w:before="0" w:beforeAutospacing="0" w:after="0" w:afterAutospacing="0"/>
        <w:ind w:firstLine="547"/>
        <w:divId w:val="1631401018"/>
        <w:rPr>
          <w:sz w:val="20"/>
          <w:szCs w:val="20"/>
        </w:rPr>
      </w:pPr>
      <w:r>
        <w:rPr>
          <w:sz w:val="20"/>
          <w:szCs w:val="20"/>
        </w:rPr>
        <w:t>​</w:t>
      </w:r>
    </w:p>
    <w:p w:rsidR="00000000" w:rsidRDefault="00F22B2C">
      <w:pPr>
        <w:pStyle w:val="a3"/>
        <w:spacing w:before="0" w:beforeAutospacing="0" w:after="0" w:afterAutospacing="0"/>
        <w:divId w:val="1631401018"/>
        <w:rPr>
          <w:sz w:val="20"/>
          <w:szCs w:val="20"/>
        </w:rPr>
      </w:pPr>
      <w:r>
        <w:rPr>
          <w:i/>
          <w:iCs/>
          <w:sz w:val="20"/>
          <w:szCs w:val="20"/>
        </w:rPr>
        <w:t>TIL Monotherapy in Metastatic Solid Tumor Cancers</w:t>
      </w:r>
    </w:p>
    <w:p w:rsidR="00000000" w:rsidRDefault="00F22B2C">
      <w:pPr>
        <w:pStyle w:val="a3"/>
        <w:spacing w:before="0" w:beforeAutospacing="0" w:after="0" w:afterAutospacing="0"/>
        <w:ind w:firstLine="547"/>
        <w:divId w:val="1631401018"/>
        <w:rPr>
          <w:sz w:val="20"/>
          <w:szCs w:val="20"/>
        </w:rPr>
      </w:pPr>
      <w:r>
        <w:rPr>
          <w:sz w:val="20"/>
          <w:szCs w:val="20"/>
        </w:rPr>
        <w:t>​</w:t>
      </w:r>
    </w:p>
    <w:p w:rsidR="00000000" w:rsidRDefault="00F22B2C">
      <w:pPr>
        <w:pStyle w:val="a3"/>
        <w:spacing w:before="0" w:beforeAutospacing="0" w:after="0" w:afterAutospacing="0"/>
        <w:ind w:firstLine="547"/>
        <w:divId w:val="1631401018"/>
        <w:rPr>
          <w:sz w:val="20"/>
          <w:szCs w:val="20"/>
        </w:rPr>
      </w:pPr>
      <w:r>
        <w:rPr>
          <w:sz w:val="20"/>
          <w:szCs w:val="20"/>
        </w:rPr>
        <w:t xml:space="preserve">We have investigated TIL monotherapy in metastatic melanoma, cervical cancer, NSCLC and HNSCC. We are </w:t>
      </w:r>
      <w:r>
        <w:rPr>
          <w:sz w:val="20"/>
          <w:szCs w:val="20"/>
        </w:rPr>
        <w:t>conducting a Phase 2 clinical trial, C-144-01, of our lead TIL product candidate, lifileucel, for the treatment of metastatic melanoma. This multicenter pivotal trial enrolled melanoma patients with disease progression following treatment with at least one</w:t>
      </w:r>
      <w:r>
        <w:rPr>
          <w:sz w:val="20"/>
          <w:szCs w:val="20"/>
        </w:rPr>
        <w:t xml:space="preserve"> systemic therapy, including a PD-1 inhibitor and, if BRAF mutated, a BRAF inhibitor, or a combination of BRAF and MEK inhibitors. Cohort 4 of the C-144-01 clinical trial is a single-arm cohort intended to support the submission of a Biologics License Appl</w:t>
      </w:r>
      <w:r>
        <w:rPr>
          <w:sz w:val="20"/>
          <w:szCs w:val="20"/>
        </w:rPr>
        <w:t>ication, or BLA, to the FDA for lifileucel. Cohorts 2 and 4 of the C-144-01 trial use our Gen 2 manufacturing process. We completed and closed enrollment of patients into Cohort 2 of the C-144-01 trial in 2018. Results from Cohort 2 of the C-144-01 clinica</w:t>
      </w:r>
      <w:r>
        <w:rPr>
          <w:sz w:val="20"/>
          <w:szCs w:val="20"/>
        </w:rPr>
        <w:t>l trial were initially reported at the American Society of Clinical Oncology annual meeting, or ASCO, in June 2019 and most recently updated at ASCO in June 2021. As of the data extract in April 2021, in 66 patients with metastatic melanoma in Cohort 2, tr</w:t>
      </w:r>
      <w:r>
        <w:rPr>
          <w:sz w:val="20"/>
          <w:szCs w:val="20"/>
        </w:rPr>
        <w:t>eatment with lifileucel resulted in an objective response rate, or ORR, of 36%, as assessed by investigator, with 3 complete responses and 21 partial responses. The disease control rate, or DCR, was 80.3%. Median duration of response, or DOR, in Cohort 2 h</w:t>
      </w:r>
      <w:r>
        <w:rPr>
          <w:sz w:val="20"/>
          <w:szCs w:val="20"/>
        </w:rPr>
        <w:t>ad not been reached after 33.1 months of median study follow up. Results from Cohort 2 presented at ASCO in June 2021 also suggest that early intervention with lifileucel at the time of initial progression on anti-PD-1 therapy may maximize benefit. Patient</w:t>
      </w:r>
      <w:r>
        <w:rPr>
          <w:sz w:val="20"/>
          <w:szCs w:val="20"/>
        </w:rPr>
        <w:t>s in Cohort 2 were heavily pretreated and had a mean of 3.3 prior therapies. We have previously reported durable responses across a wide age range of metastatic melanoma patients, among those who have received prior anti-CTLA-4 and BRAF targeted treatments</w:t>
      </w:r>
      <w:r>
        <w:rPr>
          <w:sz w:val="20"/>
          <w:szCs w:val="20"/>
        </w:rPr>
        <w:t>, regardless of BRAF mutation status, and in patients with PD-L1 high and low status. The adverse event profile was generally consistent with the underlying advanced disease and the profile of the lymphodepletion and IL-2 regimens. In addition, detailed Co</w:t>
      </w:r>
      <w:r>
        <w:rPr>
          <w:sz w:val="20"/>
          <w:szCs w:val="20"/>
        </w:rPr>
        <w:t xml:space="preserve">hort 2 data was published in the </w:t>
      </w:r>
      <w:r>
        <w:rPr>
          <w:i/>
          <w:iCs/>
          <w:sz w:val="20"/>
          <w:szCs w:val="20"/>
        </w:rPr>
        <w:t>Journal of Clinical Oncology</w:t>
      </w:r>
      <w:r>
        <w:rPr>
          <w:sz w:val="20"/>
          <w:szCs w:val="20"/>
        </w:rPr>
        <w:t xml:space="preserve"> in May 2021. </w:t>
      </w:r>
    </w:p>
    <w:p w:rsidR="00000000" w:rsidRDefault="00F22B2C">
      <w:pPr>
        <w:pStyle w:val="a3"/>
        <w:spacing w:before="0" w:beforeAutospacing="0" w:after="0" w:afterAutospacing="0"/>
        <w:ind w:firstLine="547"/>
        <w:divId w:val="1631401018"/>
        <w:rPr>
          <w:sz w:val="20"/>
          <w:szCs w:val="20"/>
        </w:rPr>
      </w:pPr>
      <w:r>
        <w:rPr>
          <w:sz w:val="20"/>
          <w:szCs w:val="20"/>
        </w:rPr>
        <w:t>​</w:t>
      </w:r>
    </w:p>
    <w:p w:rsidR="00000000" w:rsidRDefault="00F22B2C">
      <w:pPr>
        <w:pStyle w:val="a3"/>
        <w:spacing w:before="0" w:beforeAutospacing="0" w:after="0" w:afterAutospacing="0"/>
        <w:ind w:firstLine="547"/>
        <w:divId w:val="1631401018"/>
        <w:rPr>
          <w:sz w:val="20"/>
          <w:szCs w:val="20"/>
        </w:rPr>
      </w:pPr>
      <w:r>
        <w:rPr>
          <w:sz w:val="20"/>
          <w:szCs w:val="20"/>
        </w:rPr>
        <w:t>Pivotal Cohort 4 of the C-144-01 trial was enrolled to evaluate ORR as read out by an Independent Review Committee, or IRC, as the primary endpoint based on our interpretation of</w:t>
      </w:r>
      <w:r>
        <w:rPr>
          <w:sz w:val="20"/>
          <w:szCs w:val="20"/>
        </w:rPr>
        <w:t xml:space="preserve"> discussions with the FDA as part of an End of Phase 2, or EOP2, meeting held with the FDA in the third quarter of 2018. In October 2018, based on the data provided to the FDA during the EOP2 meeting, we announced that lifileucel had received a Regenerativ</w:t>
      </w:r>
      <w:r>
        <w:rPr>
          <w:sz w:val="20"/>
          <w:szCs w:val="20"/>
        </w:rPr>
        <w:t>e Medicines Advanced Therapy, or RMAT, designation from the FDA. Enrollment in Cohort 4 of the C-144-01 trial commenced in March 2019 and patient dosing was completed in January 2020. A total of 87 patients were dosed with Gen 2 product released for Cohort</w:t>
      </w:r>
      <w:r>
        <w:rPr>
          <w:sz w:val="20"/>
          <w:szCs w:val="20"/>
        </w:rPr>
        <w:t xml:space="preserve"> 4. In May 2020, we disclosed initial results from Cohort 4 for 68 patients with two radiological assessments, as determined by investigator. </w:t>
      </w:r>
    </w:p>
    <w:p w:rsidR="00000000" w:rsidRDefault="00F22B2C">
      <w:pPr>
        <w:pStyle w:val="a3"/>
        <w:spacing w:before="0" w:beforeAutospacing="0" w:after="0" w:afterAutospacing="0"/>
        <w:ind w:firstLine="547"/>
        <w:divId w:val="1631401018"/>
        <w:rPr>
          <w:sz w:val="20"/>
          <w:szCs w:val="20"/>
        </w:rPr>
      </w:pPr>
      <w:r>
        <w:rPr>
          <w:sz w:val="20"/>
          <w:szCs w:val="20"/>
        </w:rPr>
        <w:t>​</w:t>
      </w:r>
    </w:p>
    <w:p w:rsidR="00000000" w:rsidRDefault="00F22B2C">
      <w:pPr>
        <w:pStyle w:val="a3"/>
        <w:spacing w:before="480" w:beforeAutospacing="0" w:after="0" w:afterAutospacing="0"/>
        <w:jc w:val="center"/>
        <w:divId w:val="702708417"/>
        <w:rPr>
          <w:sz w:val="20"/>
          <w:szCs w:val="20"/>
        </w:rPr>
      </w:pPr>
      <w:r>
        <w:rPr>
          <w:sz w:val="20"/>
          <w:szCs w:val="20"/>
        </w:rPr>
        <w:lastRenderedPageBreak/>
        <w:t>5</w:t>
      </w:r>
    </w:p>
    <w:p w:rsidR="00000000" w:rsidRDefault="00F22B2C">
      <w:pPr>
        <w:pStyle w:val="a3"/>
        <w:spacing w:before="0" w:beforeAutospacing="0" w:after="600" w:afterAutospacing="0"/>
        <w:divId w:val="1626229539"/>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ind w:firstLine="547"/>
        <w:divId w:val="393435284"/>
        <w:rPr>
          <w:sz w:val="20"/>
          <w:szCs w:val="20"/>
        </w:rPr>
      </w:pPr>
      <w:r>
        <w:rPr>
          <w:sz w:val="20"/>
          <w:szCs w:val="20"/>
        </w:rPr>
        <w:t>Previously, we reported the submission of additional potency assay data to the FDA, and at the same time, we also announced that we had reached agreement with the FDA on the minimum duration of follow up for Cohort 4 to support our BLA submission for lifil</w:t>
      </w:r>
      <w:r>
        <w:rPr>
          <w:sz w:val="20"/>
          <w:szCs w:val="20"/>
        </w:rPr>
        <w:t>eucel in the treatment of metastatic melanoma. In May 2021, we announced that we had received regulatory feedback from the FDA regarding our potency assays for lifileucel. Following FDA feedback, we have continued our ongoing work developing and validating</w:t>
      </w:r>
      <w:r>
        <w:rPr>
          <w:sz w:val="20"/>
          <w:szCs w:val="20"/>
        </w:rPr>
        <w:t xml:space="preserve"> our potency assays and have engaged in discussions with the FDA during the second half of 2021. Our BLA submission for lifileucel in metastatic melanoma is expected to occur during the first half of 2022. In connection with this BLA submission, the IRC is</w:t>
      </w:r>
      <w:r>
        <w:rPr>
          <w:sz w:val="20"/>
          <w:szCs w:val="20"/>
        </w:rPr>
        <w:t xml:space="preserve"> expected to independently assess responses for Cohort 4 patients through the data cut date, which must be completed prior to BLA submission or disclosure of IRC-read data.</w:t>
      </w:r>
    </w:p>
    <w:p w:rsidR="00000000" w:rsidRDefault="00F22B2C">
      <w:pPr>
        <w:pStyle w:val="a3"/>
        <w:spacing w:before="0" w:beforeAutospacing="0" w:after="0" w:afterAutospacing="0"/>
        <w:ind w:firstLine="547"/>
        <w:divId w:val="393435284"/>
        <w:rPr>
          <w:sz w:val="20"/>
          <w:szCs w:val="20"/>
        </w:rPr>
      </w:pPr>
      <w:r>
        <w:rPr>
          <w:sz w:val="20"/>
          <w:szCs w:val="20"/>
        </w:rPr>
        <w:t>​</w:t>
      </w:r>
    </w:p>
    <w:p w:rsidR="00000000" w:rsidRDefault="00F22B2C">
      <w:pPr>
        <w:pStyle w:val="a3"/>
        <w:spacing w:before="0" w:beforeAutospacing="0" w:after="0" w:afterAutospacing="0"/>
        <w:ind w:firstLine="547"/>
        <w:divId w:val="393435284"/>
        <w:rPr>
          <w:sz w:val="20"/>
          <w:szCs w:val="20"/>
        </w:rPr>
      </w:pPr>
      <w:r>
        <w:rPr>
          <w:sz w:val="20"/>
          <w:szCs w:val="20"/>
        </w:rPr>
        <w:t>We are also conducting a Phase 2 clinical trial, C-145-04, which is a multicenter</w:t>
      </w:r>
      <w:r>
        <w:rPr>
          <w:sz w:val="20"/>
          <w:szCs w:val="20"/>
        </w:rPr>
        <w:t xml:space="preserve"> pivotal trial to assess the safety and efficacy of our lead product candidate lifileucel for the treatment of patients with recurrent, metastatic, or persistent cervical cancer. In February 2019, lifileucel received Fast Track designation from the FDA for</w:t>
      </w:r>
      <w:r>
        <w:rPr>
          <w:sz w:val="20"/>
          <w:szCs w:val="20"/>
        </w:rPr>
        <w:t xml:space="preserve"> development in the treatment of cervical cancer with disease progression on or after chemotherapy. In March 2019, the protocol for this trial was amended to modify the primary endpoint of ORR to be determined by IRC. In May 2019, lifileucel received Break</w:t>
      </w:r>
      <w:r>
        <w:rPr>
          <w:sz w:val="20"/>
          <w:szCs w:val="20"/>
        </w:rPr>
        <w:t>through Therapy Designation, or BTD, from the FDA for development in the treatment of cervical cancer. Results from the C-145-04 clinical trial were reported at ASCO in June 2019. In 27 patients with metastatic cervical cancer, treatment with lifileucel re</w:t>
      </w:r>
      <w:r>
        <w:rPr>
          <w:sz w:val="20"/>
          <w:szCs w:val="20"/>
        </w:rPr>
        <w:t>sulted in an ORR of 44%. At the time of the study data cut, there were 3 complete responses and 9 partial responses. The DCR was 85%. Patients were heavily pretreated and had a mean of 2.4 prior therapies. The median DOR had not been reached. The adverse e</w:t>
      </w:r>
      <w:r>
        <w:rPr>
          <w:sz w:val="20"/>
          <w:szCs w:val="20"/>
        </w:rPr>
        <w:t>vent profile was generally consistent with the underlying advanced disease and the profile of the lymphodepletion and IL-2 regimens. In November 2019, we amended the C-145-04 trial to collect additional data on early-line patients as well as late-line pati</w:t>
      </w:r>
      <w:r>
        <w:rPr>
          <w:sz w:val="20"/>
          <w:szCs w:val="20"/>
        </w:rPr>
        <w:t>ents by adding additional cohorts, in anticipation of a changing landscape in this indication, including Cohort 2 for patients that had previously received chemotherapy and anti-PD-1/anti-PD-L1 therapy. In January 2021, we announced that Cohort 2 of the C-</w:t>
      </w:r>
      <w:r>
        <w:rPr>
          <w:sz w:val="20"/>
          <w:szCs w:val="20"/>
        </w:rPr>
        <w:t>145-04 trial had completed enrollment and that data from this cohort may be supportive of registration because of the expected changing landscape of care for cervical cancer patients. For example, because of recent regulatory approvals for pembrolizumab, t</w:t>
      </w:r>
      <w:r>
        <w:rPr>
          <w:sz w:val="20"/>
          <w:szCs w:val="20"/>
        </w:rPr>
        <w:t>here may be a potential shift from chemotherapy in front-line cervical cancer followed by pembrolizumab in second-line cervical cancer to the use of pembrolizumab in combination with chemotherapy in first-line cervical cancer. We intend to execute our regi</w:t>
      </w:r>
      <w:r>
        <w:rPr>
          <w:sz w:val="20"/>
          <w:szCs w:val="20"/>
        </w:rPr>
        <w:t>strational strategy based on dialog and feedback from the FDA on these cohorts and continue to plan for a potential BLA submission for lifileucel in cervical cancer.</w:t>
      </w:r>
    </w:p>
    <w:p w:rsidR="00000000" w:rsidRDefault="00F22B2C">
      <w:pPr>
        <w:pStyle w:val="a3"/>
        <w:spacing w:before="0" w:beforeAutospacing="0" w:after="0" w:afterAutospacing="0"/>
        <w:ind w:firstLine="547"/>
        <w:divId w:val="393435284"/>
        <w:rPr>
          <w:sz w:val="20"/>
          <w:szCs w:val="20"/>
        </w:rPr>
      </w:pPr>
      <w:r>
        <w:rPr>
          <w:sz w:val="20"/>
          <w:szCs w:val="20"/>
        </w:rPr>
        <w:t>​</w:t>
      </w:r>
    </w:p>
    <w:p w:rsidR="00000000" w:rsidRDefault="00F22B2C">
      <w:pPr>
        <w:pStyle w:val="a3"/>
        <w:spacing w:before="0" w:beforeAutospacing="0" w:after="0" w:afterAutospacing="0"/>
        <w:ind w:firstLine="547"/>
        <w:divId w:val="393435284"/>
        <w:rPr>
          <w:sz w:val="20"/>
          <w:szCs w:val="20"/>
        </w:rPr>
      </w:pPr>
      <w:r>
        <w:rPr>
          <w:sz w:val="20"/>
          <w:szCs w:val="20"/>
        </w:rPr>
        <w:t>In November 2020, we announced that we had finalized the protocol for our potential regi</w:t>
      </w:r>
      <w:r>
        <w:rPr>
          <w:sz w:val="20"/>
          <w:szCs w:val="20"/>
        </w:rPr>
        <w:t>strational clinical trial in NSCLC, IOV-LUN-202, to investigate LN-145 in patients with metastatic NSCLC, without driver mutations, who previously received a single line of approved systemic therapy of combined checkpoint inhibitor and chemotherapy. The IO</w:t>
      </w:r>
      <w:r>
        <w:rPr>
          <w:sz w:val="20"/>
          <w:szCs w:val="20"/>
        </w:rPr>
        <w:t xml:space="preserve">V-LUN-202 clinical trial includes three cohorts. Cohorts 1 and 3 of the IOV-LUN-202 clinical trial are enrolling patients with a PD-L1 TPS of less than one percent at the time they started front-line therapy, and Cohort 2 will enroll patients with a PD-L1 </w:t>
      </w:r>
      <w:r>
        <w:rPr>
          <w:sz w:val="20"/>
          <w:szCs w:val="20"/>
        </w:rPr>
        <w:t>TPS of greater than or equal to one percent at the time they started front-line therapy. Cohort 3 will also explore manufacturing TIL extracted from core biopsies using our third-generation, or Gen 3, manufacturing process. In June 2021, we reported that t</w:t>
      </w:r>
      <w:r>
        <w:rPr>
          <w:sz w:val="20"/>
          <w:szCs w:val="20"/>
        </w:rPr>
        <w:t>he first patient was dosed in the IOV-LUN-202 clinical trial. We intend to continue to enroll patients in the IOV-LUN-202 clinical trial throughout 2022. We are engaged in regulatory discussions with the FDA on IOV-LUN-202 and intend to incorporate FDA fee</w:t>
      </w:r>
      <w:r>
        <w:rPr>
          <w:sz w:val="20"/>
          <w:szCs w:val="20"/>
        </w:rPr>
        <w:t>dback to optimize this clinical trial to support further registration in NSCLC.</w:t>
      </w:r>
    </w:p>
    <w:p w:rsidR="00000000" w:rsidRDefault="00F22B2C">
      <w:pPr>
        <w:pStyle w:val="a3"/>
        <w:spacing w:before="0" w:beforeAutospacing="0" w:after="0" w:afterAutospacing="0"/>
        <w:ind w:firstLine="547"/>
        <w:divId w:val="393435284"/>
        <w:rPr>
          <w:sz w:val="20"/>
          <w:szCs w:val="20"/>
        </w:rPr>
      </w:pPr>
      <w:r>
        <w:rPr>
          <w:sz w:val="20"/>
          <w:szCs w:val="20"/>
        </w:rPr>
        <w:t>​</w:t>
      </w:r>
    </w:p>
    <w:p w:rsidR="00000000" w:rsidRDefault="00F22B2C">
      <w:pPr>
        <w:pStyle w:val="a3"/>
        <w:spacing w:before="0" w:beforeAutospacing="0" w:after="0" w:afterAutospacing="0"/>
        <w:ind w:firstLine="547"/>
        <w:divId w:val="393435284"/>
        <w:rPr>
          <w:sz w:val="20"/>
          <w:szCs w:val="20"/>
        </w:rPr>
      </w:pPr>
      <w:r>
        <w:rPr>
          <w:sz w:val="20"/>
          <w:szCs w:val="20"/>
        </w:rPr>
        <w:t>In June 2021, we reported initial data for LN-145 in Cohort 3B of our IOV-COM-202 clinical trial in metastatic NSCLC. IOV-COM-202 is a Phase 2, multicenter trial that is comp</w:t>
      </w:r>
      <w:r>
        <w:rPr>
          <w:sz w:val="20"/>
          <w:szCs w:val="20"/>
        </w:rPr>
        <w:t>osed of seven cohorts. Cohort 3B of IOV-COM-202 enrolled patients with metastatic NSCLC that had progressed on prior ICI therapy, including patients with oncogene-driven tumors who received prior tyrosine kinase inhibitor therapy. Patients were treated wit</w:t>
      </w:r>
      <w:r>
        <w:rPr>
          <w:sz w:val="20"/>
          <w:szCs w:val="20"/>
        </w:rPr>
        <w:t>h LN-145 monotherapy. We reported results from Cohort 3B of the IOV-COM-202 trial in June 2021. The ORR was 21.4% for the 28 patients in the analysis population, including one complete response and five partial responses, and the DCR was 64.3%, including t</w:t>
      </w:r>
      <w:r>
        <w:rPr>
          <w:sz w:val="20"/>
          <w:szCs w:val="20"/>
        </w:rPr>
        <w:t>wo responders with PD-L1 negative tumors, and 3 responders who had primary refractory disease to checkpoint inhibitors. The treatment emergent adverse event, or TEAE, profile was consistent with the underlying disease and known adverse event profiles of no</w:t>
      </w:r>
      <w:r>
        <w:rPr>
          <w:sz w:val="20"/>
          <w:szCs w:val="20"/>
        </w:rPr>
        <w:t>n-myeloablative lymphodepletion and IL-2. All patients treated in Cohort 3B of the IOV-COM-202 trial received prior anti-PD-1/L1 therapy and all six responding patients also received prior chemotherapy. Historically, ORRs of approximately 20% were reported</w:t>
      </w:r>
      <w:r>
        <w:rPr>
          <w:sz w:val="20"/>
          <w:szCs w:val="20"/>
        </w:rPr>
        <w:t xml:space="preserve"> with ICIs as second-line therapy in ICI-naïve patients who progressed on front-line chemotherapy. We also provided an update on Cohort 3B at the Society for Immunotherapy in Cancer Annual Meeting, or SITC, in November 2021. As of the data extract in Augus</w:t>
      </w:r>
      <w:r>
        <w:rPr>
          <w:sz w:val="20"/>
          <w:szCs w:val="20"/>
        </w:rPr>
        <w:t>t 2021, following one-time treatment with LN-145 monotherapy, the ORR remained at 21.4% for the 28 patients in the analysis population, and was 25% in the efficacy-evaluable set of 24 patients, including one complete response and five partial responses. On</w:t>
      </w:r>
      <w:r>
        <w:rPr>
          <w:sz w:val="20"/>
          <w:szCs w:val="20"/>
        </w:rPr>
        <w:t xml:space="preserve">e complete response and one partial response were ongoing at 20.7 months and 3.0 months, respectively, at a median study follow up of 9.8 months. </w:t>
      </w:r>
    </w:p>
    <w:p w:rsidR="00000000" w:rsidRDefault="00F22B2C">
      <w:pPr>
        <w:pStyle w:val="a3"/>
        <w:spacing w:before="0" w:beforeAutospacing="0" w:after="0" w:afterAutospacing="0"/>
        <w:ind w:firstLine="547"/>
        <w:divId w:val="393435284"/>
        <w:rPr>
          <w:sz w:val="20"/>
          <w:szCs w:val="20"/>
        </w:rPr>
      </w:pPr>
      <w:r>
        <w:rPr>
          <w:sz w:val="20"/>
          <w:szCs w:val="20"/>
        </w:rPr>
        <w:t>​</w:t>
      </w:r>
    </w:p>
    <w:p w:rsidR="00000000" w:rsidRDefault="00F22B2C">
      <w:pPr>
        <w:pStyle w:val="a3"/>
        <w:spacing w:before="480" w:beforeAutospacing="0" w:after="0" w:afterAutospacing="0"/>
        <w:jc w:val="center"/>
        <w:divId w:val="945771955"/>
        <w:rPr>
          <w:sz w:val="20"/>
          <w:szCs w:val="20"/>
        </w:rPr>
      </w:pPr>
      <w:r>
        <w:rPr>
          <w:sz w:val="20"/>
          <w:szCs w:val="20"/>
        </w:rPr>
        <w:t>6</w:t>
      </w:r>
    </w:p>
    <w:p w:rsidR="00000000" w:rsidRDefault="00F22B2C">
      <w:pPr>
        <w:pStyle w:val="a3"/>
        <w:spacing w:before="0" w:beforeAutospacing="0" w:after="600" w:afterAutospacing="0"/>
        <w:divId w:val="990407334"/>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ind w:firstLine="547"/>
        <w:divId w:val="390272922"/>
        <w:rPr>
          <w:sz w:val="20"/>
          <w:szCs w:val="20"/>
        </w:rPr>
      </w:pPr>
      <w:r>
        <w:rPr>
          <w:sz w:val="20"/>
          <w:szCs w:val="20"/>
        </w:rPr>
        <w:t>C-145-03 is our Phase 2, multicenter trial to assess the safe</w:t>
      </w:r>
      <w:r>
        <w:rPr>
          <w:sz w:val="20"/>
          <w:szCs w:val="20"/>
        </w:rPr>
        <w:t xml:space="preserve">ty and efficacy of our product candidate LN-145 for the treatment of patients with metastatic HNSCC. In October 2018, we reported that preliminary data for 13 patients in the C-145-03 clinical trial yielded an ORR of 31% with a DOR ranging from 2.8 to 7.6 </w:t>
      </w:r>
      <w:r>
        <w:rPr>
          <w:sz w:val="20"/>
          <w:szCs w:val="20"/>
        </w:rPr>
        <w:t>months. The adverse event profile remained consistent with previous reports. We redesigned our C-145-03 trial to include multiple cohorts, in order to allow for dosing of TIL therapies produced by multiple manufacturing methods, including our Gen 2 manufac</w:t>
      </w:r>
      <w:r>
        <w:rPr>
          <w:sz w:val="20"/>
          <w:szCs w:val="20"/>
        </w:rPr>
        <w:t xml:space="preserve">turing process, our Gen 3 manufacturing process, and our PD-1 selected TIL manufacturing process. Our PD-1 selected TIL manufacturing process results in a product that we refer to as LN-145-S1. In January 2021, we announced that we will close the C-145-03 </w:t>
      </w:r>
      <w:r>
        <w:rPr>
          <w:sz w:val="20"/>
          <w:szCs w:val="20"/>
        </w:rPr>
        <w:t>clinical trial after the trial reached its pre-specified enrollment target.</w:t>
      </w:r>
    </w:p>
    <w:p w:rsidR="00000000" w:rsidRDefault="00F22B2C">
      <w:pPr>
        <w:pStyle w:val="a3"/>
        <w:spacing w:before="0" w:beforeAutospacing="0" w:after="0" w:afterAutospacing="0"/>
        <w:ind w:firstLine="547"/>
        <w:divId w:val="390272922"/>
        <w:rPr>
          <w:sz w:val="20"/>
          <w:szCs w:val="20"/>
        </w:rPr>
      </w:pPr>
      <w:r>
        <w:rPr>
          <w:sz w:val="20"/>
          <w:szCs w:val="20"/>
        </w:rPr>
        <w:t>​</w:t>
      </w:r>
    </w:p>
    <w:p w:rsidR="00000000" w:rsidRDefault="00F22B2C">
      <w:pPr>
        <w:pStyle w:val="a3"/>
        <w:spacing w:before="0" w:beforeAutospacing="0" w:after="0" w:afterAutospacing="0"/>
        <w:divId w:val="390272922"/>
        <w:rPr>
          <w:sz w:val="20"/>
          <w:szCs w:val="20"/>
        </w:rPr>
      </w:pPr>
      <w:r>
        <w:rPr>
          <w:i/>
          <w:iCs/>
          <w:sz w:val="20"/>
          <w:szCs w:val="20"/>
        </w:rPr>
        <w:t>TIL Combinations in Earlier Treatment Settings for Solid Tumors</w:t>
      </w:r>
    </w:p>
    <w:p w:rsidR="00000000" w:rsidRDefault="00F22B2C">
      <w:pPr>
        <w:pStyle w:val="a3"/>
        <w:spacing w:before="0" w:beforeAutospacing="0" w:after="0" w:afterAutospacing="0"/>
        <w:ind w:firstLine="547"/>
        <w:divId w:val="390272922"/>
        <w:rPr>
          <w:sz w:val="20"/>
          <w:szCs w:val="20"/>
        </w:rPr>
      </w:pPr>
      <w:r>
        <w:rPr>
          <w:sz w:val="20"/>
          <w:szCs w:val="20"/>
        </w:rPr>
        <w:t>​</w:t>
      </w:r>
    </w:p>
    <w:p w:rsidR="00000000" w:rsidRDefault="00F22B2C">
      <w:pPr>
        <w:pStyle w:val="a3"/>
        <w:spacing w:before="0" w:beforeAutospacing="0" w:after="0" w:afterAutospacing="0"/>
        <w:ind w:firstLine="547"/>
        <w:divId w:val="390272922"/>
        <w:rPr>
          <w:sz w:val="20"/>
          <w:szCs w:val="20"/>
        </w:rPr>
      </w:pPr>
      <w:r>
        <w:rPr>
          <w:sz w:val="20"/>
          <w:szCs w:val="20"/>
        </w:rPr>
        <w:t>We are investigating the potential of our TIL therapies in earlier lines of treatment in combination with pembro</w:t>
      </w:r>
      <w:r>
        <w:rPr>
          <w:sz w:val="20"/>
          <w:szCs w:val="20"/>
        </w:rPr>
        <w:t xml:space="preserve">lizumab or other ICIs in cancer patients who are naïve to anti-PD-1 therapy. ICIs are a class of immunotherapy drugs that seek to overcome one of cancer’s main escape mechanisms against an immune system attack. PD-1 is a checkpoint protein found on immune </w:t>
      </w:r>
      <w:r>
        <w:rPr>
          <w:sz w:val="20"/>
          <w:szCs w:val="20"/>
        </w:rPr>
        <w:t>cells called T cells that normally acts as a type of “off switch” which helps prevent T cells from attacking other cells in the body. It is activated by binding to PD-L1, a protein found on both normal and cancerous cells, which thereby may shut down an at</w:t>
      </w:r>
      <w:r>
        <w:rPr>
          <w:sz w:val="20"/>
          <w:szCs w:val="20"/>
        </w:rPr>
        <w:t xml:space="preserve">tack by a T cell. Some cancer cells have large amounts of PD-L1 expressed on their surfaces, which helps them evade T cell attack. </w:t>
      </w:r>
    </w:p>
    <w:p w:rsidR="00000000" w:rsidRDefault="00F22B2C">
      <w:pPr>
        <w:pStyle w:val="a3"/>
        <w:spacing w:before="0" w:beforeAutospacing="0" w:after="0" w:afterAutospacing="0"/>
        <w:ind w:firstLine="547"/>
        <w:divId w:val="390272922"/>
        <w:rPr>
          <w:sz w:val="20"/>
          <w:szCs w:val="20"/>
        </w:rPr>
      </w:pPr>
      <w:r>
        <w:rPr>
          <w:sz w:val="20"/>
          <w:szCs w:val="20"/>
        </w:rPr>
        <w:t>​</w:t>
      </w:r>
    </w:p>
    <w:p w:rsidR="00000000" w:rsidRDefault="00F22B2C">
      <w:pPr>
        <w:pStyle w:val="a3"/>
        <w:spacing w:before="0" w:beforeAutospacing="0" w:after="0" w:afterAutospacing="0"/>
        <w:ind w:firstLine="547"/>
        <w:divId w:val="390272922"/>
        <w:rPr>
          <w:sz w:val="20"/>
          <w:szCs w:val="20"/>
        </w:rPr>
      </w:pPr>
      <w:r>
        <w:rPr>
          <w:sz w:val="20"/>
          <w:szCs w:val="20"/>
        </w:rPr>
        <w:t>We are investigating the potential for our TIL therapy mechanism, together with checkpoint inhibition provided by ICIs, to</w:t>
      </w:r>
      <w:r>
        <w:rPr>
          <w:sz w:val="20"/>
          <w:szCs w:val="20"/>
        </w:rPr>
        <w:t xml:space="preserve"> improve response rates compared to ICIs alone in several sold tumor types, including in four cohorts in our IOV-COM-202 study in solid tumors as well as in one cohort in our C-145-04 clinical study in cervical cancer. In addition to its ongoing enrollment</w:t>
      </w:r>
      <w:r>
        <w:rPr>
          <w:sz w:val="20"/>
          <w:szCs w:val="20"/>
        </w:rPr>
        <w:t xml:space="preserve"> in the U.S., the IOV-COM-202 trial has also received regulatory approval in Canada and in certain European countries.</w:t>
      </w:r>
    </w:p>
    <w:p w:rsidR="00000000" w:rsidRDefault="00F22B2C">
      <w:pPr>
        <w:pStyle w:val="a3"/>
        <w:spacing w:before="0" w:beforeAutospacing="0" w:after="0" w:afterAutospacing="0"/>
        <w:divId w:val="390272922"/>
        <w:rPr>
          <w:sz w:val="20"/>
          <w:szCs w:val="20"/>
        </w:rPr>
      </w:pPr>
      <w:r>
        <w:rPr>
          <w:sz w:val="20"/>
          <w:szCs w:val="20"/>
        </w:rPr>
        <w:t>​</w:t>
      </w:r>
    </w:p>
    <w:p w:rsidR="00000000" w:rsidRDefault="00F22B2C">
      <w:pPr>
        <w:pStyle w:val="a3"/>
        <w:spacing w:before="0" w:beforeAutospacing="0" w:after="0" w:afterAutospacing="0"/>
        <w:ind w:firstLine="547"/>
        <w:divId w:val="390272922"/>
        <w:rPr>
          <w:sz w:val="20"/>
          <w:szCs w:val="20"/>
        </w:rPr>
      </w:pPr>
      <w:r>
        <w:rPr>
          <w:sz w:val="20"/>
          <w:szCs w:val="20"/>
        </w:rPr>
        <w:t>In Cohort 1A of the IOV-COM-202 trial, we are enrolling advanced unresectable or metastatic melanoma patients who are naïve to anti-PD-</w:t>
      </w:r>
      <w:r>
        <w:rPr>
          <w:sz w:val="20"/>
          <w:szCs w:val="20"/>
        </w:rPr>
        <w:t>1 therapy. We reported results from ongoing Cohort 1A of the IOV-COM-202 trial at ASCO in June 2021, as follows, from the initial seven patients. Seven patients received lifileucel in combination with pembrolizumab. Six of the seven patients had a confirme</w:t>
      </w:r>
      <w:r>
        <w:rPr>
          <w:sz w:val="20"/>
          <w:szCs w:val="20"/>
        </w:rPr>
        <w:t xml:space="preserve">d objective response, with an ORR of 86%, including two complete responses, one unconfirmed complete response who had not yet reached the confirmatory complete response assessment, and three partial responses, with one best response of stable disease. The </w:t>
      </w:r>
      <w:r>
        <w:rPr>
          <w:sz w:val="20"/>
          <w:szCs w:val="20"/>
        </w:rPr>
        <w:t>complete response rate, including the unconfirmed complete response, was 43%. The median follow up was 8.2 months. The Cohort 1A results also demonstrated that lifileucel can be safely combined with pembrolizumab. In November 2021, we provided updated resu</w:t>
      </w:r>
      <w:r>
        <w:rPr>
          <w:sz w:val="20"/>
          <w:szCs w:val="20"/>
        </w:rPr>
        <w:t xml:space="preserve">lts from 10 patients in an oral presentation at SITC in which there was a demonstrated ORR of 60%. Six out of the 10 patients had a confirmed objective response, including three complete responses and three partial responses. Historically, ORRs of 33% and </w:t>
      </w:r>
      <w:r>
        <w:rPr>
          <w:sz w:val="20"/>
          <w:szCs w:val="20"/>
        </w:rPr>
        <w:t>a CR rate of 6% have been reported for pembrolizumab monotherapy in metastatic melanoma. Based on these results, we plan to expand enrollment in this cohort in early line melanoma in 2022.</w:t>
      </w:r>
    </w:p>
    <w:p w:rsidR="00000000" w:rsidRDefault="00F22B2C">
      <w:pPr>
        <w:pStyle w:val="a3"/>
        <w:spacing w:before="0" w:beforeAutospacing="0" w:after="0" w:afterAutospacing="0"/>
        <w:ind w:firstLine="547"/>
        <w:divId w:val="390272922"/>
        <w:rPr>
          <w:sz w:val="20"/>
          <w:szCs w:val="20"/>
        </w:rPr>
      </w:pPr>
      <w:r>
        <w:rPr>
          <w:sz w:val="20"/>
          <w:szCs w:val="20"/>
        </w:rPr>
        <w:t>​</w:t>
      </w:r>
    </w:p>
    <w:p w:rsidR="00000000" w:rsidRDefault="00F22B2C">
      <w:pPr>
        <w:pStyle w:val="a3"/>
        <w:spacing w:before="0" w:beforeAutospacing="0" w:after="0" w:afterAutospacing="0"/>
        <w:ind w:firstLine="547"/>
        <w:divId w:val="390272922"/>
        <w:rPr>
          <w:sz w:val="20"/>
          <w:szCs w:val="20"/>
        </w:rPr>
      </w:pPr>
      <w:r>
        <w:rPr>
          <w:sz w:val="20"/>
          <w:szCs w:val="20"/>
        </w:rPr>
        <w:t>In Cohort 2A of the IOV-COM-202 trial, we are enrolling advanced,</w:t>
      </w:r>
      <w:r>
        <w:rPr>
          <w:sz w:val="20"/>
          <w:szCs w:val="20"/>
        </w:rPr>
        <w:t xml:space="preserve"> recurrent, or metastatic HNSCC patients who are naïve to prior immunotherapy including anti-PD-1/anti-PD-L1 therapy. The patients receive LN-145 in combination with pembrolizumab. We reported results from ongoing Cohort 2A of the IOV-COM-202 trial at the </w:t>
      </w:r>
      <w:r>
        <w:rPr>
          <w:sz w:val="20"/>
          <w:szCs w:val="20"/>
        </w:rPr>
        <w:t>SITC meeting in November 2020, as follows. As of October 16, 2020, nine HNSCC patients have received LN-145 plus pembrolizumab with a median duration of follow up of 8.6 months. Four patients had a confirmed, objective response with an ORR of 44% including</w:t>
      </w:r>
      <w:r>
        <w:rPr>
          <w:sz w:val="20"/>
          <w:szCs w:val="20"/>
        </w:rPr>
        <w:t xml:space="preserve"> one complete response and three partial responses. Median DOR was not reached. The DCR at data cutoff was 89% in nine patients, and seven of the eight evaluable patients, or 87.5%, had a reduction in target lesions. The median number of prior therapies wa</w:t>
      </w:r>
      <w:r>
        <w:rPr>
          <w:sz w:val="20"/>
          <w:szCs w:val="20"/>
        </w:rPr>
        <w:t xml:space="preserve">s 1.0 with 89% of the patients having received prior chemotherapy. Four patients were positive for Human Papilloma Virus, or HPV, three patients were HPV negative, and two patients had unknown HPV status. In November 2021, we provided updated results from </w:t>
      </w:r>
      <w:r>
        <w:rPr>
          <w:sz w:val="20"/>
          <w:szCs w:val="20"/>
        </w:rPr>
        <w:t>18 patients in an oral presentation at SITC in which there was a demonstrated ORR of 38.9%. Seven out of the 18 patients had an objective response, including one complete response, one unconfirmed complete response, four partial responses and one unconfirm</w:t>
      </w:r>
      <w:r>
        <w:rPr>
          <w:sz w:val="20"/>
          <w:szCs w:val="20"/>
        </w:rPr>
        <w:t>ed partial response. Historically, ORRs of 17% have been reported for pembrolizumab monotherapy in patients with HNSCC.</w:t>
      </w:r>
    </w:p>
    <w:p w:rsidR="00000000" w:rsidRDefault="00F22B2C">
      <w:pPr>
        <w:pStyle w:val="a3"/>
        <w:spacing w:before="0" w:beforeAutospacing="0" w:after="0" w:afterAutospacing="0"/>
        <w:ind w:firstLine="547"/>
        <w:divId w:val="390272922"/>
        <w:rPr>
          <w:sz w:val="20"/>
          <w:szCs w:val="20"/>
        </w:rPr>
      </w:pPr>
      <w:r>
        <w:rPr>
          <w:sz w:val="20"/>
          <w:szCs w:val="20"/>
        </w:rPr>
        <w:t>​</w:t>
      </w:r>
    </w:p>
    <w:p w:rsidR="00000000" w:rsidRDefault="00F22B2C">
      <w:pPr>
        <w:pStyle w:val="a3"/>
        <w:spacing w:before="0" w:beforeAutospacing="0" w:after="0" w:afterAutospacing="0"/>
        <w:ind w:firstLine="547"/>
        <w:divId w:val="390272922"/>
        <w:rPr>
          <w:sz w:val="20"/>
          <w:szCs w:val="20"/>
        </w:rPr>
      </w:pPr>
      <w:r>
        <w:rPr>
          <w:sz w:val="20"/>
          <w:szCs w:val="20"/>
        </w:rPr>
        <w:t>Our oral presentation at SITC in November 2021 also included initial results from 14 patients treated with a combination of TIL therapy plus pembrolizumab in Cohort 3 of our C-145-04 cervical cancer study. The ORR was 57.1%, and eight out of 14 patients ha</w:t>
      </w:r>
      <w:r>
        <w:rPr>
          <w:sz w:val="20"/>
          <w:szCs w:val="20"/>
        </w:rPr>
        <w:t>d an objective response, including one complete response, six partial responses and one unconfirmed partial response. Cervical cancer patients previously treated with standard of care systemic therapy achieve an ORR of 11%-14% with pembrolizumab monotherap</w:t>
      </w:r>
      <w:r>
        <w:rPr>
          <w:sz w:val="20"/>
          <w:szCs w:val="20"/>
        </w:rPr>
        <w:t>y</w:t>
      </w:r>
      <w:r>
        <w:rPr>
          <w:sz w:val="20"/>
          <w:szCs w:val="20"/>
        </w:rPr>
        <w:t>.</w:t>
      </w:r>
    </w:p>
    <w:p w:rsidR="00000000" w:rsidRDefault="00F22B2C">
      <w:pPr>
        <w:pStyle w:val="a3"/>
        <w:spacing w:before="0" w:beforeAutospacing="0" w:after="0" w:afterAutospacing="0"/>
        <w:ind w:firstLine="547"/>
        <w:divId w:val="390272922"/>
        <w:rPr>
          <w:sz w:val="20"/>
          <w:szCs w:val="20"/>
        </w:rPr>
      </w:pPr>
      <w:r>
        <w:rPr>
          <w:sz w:val="20"/>
          <w:szCs w:val="20"/>
        </w:rPr>
        <w:t>​</w:t>
      </w:r>
    </w:p>
    <w:p w:rsidR="00000000" w:rsidRDefault="00F22B2C">
      <w:pPr>
        <w:pStyle w:val="a3"/>
        <w:spacing w:before="480" w:beforeAutospacing="0" w:after="0" w:afterAutospacing="0"/>
        <w:jc w:val="center"/>
        <w:divId w:val="179051083"/>
        <w:rPr>
          <w:sz w:val="20"/>
          <w:szCs w:val="20"/>
        </w:rPr>
      </w:pPr>
      <w:r>
        <w:rPr>
          <w:sz w:val="20"/>
          <w:szCs w:val="20"/>
        </w:rPr>
        <w:t>7</w:t>
      </w:r>
    </w:p>
    <w:p w:rsidR="00000000" w:rsidRDefault="00F22B2C">
      <w:pPr>
        <w:pStyle w:val="a3"/>
        <w:spacing w:before="0" w:beforeAutospacing="0" w:after="600" w:afterAutospacing="0"/>
        <w:divId w:val="757755677"/>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ind w:firstLine="547"/>
        <w:divId w:val="1132674964"/>
        <w:rPr>
          <w:sz w:val="20"/>
          <w:szCs w:val="20"/>
        </w:rPr>
      </w:pPr>
      <w:r>
        <w:rPr>
          <w:sz w:val="20"/>
          <w:szCs w:val="20"/>
        </w:rPr>
        <w:t>The Cohort 1A and Cohort 2A results from the IOV-COM-202 study as well as Cohort 3 from the C-145-04 study demonstrated that lifileucel or LN-145 can be safely combined with pembrolizumab. The TEAE profile</w:t>
      </w:r>
      <w:r>
        <w:rPr>
          <w:sz w:val="20"/>
          <w:szCs w:val="20"/>
        </w:rPr>
        <w:t xml:space="preserve"> in all Cohorts was consistent with the underlying advanced disease and the known adverse event profiles of pembrolizumab, lymphodepletion, and IL-2 regimens. </w:t>
      </w:r>
    </w:p>
    <w:p w:rsidR="00000000" w:rsidRDefault="00F22B2C">
      <w:pPr>
        <w:pStyle w:val="a3"/>
        <w:spacing w:before="0" w:beforeAutospacing="0" w:after="0" w:afterAutospacing="0"/>
        <w:ind w:firstLine="547"/>
        <w:divId w:val="1132674964"/>
        <w:rPr>
          <w:sz w:val="20"/>
          <w:szCs w:val="20"/>
        </w:rPr>
      </w:pPr>
      <w:r>
        <w:rPr>
          <w:sz w:val="20"/>
          <w:szCs w:val="20"/>
        </w:rPr>
        <w:t>​</w:t>
      </w:r>
    </w:p>
    <w:p w:rsidR="00000000" w:rsidRDefault="00F22B2C">
      <w:pPr>
        <w:pStyle w:val="a3"/>
        <w:spacing w:before="0" w:beforeAutospacing="0" w:after="0" w:afterAutospacing="0"/>
        <w:ind w:firstLine="547"/>
        <w:divId w:val="1132674964"/>
        <w:rPr>
          <w:sz w:val="20"/>
          <w:szCs w:val="20"/>
        </w:rPr>
      </w:pPr>
      <w:r>
        <w:rPr>
          <w:sz w:val="20"/>
          <w:szCs w:val="20"/>
        </w:rPr>
        <w:t>Two additional cohorts, Cohort 3A and 3C in the IOV-COM-202 study, explore LN-145/ICI combinat</w:t>
      </w:r>
      <w:r>
        <w:rPr>
          <w:sz w:val="20"/>
          <w:szCs w:val="20"/>
        </w:rPr>
        <w:t>ion therapies in NSCLC patients. Cohort 3A is evaluating LN-145 in combination with pembrolizumab in patients with recurrent or metastatic NSCLC who have not received prior immunotherapy, including checkpoint inhibitors. Cohort 3C is investigating LN-145 t</w:t>
      </w:r>
      <w:r>
        <w:rPr>
          <w:sz w:val="20"/>
          <w:szCs w:val="20"/>
        </w:rPr>
        <w:t>herapy in combination with ipilimumab and nivolumab in patients with recurrent or metastatic NSCLC who have previously received one line of approved checkpoint inhibitor monotherapy as the only prior line of systemic therapy.</w:t>
      </w:r>
    </w:p>
    <w:p w:rsidR="00000000" w:rsidRDefault="00F22B2C">
      <w:pPr>
        <w:pStyle w:val="a3"/>
        <w:spacing w:before="0" w:beforeAutospacing="0" w:after="0" w:afterAutospacing="0"/>
        <w:ind w:firstLine="547"/>
        <w:divId w:val="1132674964"/>
        <w:rPr>
          <w:sz w:val="20"/>
          <w:szCs w:val="20"/>
        </w:rPr>
      </w:pPr>
      <w:r>
        <w:rPr>
          <w:sz w:val="20"/>
          <w:szCs w:val="20"/>
        </w:rPr>
        <w:t>​</w:t>
      </w:r>
    </w:p>
    <w:p w:rsidR="00000000" w:rsidRDefault="00F22B2C">
      <w:pPr>
        <w:pStyle w:val="a3"/>
        <w:spacing w:before="0" w:beforeAutospacing="0" w:after="0" w:afterAutospacing="0"/>
        <w:ind w:firstLine="547"/>
        <w:divId w:val="1132674964"/>
        <w:rPr>
          <w:sz w:val="20"/>
          <w:szCs w:val="20"/>
        </w:rPr>
      </w:pPr>
      <w:r>
        <w:rPr>
          <w:sz w:val="20"/>
          <w:szCs w:val="20"/>
        </w:rPr>
        <w:t>In September 2021, we announ</w:t>
      </w:r>
      <w:r>
        <w:rPr>
          <w:sz w:val="20"/>
          <w:szCs w:val="20"/>
        </w:rPr>
        <w:t xml:space="preserve">ced that our Iovance Cell Therapy Center, or the </w:t>
      </w:r>
      <w:r>
        <w:rPr>
          <w:i/>
          <w:iCs/>
          <w:sz w:val="20"/>
          <w:szCs w:val="20"/>
        </w:rPr>
        <w:t>i</w:t>
      </w:r>
      <w:r>
        <w:rPr>
          <w:sz w:val="20"/>
          <w:szCs w:val="20"/>
        </w:rPr>
        <w:t>CTC, had successfully manufactured and delivered its first clinical batch of LN-145 for the IOV-COM-202 trial, representing our first internally manufactured TIL product. We continue to supply the IOV-COM-2</w:t>
      </w:r>
      <w:r>
        <w:rPr>
          <w:sz w:val="20"/>
          <w:szCs w:val="20"/>
        </w:rPr>
        <w:t>02 trial, and other ongoing trials, with both internally manufactured and externally manufactured TIL products</w:t>
      </w:r>
      <w:r>
        <w:rPr>
          <w:sz w:val="20"/>
          <w:szCs w:val="20"/>
        </w:rPr>
        <w:t>.</w:t>
      </w:r>
    </w:p>
    <w:p w:rsidR="00000000" w:rsidRDefault="00F22B2C">
      <w:pPr>
        <w:pStyle w:val="a3"/>
        <w:spacing w:before="0" w:beforeAutospacing="0" w:after="0" w:afterAutospacing="0"/>
        <w:ind w:firstLine="547"/>
        <w:divId w:val="1132674964"/>
        <w:rPr>
          <w:sz w:val="20"/>
          <w:szCs w:val="20"/>
        </w:rPr>
      </w:pPr>
      <w:r>
        <w:rPr>
          <w:sz w:val="20"/>
          <w:szCs w:val="20"/>
        </w:rPr>
        <w:t>​</w:t>
      </w:r>
    </w:p>
    <w:p w:rsidR="00000000" w:rsidRDefault="00F22B2C">
      <w:pPr>
        <w:pStyle w:val="a3"/>
        <w:spacing w:before="0" w:beforeAutospacing="0" w:after="0" w:afterAutospacing="0"/>
        <w:divId w:val="1132674964"/>
        <w:rPr>
          <w:sz w:val="20"/>
          <w:szCs w:val="20"/>
        </w:rPr>
      </w:pPr>
      <w:r>
        <w:rPr>
          <w:i/>
          <w:iCs/>
          <w:sz w:val="20"/>
          <w:szCs w:val="20"/>
        </w:rPr>
        <w:t>Next-Generation and Genetically Modified Product Candidates</w:t>
      </w:r>
    </w:p>
    <w:p w:rsidR="00000000" w:rsidRDefault="00F22B2C">
      <w:pPr>
        <w:pStyle w:val="a3"/>
        <w:spacing w:before="0" w:beforeAutospacing="0" w:after="0" w:afterAutospacing="0"/>
        <w:divId w:val="1132674964"/>
        <w:rPr>
          <w:sz w:val="20"/>
          <w:szCs w:val="20"/>
        </w:rPr>
      </w:pPr>
      <w:r>
        <w:rPr>
          <w:i/>
          <w:iCs/>
          <w:sz w:val="20"/>
          <w:szCs w:val="20"/>
        </w:rPr>
        <w:t>​</w:t>
      </w:r>
    </w:p>
    <w:p w:rsidR="00000000" w:rsidRDefault="00F22B2C">
      <w:pPr>
        <w:pStyle w:val="a3"/>
        <w:spacing w:before="0" w:beforeAutospacing="0" w:after="0" w:afterAutospacing="0"/>
        <w:ind w:firstLine="547"/>
        <w:divId w:val="1132674964"/>
        <w:rPr>
          <w:sz w:val="20"/>
          <w:szCs w:val="20"/>
        </w:rPr>
      </w:pPr>
      <w:r>
        <w:rPr>
          <w:sz w:val="20"/>
          <w:szCs w:val="20"/>
        </w:rPr>
        <w:t>Our clinical pipeline also includes next generation TIL product candidates and m</w:t>
      </w:r>
      <w:r>
        <w:rPr>
          <w:sz w:val="20"/>
          <w:szCs w:val="20"/>
        </w:rPr>
        <w:t>anufacturing processes, as well as a cytokine-engrafted protein. Our TIL candidate LN-145-S1, in which TIL are selected for PD-1 expression, is being investigated in post-anti-PD-1 melanoma in Cohort 1B of our IOV-COM-202 basket study as well as in post-an</w:t>
      </w:r>
      <w:r>
        <w:rPr>
          <w:sz w:val="20"/>
          <w:szCs w:val="20"/>
        </w:rPr>
        <w:t xml:space="preserve">ti-PD-1 HNSCC in Cohort 4 of our C-145-03 trial. </w:t>
      </w:r>
    </w:p>
    <w:p w:rsidR="00000000" w:rsidRDefault="00F22B2C">
      <w:pPr>
        <w:pStyle w:val="a3"/>
        <w:spacing w:before="0" w:beforeAutospacing="0" w:after="0" w:afterAutospacing="0"/>
        <w:ind w:firstLine="547"/>
        <w:divId w:val="1132674964"/>
        <w:rPr>
          <w:sz w:val="20"/>
          <w:szCs w:val="20"/>
        </w:rPr>
      </w:pPr>
      <w:r>
        <w:rPr>
          <w:sz w:val="20"/>
          <w:szCs w:val="20"/>
        </w:rPr>
        <w:t>​</w:t>
      </w:r>
    </w:p>
    <w:p w:rsidR="00000000" w:rsidRDefault="00F22B2C">
      <w:pPr>
        <w:pStyle w:val="a3"/>
        <w:spacing w:before="0" w:beforeAutospacing="0" w:after="0" w:afterAutospacing="0"/>
        <w:ind w:firstLine="547"/>
        <w:divId w:val="1132674964"/>
        <w:rPr>
          <w:sz w:val="20"/>
          <w:szCs w:val="20"/>
        </w:rPr>
      </w:pPr>
      <w:r>
        <w:rPr>
          <w:sz w:val="20"/>
          <w:szCs w:val="20"/>
        </w:rPr>
        <w:t>We are using our Gen 3 manufacturing process in Cohort 1C of the IOV-COM-202 clinical trial in melanoma and in Cohort 3 of the IOV-LUN-202 clinical trial in NSCLC and have previously used it in the C-145-</w:t>
      </w:r>
      <w:r>
        <w:rPr>
          <w:sz w:val="20"/>
          <w:szCs w:val="20"/>
        </w:rPr>
        <w:t xml:space="preserve">03 clinical trial in HNSCC. </w:t>
      </w:r>
    </w:p>
    <w:p w:rsidR="00000000" w:rsidRDefault="00F22B2C">
      <w:pPr>
        <w:pStyle w:val="a3"/>
        <w:spacing w:before="0" w:beforeAutospacing="0" w:after="0" w:afterAutospacing="0"/>
        <w:ind w:firstLine="547"/>
        <w:divId w:val="1132674964"/>
        <w:rPr>
          <w:sz w:val="20"/>
          <w:szCs w:val="20"/>
        </w:rPr>
      </w:pPr>
      <w:r>
        <w:rPr>
          <w:sz w:val="20"/>
          <w:szCs w:val="20"/>
        </w:rPr>
        <w:t>​</w:t>
      </w:r>
    </w:p>
    <w:p w:rsidR="00000000" w:rsidRDefault="00F22B2C">
      <w:pPr>
        <w:pStyle w:val="a3"/>
        <w:spacing w:before="0" w:beforeAutospacing="0" w:after="0" w:afterAutospacing="0"/>
        <w:ind w:firstLine="547"/>
        <w:divId w:val="1132674964"/>
        <w:rPr>
          <w:sz w:val="20"/>
          <w:szCs w:val="20"/>
        </w:rPr>
      </w:pPr>
      <w:r>
        <w:rPr>
          <w:sz w:val="20"/>
          <w:szCs w:val="20"/>
        </w:rPr>
        <w:t>In November 2019, we announced that our Investigational New Drug, or IND, application for our PBL therapy, IOV-2001, was authorized by the FDA. Our sponsored clinical trial using this therapy, IOV-CLL-01, was cleared to proce</w:t>
      </w:r>
      <w:r>
        <w:rPr>
          <w:sz w:val="20"/>
          <w:szCs w:val="20"/>
        </w:rPr>
        <w:t xml:space="preserve">ed and patient dosing began in 2020. IOV-2001 is a non-genetically modified, polyclonal T cell product that is manufactured using a nine-day process starting from 50 mL of patient's blood. IOV-CLL-01 is a Phase 1/2 clinical trial evaluating the safety and </w:t>
      </w:r>
      <w:r>
        <w:rPr>
          <w:sz w:val="20"/>
          <w:szCs w:val="20"/>
        </w:rPr>
        <w:t xml:space="preserve">efficacy of IOV-2001 in patients with relapsed or refractory CLL or SLL. </w:t>
      </w:r>
    </w:p>
    <w:p w:rsidR="00000000" w:rsidRDefault="00F22B2C">
      <w:pPr>
        <w:pStyle w:val="a3"/>
        <w:spacing w:before="0" w:beforeAutospacing="0" w:after="0" w:afterAutospacing="0"/>
        <w:ind w:firstLine="547"/>
        <w:divId w:val="1132674964"/>
        <w:rPr>
          <w:sz w:val="20"/>
          <w:szCs w:val="20"/>
        </w:rPr>
      </w:pPr>
      <w:r>
        <w:rPr>
          <w:sz w:val="20"/>
          <w:szCs w:val="20"/>
        </w:rPr>
        <w:t>​</w:t>
      </w:r>
    </w:p>
    <w:p w:rsidR="00000000" w:rsidRDefault="00F22B2C">
      <w:pPr>
        <w:pStyle w:val="a3"/>
        <w:spacing w:before="0" w:beforeAutospacing="0" w:after="0" w:afterAutospacing="0"/>
        <w:ind w:firstLine="547"/>
        <w:divId w:val="1132674964"/>
        <w:rPr>
          <w:sz w:val="20"/>
          <w:szCs w:val="20"/>
        </w:rPr>
      </w:pPr>
      <w:r>
        <w:rPr>
          <w:sz w:val="20"/>
          <w:szCs w:val="20"/>
        </w:rPr>
        <w:t>In January 2020, we announced a research collaboration and exclusive worldwide licensing agreement with Cellectis S.A., or Cellectis, a clinical-stage biopharmaceutical company foc</w:t>
      </w:r>
      <w:r>
        <w:rPr>
          <w:sz w:val="20"/>
          <w:szCs w:val="20"/>
        </w:rPr>
        <w:t>used on developing immunotherapies based on gene-edited allogeneic chimeric antigen receptor modified T cells. The worldwide exclusive license enables us to use certain TALEN® technology addressing multiple gene targets to develop TIL that have been geneti</w:t>
      </w:r>
      <w:r>
        <w:rPr>
          <w:sz w:val="20"/>
          <w:szCs w:val="20"/>
        </w:rPr>
        <w:t>cally modified to create potentially more potent cancer therapies for use in several cancer indications. We are nearing completion of IND-enabling studies under this agreement and expect to initiate our first clinical study in 2022 of a genetically modifie</w:t>
      </w:r>
      <w:r>
        <w:rPr>
          <w:sz w:val="20"/>
          <w:szCs w:val="20"/>
        </w:rPr>
        <w:t>d TIL product candidate, IOV-4001, in which the gene coding for the PD-1 protein is inactivated. Financial terms of the license include development, regulatory and sales milestone payments from us to Cellectis, as well as royalty payments based on net sale</w:t>
      </w:r>
      <w:r>
        <w:rPr>
          <w:sz w:val="20"/>
          <w:szCs w:val="20"/>
        </w:rPr>
        <w:t>s of TALEN-modified TIL products. In addition to IOV-4001, we are currently developing additional targets for genetic modification using the TALEN technology, including double-knock out programs in preclinical development</w:t>
      </w:r>
      <w:r>
        <w:rPr>
          <w:sz w:val="20"/>
          <w:szCs w:val="20"/>
        </w:rPr>
        <w:t>.</w:t>
      </w:r>
    </w:p>
    <w:p w:rsidR="00000000" w:rsidRDefault="00F22B2C">
      <w:pPr>
        <w:pStyle w:val="a3"/>
        <w:spacing w:before="0" w:beforeAutospacing="0" w:after="0" w:afterAutospacing="0"/>
        <w:ind w:firstLine="547"/>
        <w:divId w:val="1132674964"/>
        <w:rPr>
          <w:sz w:val="20"/>
          <w:szCs w:val="20"/>
        </w:rPr>
      </w:pPr>
      <w:r>
        <w:rPr>
          <w:sz w:val="20"/>
          <w:szCs w:val="20"/>
        </w:rPr>
        <w:t>​</w:t>
      </w:r>
    </w:p>
    <w:p w:rsidR="00000000" w:rsidRDefault="00F22B2C">
      <w:pPr>
        <w:pStyle w:val="a3"/>
        <w:spacing w:before="0" w:beforeAutospacing="0" w:after="0" w:afterAutospacing="0"/>
        <w:ind w:firstLine="547"/>
        <w:divId w:val="1132674964"/>
        <w:rPr>
          <w:sz w:val="20"/>
          <w:szCs w:val="20"/>
        </w:rPr>
      </w:pPr>
      <w:r>
        <w:rPr>
          <w:sz w:val="20"/>
          <w:szCs w:val="20"/>
        </w:rPr>
        <w:t>We continue to explore addition</w:t>
      </w:r>
      <w:r>
        <w:rPr>
          <w:sz w:val="20"/>
          <w:szCs w:val="20"/>
        </w:rPr>
        <w:t>al transient and permanent genetic modifications of TILs. For example, under the amended and restated patent license agreement we entered into in May 2021 with National Institutes of Health, or NIH, an agency of the U.S. Public Health Service within the De</w:t>
      </w:r>
      <w:r>
        <w:rPr>
          <w:sz w:val="20"/>
          <w:szCs w:val="20"/>
        </w:rPr>
        <w:t>partment of Health and Human Services, we license a patent family related to cytokine-tethered TILs, which are intended to potentially expand and activate TILs to achieve better efficacy while avoiding systemic side effects of cytokines. We are currently d</w:t>
      </w:r>
      <w:r>
        <w:rPr>
          <w:sz w:val="20"/>
          <w:szCs w:val="20"/>
        </w:rPr>
        <w:t>eveloping cytokine-tethered TIL products in preclinical studies.</w:t>
      </w:r>
    </w:p>
    <w:p w:rsidR="00000000" w:rsidRDefault="00F22B2C">
      <w:pPr>
        <w:pStyle w:val="a3"/>
        <w:spacing w:before="0" w:beforeAutospacing="0" w:after="0" w:afterAutospacing="0"/>
        <w:ind w:firstLine="547"/>
        <w:divId w:val="1132674964"/>
        <w:rPr>
          <w:sz w:val="20"/>
          <w:szCs w:val="20"/>
        </w:rPr>
      </w:pPr>
      <w:r>
        <w:rPr>
          <w:sz w:val="20"/>
          <w:szCs w:val="20"/>
        </w:rPr>
        <w:t>​</w:t>
      </w:r>
    </w:p>
    <w:p w:rsidR="00000000" w:rsidRDefault="00F22B2C">
      <w:pPr>
        <w:pStyle w:val="a3"/>
        <w:spacing w:before="0" w:beforeAutospacing="0" w:after="0" w:afterAutospacing="0"/>
        <w:ind w:firstLine="547"/>
        <w:divId w:val="1132674964"/>
        <w:rPr>
          <w:sz w:val="20"/>
          <w:szCs w:val="20"/>
        </w:rPr>
      </w:pPr>
      <w:r>
        <w:rPr>
          <w:sz w:val="20"/>
          <w:szCs w:val="20"/>
        </w:rPr>
        <w:t>In addition, in January 2020, we obtained a license from Novartis Pharma AG, or Novartis, to develop and commercialize an antibody cytokine engrafted protein, which we refer to as IOV-3001.</w:t>
      </w:r>
      <w:r>
        <w:rPr>
          <w:sz w:val="20"/>
          <w:szCs w:val="20"/>
        </w:rPr>
        <w:t xml:space="preserve"> Under the agreement, we paid an upfront payment to Novartis and may pay milestones involved in initiation of patient dosing in various phases of clinical development for IOV-3001 and approval of a potential product in the U.S., EU, and Japan. We are curre</w:t>
      </w:r>
      <w:r>
        <w:rPr>
          <w:sz w:val="20"/>
          <w:szCs w:val="20"/>
        </w:rPr>
        <w:t xml:space="preserve">ntly conducting IND-enabling studies of this novel IL-2 analog. Novartis is also entitled to low-to-mid single digit percentage royalties from commercial sales of IOV-3001. </w:t>
      </w:r>
    </w:p>
    <w:p w:rsidR="00000000" w:rsidRDefault="00F22B2C">
      <w:pPr>
        <w:pStyle w:val="a3"/>
        <w:spacing w:before="0" w:beforeAutospacing="0" w:after="0" w:afterAutospacing="0"/>
        <w:divId w:val="1132674964"/>
        <w:rPr>
          <w:sz w:val="20"/>
          <w:szCs w:val="20"/>
        </w:rPr>
      </w:pPr>
      <w:r>
        <w:rPr>
          <w:i/>
          <w:iCs/>
          <w:sz w:val="20"/>
          <w:szCs w:val="20"/>
        </w:rPr>
        <w:t>​</w:t>
      </w:r>
    </w:p>
    <w:p w:rsidR="00000000" w:rsidRDefault="00F22B2C">
      <w:pPr>
        <w:pStyle w:val="a3"/>
        <w:spacing w:before="480" w:beforeAutospacing="0" w:after="0" w:afterAutospacing="0"/>
        <w:jc w:val="center"/>
        <w:divId w:val="892544216"/>
        <w:rPr>
          <w:sz w:val="20"/>
          <w:szCs w:val="20"/>
        </w:rPr>
      </w:pPr>
      <w:r>
        <w:rPr>
          <w:sz w:val="20"/>
          <w:szCs w:val="20"/>
        </w:rPr>
        <w:t>8</w:t>
      </w:r>
    </w:p>
    <w:p w:rsidR="00000000" w:rsidRDefault="00F22B2C">
      <w:pPr>
        <w:pStyle w:val="a3"/>
        <w:spacing w:before="0" w:beforeAutospacing="0" w:after="600" w:afterAutospacing="0"/>
        <w:divId w:val="597492573"/>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divId w:val="436144372"/>
        <w:rPr>
          <w:sz w:val="20"/>
          <w:szCs w:val="20"/>
        </w:rPr>
      </w:pPr>
      <w:r>
        <w:rPr>
          <w:i/>
          <w:iCs/>
          <w:sz w:val="20"/>
          <w:szCs w:val="20"/>
        </w:rPr>
        <w:t xml:space="preserve">Investigator-Sponsored Trials </w:t>
      </w:r>
    </w:p>
    <w:p w:rsidR="00000000" w:rsidRDefault="00F22B2C">
      <w:pPr>
        <w:pStyle w:val="a3"/>
        <w:spacing w:before="0" w:beforeAutospacing="0" w:after="0" w:afterAutospacing="0"/>
        <w:ind w:firstLine="547"/>
        <w:divId w:val="436144372"/>
        <w:rPr>
          <w:sz w:val="20"/>
          <w:szCs w:val="20"/>
        </w:rPr>
      </w:pPr>
      <w:r>
        <w:rPr>
          <w:sz w:val="20"/>
          <w:szCs w:val="20"/>
        </w:rPr>
        <w:t>​</w:t>
      </w:r>
    </w:p>
    <w:p w:rsidR="00000000" w:rsidRDefault="00F22B2C">
      <w:pPr>
        <w:pStyle w:val="a3"/>
        <w:spacing w:before="0" w:beforeAutospacing="0" w:after="0" w:afterAutospacing="0"/>
        <w:ind w:firstLine="547"/>
        <w:divId w:val="436144372"/>
        <w:rPr>
          <w:sz w:val="20"/>
          <w:szCs w:val="20"/>
        </w:rPr>
      </w:pPr>
      <w:r>
        <w:rPr>
          <w:sz w:val="20"/>
          <w:szCs w:val="20"/>
        </w:rPr>
        <w:t>Through our academic collaborators, we are also exploring the potential for TIL therapies in additional indications. As part of our collaboration program with The University of Texas M.D. Anderson Cancer Center, or MDACC, t</w:t>
      </w:r>
      <w:r>
        <w:rPr>
          <w:sz w:val="20"/>
          <w:szCs w:val="20"/>
        </w:rPr>
        <w:t>wo Phase 2 trials were initiated in 2018. Both trials are sponsored by MDACC. The first trial, NCT03449108, investigates LN-145 manufactured by us, using our manufacturing processes, to treat patients with soft tissue sarcoma, osteosarcoma, platinum resist</w:t>
      </w:r>
      <w:r>
        <w:rPr>
          <w:sz w:val="20"/>
          <w:szCs w:val="20"/>
        </w:rPr>
        <w:t>ant ovarian cancer, and thyroid cancer. A second trial under the collaboration with MDACC, NCT03610490, was previously active. This trial treated patients with platinum resistant ovarian cancer, pancreatic and colorectal cancer with TIL manufactured by MDA</w:t>
      </w:r>
      <w:r>
        <w:rPr>
          <w:sz w:val="20"/>
          <w:szCs w:val="20"/>
        </w:rPr>
        <w:t>CC. The data obtained using this manufacturing process may not be representative of our data using our Gen 2 manufacturing process. We also collaborate with many other academic institutions using our TIL therapies. For example, a trial in collaboration wit</w:t>
      </w:r>
      <w:r>
        <w:rPr>
          <w:sz w:val="20"/>
          <w:szCs w:val="20"/>
        </w:rPr>
        <w:t>h The Ohio State University, NCT05176470, is expected to start recruiting in 2022, and explores the use of lifileucel in high-risk melanoma in the neoadjuvant setting</w:t>
      </w:r>
      <w:r>
        <w:rPr>
          <w:sz w:val="20"/>
          <w:szCs w:val="20"/>
        </w:rPr>
        <w:t>.</w:t>
      </w:r>
    </w:p>
    <w:p w:rsidR="00000000" w:rsidRDefault="00F22B2C">
      <w:pPr>
        <w:pStyle w:val="a3"/>
        <w:spacing w:before="0" w:beforeAutospacing="0" w:after="0" w:afterAutospacing="0"/>
        <w:divId w:val="436144372"/>
        <w:rPr>
          <w:sz w:val="20"/>
          <w:szCs w:val="20"/>
        </w:rPr>
      </w:pPr>
      <w:r>
        <w:rPr>
          <w:sz w:val="20"/>
          <w:szCs w:val="20"/>
        </w:rPr>
        <w:t>​</w:t>
      </w:r>
    </w:p>
    <w:p w:rsidR="00000000" w:rsidRDefault="00F22B2C">
      <w:pPr>
        <w:pStyle w:val="a3"/>
        <w:spacing w:before="0" w:beforeAutospacing="0" w:after="240" w:afterAutospacing="0"/>
        <w:divId w:val="436144372"/>
        <w:rPr>
          <w:sz w:val="20"/>
          <w:szCs w:val="20"/>
        </w:rPr>
      </w:pPr>
      <w:r>
        <w:rPr>
          <w:b/>
          <w:bCs/>
          <w:sz w:val="20"/>
          <w:szCs w:val="20"/>
        </w:rPr>
        <w:t>Corporate Strategy</w:t>
      </w:r>
    </w:p>
    <w:p w:rsidR="00000000" w:rsidRDefault="00F22B2C">
      <w:pPr>
        <w:pStyle w:val="a3"/>
        <w:spacing w:before="0" w:beforeAutospacing="0" w:after="240" w:afterAutospacing="0"/>
        <w:ind w:firstLine="547"/>
        <w:divId w:val="436144372"/>
        <w:rPr>
          <w:sz w:val="20"/>
          <w:szCs w:val="20"/>
        </w:rPr>
      </w:pPr>
      <w:r>
        <w:rPr>
          <w:sz w:val="20"/>
          <w:szCs w:val="20"/>
        </w:rPr>
        <w:t>We aim to be the global leader in innovating, developing and delive</w:t>
      </w:r>
      <w:r>
        <w:rPr>
          <w:sz w:val="20"/>
          <w:szCs w:val="20"/>
        </w:rPr>
        <w:t>ring TIL therapy for patients with cancer. We are pioneering a transformational approach to cure cancer by harnessing the human immune system’s ability to recognize and destroy diverse cancer cells in each patient. We are committed to continuous innovation</w:t>
      </w:r>
      <w:r>
        <w:rPr>
          <w:sz w:val="20"/>
          <w:szCs w:val="20"/>
        </w:rPr>
        <w:t xml:space="preserve"> in developing TIL cell therapy, including gene-edited cell therapy, shorter manufacturing processes, and alternatives to IL-2 across a spectrum of tumor types including but not limited to melanoma, cervical cancer, NSCLC and HNSCC that may extend and impr</w:t>
      </w:r>
      <w:r>
        <w:rPr>
          <w:sz w:val="20"/>
          <w:szCs w:val="20"/>
        </w:rPr>
        <w:t>ove life for patients with cancer. Key elements of our strategy include:</w:t>
      </w:r>
    </w:p>
    <w:p w:rsidR="00000000" w:rsidRDefault="00F22B2C">
      <w:pPr>
        <w:pStyle w:val="a3"/>
        <w:spacing w:before="0" w:beforeAutospacing="0" w:after="240" w:afterAutospacing="0"/>
        <w:ind w:firstLine="547"/>
        <w:divId w:val="436144372"/>
        <w:rPr>
          <w:sz w:val="20"/>
          <w:szCs w:val="20"/>
        </w:rPr>
      </w:pPr>
      <w:r>
        <w:rPr>
          <w:b/>
          <w:bCs/>
          <w:i/>
          <w:iCs/>
          <w:sz w:val="20"/>
          <w:szCs w:val="20"/>
        </w:rPr>
        <w:t xml:space="preserve">Expedite clinical development, regulatory approval, and commercialization of our lead product candidate lifileucel for the treatment of metastatic melanoma as well as Iovance TIL and </w:t>
      </w:r>
      <w:r>
        <w:rPr>
          <w:b/>
          <w:bCs/>
          <w:i/>
          <w:iCs/>
          <w:sz w:val="20"/>
          <w:szCs w:val="20"/>
        </w:rPr>
        <w:t>additional polyclonal cell therapies for cancer.</w:t>
      </w:r>
    </w:p>
    <w:p w:rsidR="00000000" w:rsidRDefault="00F22B2C">
      <w:pPr>
        <w:pStyle w:val="a3"/>
        <w:spacing w:before="0" w:beforeAutospacing="0" w:after="240" w:afterAutospacing="0"/>
        <w:ind w:firstLine="540"/>
        <w:divId w:val="436144372"/>
        <w:rPr>
          <w:sz w:val="20"/>
          <w:szCs w:val="20"/>
        </w:rPr>
      </w:pPr>
      <w:r>
        <w:rPr>
          <w:sz w:val="20"/>
          <w:szCs w:val="20"/>
        </w:rPr>
        <w:t>Based on results of TIL therapy from our own clinical trials in metastatic melanoma as well as trials sponsored by the NCI, we are focused on expediting the development, regulatory approval and commercializa</w:t>
      </w:r>
      <w:r>
        <w:rPr>
          <w:sz w:val="20"/>
          <w:szCs w:val="20"/>
        </w:rPr>
        <w:t>tion of our lead product candidate, lifileucel, for the treatment of patients with metastatic melanoma. We intend to file a BLA for lifileucel in metastatic melanoma in the first half of 2022. We are also investigating TIL monotherapy as a one-time treatme</w:t>
      </w:r>
      <w:r>
        <w:rPr>
          <w:sz w:val="20"/>
          <w:szCs w:val="20"/>
        </w:rPr>
        <w:t>nt for advanced cervical cancer and NSCLC patients who have progressed following standard of care treatments, TIL in combination with ICIs for melanoma, cervical, NSCLC and HNSCC as treatment in earlier disease settings, and a PBL therapy intended to addre</w:t>
      </w:r>
      <w:r>
        <w:rPr>
          <w:sz w:val="20"/>
          <w:szCs w:val="20"/>
        </w:rPr>
        <w:t>ss hematologic malignancies.</w:t>
      </w:r>
    </w:p>
    <w:p w:rsidR="00000000" w:rsidRDefault="00F22B2C">
      <w:pPr>
        <w:pStyle w:val="a3"/>
        <w:spacing w:before="0" w:beforeAutospacing="0" w:after="240" w:afterAutospacing="0"/>
        <w:ind w:firstLine="547"/>
        <w:divId w:val="436144372"/>
        <w:rPr>
          <w:sz w:val="20"/>
          <w:szCs w:val="20"/>
        </w:rPr>
      </w:pPr>
      <w:r>
        <w:rPr>
          <w:b/>
          <w:bCs/>
          <w:i/>
          <w:iCs/>
          <w:sz w:val="20"/>
          <w:szCs w:val="20"/>
        </w:rPr>
        <w:t>Continue to expand manufacturing capacity for TIL products.</w:t>
      </w:r>
    </w:p>
    <w:p w:rsidR="00000000" w:rsidRDefault="00F22B2C">
      <w:pPr>
        <w:pStyle w:val="a3"/>
        <w:spacing w:before="0" w:beforeAutospacing="0" w:after="240" w:afterAutospacing="0"/>
        <w:ind w:firstLine="547"/>
        <w:divId w:val="436144372"/>
        <w:rPr>
          <w:sz w:val="20"/>
          <w:szCs w:val="20"/>
        </w:rPr>
      </w:pPr>
      <w:r>
        <w:rPr>
          <w:sz w:val="20"/>
          <w:szCs w:val="20"/>
        </w:rPr>
        <w:t xml:space="preserve">We continue to invest in improving the process and efficiency of manufacturing our product candidates in the U.S. and Europe for TIL manufacturing. </w:t>
      </w:r>
    </w:p>
    <w:p w:rsidR="00000000" w:rsidRDefault="00F22B2C">
      <w:pPr>
        <w:pStyle w:val="a3"/>
        <w:spacing w:before="0" w:beforeAutospacing="0" w:after="240" w:afterAutospacing="0"/>
        <w:ind w:firstLine="547"/>
        <w:divId w:val="436144372"/>
        <w:rPr>
          <w:sz w:val="20"/>
          <w:szCs w:val="20"/>
        </w:rPr>
      </w:pPr>
      <w:r>
        <w:rPr>
          <w:sz w:val="20"/>
          <w:szCs w:val="20"/>
        </w:rPr>
        <w:t>We began construct</w:t>
      </w:r>
      <w:r>
        <w:rPr>
          <w:sz w:val="20"/>
          <w:szCs w:val="20"/>
        </w:rPr>
        <w:t xml:space="preserve">ion of the </w:t>
      </w:r>
      <w:r>
        <w:rPr>
          <w:i/>
          <w:iCs/>
          <w:sz w:val="20"/>
          <w:szCs w:val="20"/>
        </w:rPr>
        <w:t>i</w:t>
      </w:r>
      <w:r>
        <w:rPr>
          <w:sz w:val="20"/>
          <w:szCs w:val="20"/>
        </w:rPr>
        <w:t>CTC, our own manufacturing facility, in 2019, in Philadelphia, Pennsylvania, in order to provide for better margins and rapid implementation of innovative changes for TIL therapies that we may develop or commercialize. We intend to carefully ma</w:t>
      </w:r>
      <w:r>
        <w:rPr>
          <w:sz w:val="20"/>
          <w:szCs w:val="20"/>
        </w:rPr>
        <w:t>nage our cost structure, and reduce the long-term cost of manufacturing our products, although there can be no assurance that we will be able to reduce our manufacturing costs to commercially attractive levels. As of the end of 2021, we have completed comm</w:t>
      </w:r>
      <w:r>
        <w:rPr>
          <w:sz w:val="20"/>
          <w:szCs w:val="20"/>
        </w:rPr>
        <w:t xml:space="preserve">issioning activities and the </w:t>
      </w:r>
      <w:r>
        <w:rPr>
          <w:i/>
          <w:iCs/>
          <w:sz w:val="20"/>
          <w:szCs w:val="20"/>
        </w:rPr>
        <w:t>i</w:t>
      </w:r>
      <w:r>
        <w:rPr>
          <w:sz w:val="20"/>
          <w:szCs w:val="20"/>
        </w:rPr>
        <w:t>CTC had successfully manufactured and delivered first clinical batch of LN-145 for the IOV-COM-202 trial, representing our first internally manufactured TIL product.</w:t>
      </w:r>
    </w:p>
    <w:p w:rsidR="00000000" w:rsidRDefault="00F22B2C">
      <w:pPr>
        <w:pStyle w:val="a3"/>
        <w:spacing w:before="0" w:beforeAutospacing="0" w:after="240" w:afterAutospacing="0"/>
        <w:ind w:firstLine="547"/>
        <w:divId w:val="436144372"/>
        <w:rPr>
          <w:sz w:val="20"/>
          <w:szCs w:val="20"/>
        </w:rPr>
      </w:pPr>
      <w:r>
        <w:rPr>
          <w:sz w:val="20"/>
          <w:szCs w:val="20"/>
        </w:rPr>
        <w:t xml:space="preserve">Currently we use the </w:t>
      </w:r>
      <w:r>
        <w:rPr>
          <w:i/>
          <w:iCs/>
          <w:sz w:val="20"/>
          <w:szCs w:val="20"/>
        </w:rPr>
        <w:t>i</w:t>
      </w:r>
      <w:r>
        <w:rPr>
          <w:sz w:val="20"/>
          <w:szCs w:val="20"/>
        </w:rPr>
        <w:t>CTC as well as several contract manufa</w:t>
      </w:r>
      <w:r>
        <w:rPr>
          <w:sz w:val="20"/>
          <w:szCs w:val="20"/>
        </w:rPr>
        <w:t xml:space="preserve">cturing organizations, or CMOs, to supply our TIL-based products for our clinical trials under various manufacturing services agreements, or MSAs. The use of CMOs is intended to supplement the manufacturing capacity at the </w:t>
      </w:r>
      <w:r>
        <w:rPr>
          <w:i/>
          <w:iCs/>
          <w:sz w:val="20"/>
          <w:szCs w:val="20"/>
        </w:rPr>
        <w:t>i</w:t>
      </w:r>
      <w:r>
        <w:rPr>
          <w:sz w:val="20"/>
          <w:szCs w:val="20"/>
        </w:rPr>
        <w:t>CTC.</w:t>
      </w:r>
    </w:p>
    <w:p w:rsidR="00000000" w:rsidRDefault="00F22B2C">
      <w:pPr>
        <w:pStyle w:val="a3"/>
        <w:spacing w:before="0" w:beforeAutospacing="0" w:after="240" w:afterAutospacing="0"/>
        <w:ind w:firstLine="547"/>
        <w:divId w:val="436144372"/>
        <w:rPr>
          <w:sz w:val="20"/>
          <w:szCs w:val="20"/>
        </w:rPr>
      </w:pPr>
      <w:r>
        <w:rPr>
          <w:sz w:val="20"/>
          <w:szCs w:val="20"/>
        </w:rPr>
        <w:t xml:space="preserve">In 2016, we entered into a </w:t>
      </w:r>
      <w:r>
        <w:rPr>
          <w:sz w:val="20"/>
          <w:szCs w:val="20"/>
        </w:rPr>
        <w:t xml:space="preserve">three-year MSA and related statements of work with WuXi Advanced Therapies, Inc., or WuXi, for two current Good Manufacturing Practices, or cGMP, manufacturing suites to be established and operated by WuXi for us in order to increase our TIL manufacturing </w:t>
      </w:r>
      <w:r>
        <w:rPr>
          <w:sz w:val="20"/>
          <w:szCs w:val="20"/>
        </w:rPr>
        <w:t>capacity in facilities with both clinical and commercial capability for two suites. We have since extended our MSA with WuXi until February 2022 for the first suite and December 2022 for the second suite.</w:t>
      </w:r>
    </w:p>
    <w:p w:rsidR="00000000" w:rsidRDefault="00F22B2C">
      <w:pPr>
        <w:pStyle w:val="a3"/>
        <w:spacing w:before="0" w:beforeAutospacing="0" w:after="0" w:afterAutospacing="0"/>
        <w:ind w:firstLine="547"/>
        <w:divId w:val="436144372"/>
        <w:rPr>
          <w:sz w:val="20"/>
          <w:szCs w:val="20"/>
        </w:rPr>
      </w:pPr>
      <w:r>
        <w:rPr>
          <w:sz w:val="20"/>
          <w:szCs w:val="20"/>
        </w:rPr>
        <w:t>In 2017, we entered into a three-year MSA and relat</w:t>
      </w:r>
      <w:r>
        <w:rPr>
          <w:sz w:val="20"/>
          <w:szCs w:val="20"/>
        </w:rPr>
        <w:t xml:space="preserve">ed statements of work with PharmaCell B.V., or PharmaCell, a contract manufacturing services company based in the Netherlands, to manufacture our autologous cell therapy products for use in our </w:t>
      </w:r>
    </w:p>
    <w:p w:rsidR="00000000" w:rsidRDefault="00F22B2C">
      <w:pPr>
        <w:pStyle w:val="a3"/>
        <w:spacing w:before="480" w:beforeAutospacing="0" w:after="0" w:afterAutospacing="0"/>
        <w:jc w:val="center"/>
        <w:divId w:val="101153010"/>
        <w:rPr>
          <w:sz w:val="20"/>
          <w:szCs w:val="20"/>
        </w:rPr>
      </w:pPr>
      <w:r>
        <w:rPr>
          <w:sz w:val="20"/>
          <w:szCs w:val="20"/>
        </w:rPr>
        <w:t>9</w:t>
      </w:r>
    </w:p>
    <w:p w:rsidR="00000000" w:rsidRDefault="00F22B2C">
      <w:pPr>
        <w:pStyle w:val="a3"/>
        <w:spacing w:before="0" w:beforeAutospacing="0" w:after="600" w:afterAutospacing="0"/>
        <w:divId w:val="913006633"/>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421679512"/>
        <w:rPr>
          <w:sz w:val="20"/>
          <w:szCs w:val="20"/>
        </w:rPr>
      </w:pPr>
      <w:r>
        <w:rPr>
          <w:sz w:val="20"/>
          <w:szCs w:val="20"/>
        </w:rPr>
        <w:t>European clinic</w:t>
      </w:r>
      <w:r>
        <w:rPr>
          <w:sz w:val="20"/>
          <w:szCs w:val="20"/>
        </w:rPr>
        <w:t>al trials. PharmaCell was subsequently acquired by Lonza Group Ltd., or Lonza. Lonza continues to manufacture TIL products for our European clinical trials in its clinical and commercial facility in Geleen, the Netherlands. We have since extended our agree</w:t>
      </w:r>
      <w:r>
        <w:rPr>
          <w:sz w:val="20"/>
          <w:szCs w:val="20"/>
        </w:rPr>
        <w:t>ments with Lonza until April 2022.</w:t>
      </w:r>
    </w:p>
    <w:p w:rsidR="00000000" w:rsidRDefault="00F22B2C">
      <w:pPr>
        <w:pStyle w:val="a3"/>
        <w:spacing w:before="0" w:beforeAutospacing="0" w:after="240" w:afterAutospacing="0"/>
        <w:ind w:firstLine="547"/>
        <w:divId w:val="421679512"/>
        <w:rPr>
          <w:sz w:val="20"/>
          <w:szCs w:val="20"/>
        </w:rPr>
      </w:pPr>
      <w:r>
        <w:rPr>
          <w:sz w:val="20"/>
          <w:szCs w:val="20"/>
        </w:rPr>
        <w:t>Also in 2017, we entered into a two-year MSA and related statements of work with Moffitt, to manufacture our autologous cell therapy products for use in clinical trials, which has since been extended until March 2025. Moffitt continues to manufacture TIL p</w:t>
      </w:r>
      <w:r>
        <w:rPr>
          <w:sz w:val="20"/>
          <w:szCs w:val="20"/>
        </w:rPr>
        <w:t>roducts for our clinical trials in the U.S.</w:t>
      </w:r>
    </w:p>
    <w:p w:rsidR="00000000" w:rsidRDefault="00F22B2C">
      <w:pPr>
        <w:pStyle w:val="a3"/>
        <w:spacing w:before="0" w:beforeAutospacing="0" w:after="240" w:afterAutospacing="0"/>
        <w:ind w:firstLine="547"/>
        <w:divId w:val="421679512"/>
        <w:rPr>
          <w:sz w:val="20"/>
          <w:szCs w:val="20"/>
        </w:rPr>
      </w:pPr>
      <w:r>
        <w:rPr>
          <w:b/>
          <w:bCs/>
          <w:i/>
          <w:iCs/>
          <w:sz w:val="20"/>
          <w:szCs w:val="20"/>
        </w:rPr>
        <w:t>Continue to improve our TIL manufacturing processes and develop new TIL manufacturing technology to become the preferred provider of TIL therapy in the U.S. and the rest of the world.</w:t>
      </w:r>
    </w:p>
    <w:p w:rsidR="00000000" w:rsidRDefault="00F22B2C">
      <w:pPr>
        <w:pStyle w:val="a3"/>
        <w:spacing w:before="0" w:beforeAutospacing="0" w:after="240" w:afterAutospacing="0"/>
        <w:ind w:firstLine="547"/>
        <w:divId w:val="421679512"/>
        <w:rPr>
          <w:sz w:val="20"/>
          <w:szCs w:val="20"/>
        </w:rPr>
      </w:pPr>
      <w:r>
        <w:rPr>
          <w:sz w:val="20"/>
          <w:szCs w:val="20"/>
        </w:rPr>
        <w:t>We are currently manufacturi</w:t>
      </w:r>
      <w:r>
        <w:rPr>
          <w:sz w:val="20"/>
          <w:szCs w:val="20"/>
        </w:rPr>
        <w:t xml:space="preserve">ng TIL for our ongoing clinical studies at the </w:t>
      </w:r>
      <w:r>
        <w:rPr>
          <w:i/>
          <w:iCs/>
          <w:sz w:val="20"/>
          <w:szCs w:val="20"/>
        </w:rPr>
        <w:t>i</w:t>
      </w:r>
      <w:r>
        <w:rPr>
          <w:sz w:val="20"/>
          <w:szCs w:val="20"/>
        </w:rPr>
        <w:t>CTC and remain on track to provide commercial supply from this facility upon potential BLA approval. We believe that we are the only company in the U.S. to have a centralized, demonstrated, and commercially v</w:t>
      </w:r>
      <w:r>
        <w:rPr>
          <w:sz w:val="20"/>
          <w:szCs w:val="20"/>
        </w:rPr>
        <w:t>iable TIL manufacturing process. In 2018, we first utilized our Gen 2 TIL manufacturing process, which reduced TIL manufacturing time from 5-6 weeks to 22 days, allowing for a commercially viable product candidate. The Gen 2 process also produces a cryopre</w:t>
      </w:r>
      <w:r>
        <w:rPr>
          <w:sz w:val="20"/>
          <w:szCs w:val="20"/>
        </w:rPr>
        <w:t>served TIL product for ease of administration and handling. The Gen 2 manufacturing process was utilized in Cohort 2 and Cohort 4 of our C-144-01 trial and has also been selected for use in most of our ongoing TIL clinical development program. We have incl</w:t>
      </w:r>
      <w:r>
        <w:rPr>
          <w:sz w:val="20"/>
          <w:szCs w:val="20"/>
        </w:rPr>
        <w:t>uded Gen 2 as the manufacturing process for registration for our discussions with the FDA and the anticipated BLA filing for lifileucel. Our strategy is to establish our Gen 2 process as a commercial manufacturing process for TIL therapies, including lifil</w:t>
      </w:r>
      <w:r>
        <w:rPr>
          <w:sz w:val="20"/>
          <w:szCs w:val="20"/>
        </w:rPr>
        <w:t>eucel. We also continue to develop and evaluate potential future TIL manufacturing processes, including our 16-day Gen 3 process and genetically modified TIL and other next generation TIL products and processes.</w:t>
      </w:r>
    </w:p>
    <w:p w:rsidR="00000000" w:rsidRDefault="00F22B2C">
      <w:pPr>
        <w:pStyle w:val="a3"/>
        <w:spacing w:before="0" w:beforeAutospacing="0" w:after="240" w:afterAutospacing="0"/>
        <w:ind w:firstLine="547"/>
        <w:divId w:val="421679512"/>
        <w:rPr>
          <w:sz w:val="20"/>
          <w:szCs w:val="20"/>
        </w:rPr>
      </w:pPr>
      <w:r>
        <w:rPr>
          <w:b/>
          <w:bCs/>
          <w:i/>
          <w:iCs/>
          <w:sz w:val="20"/>
          <w:szCs w:val="20"/>
        </w:rPr>
        <w:t xml:space="preserve">Collaborate with governmental, academic and </w:t>
      </w:r>
      <w:r>
        <w:rPr>
          <w:b/>
          <w:bCs/>
          <w:i/>
          <w:iCs/>
          <w:sz w:val="20"/>
          <w:szCs w:val="20"/>
        </w:rPr>
        <w:t>corporate partners to improve and develop TIL and PBL therapies for new indications or for use in combination with other therapies, and to evaluate new manufacturing methods.</w:t>
      </w:r>
    </w:p>
    <w:p w:rsidR="00000000" w:rsidRDefault="00F22B2C">
      <w:pPr>
        <w:pStyle w:val="a3"/>
        <w:spacing w:before="0" w:beforeAutospacing="0" w:after="240" w:afterAutospacing="0"/>
        <w:ind w:firstLine="547"/>
        <w:divId w:val="421679512"/>
        <w:rPr>
          <w:sz w:val="20"/>
          <w:szCs w:val="20"/>
        </w:rPr>
      </w:pPr>
      <w:r>
        <w:rPr>
          <w:sz w:val="20"/>
          <w:szCs w:val="20"/>
        </w:rPr>
        <w:t>In addition to our own research and process development efforts, we seek to colla</w:t>
      </w:r>
      <w:r>
        <w:rPr>
          <w:sz w:val="20"/>
          <w:szCs w:val="20"/>
        </w:rPr>
        <w:t>borate with government, academic research institutions, and corporate partners to improve TIL manufacturing and to develop and explore TIL therapies for new indications. For example, we have ongoing licensing agreements and collaborations with Moffitt, MDA</w:t>
      </w:r>
      <w:r>
        <w:rPr>
          <w:sz w:val="20"/>
          <w:szCs w:val="20"/>
        </w:rPr>
        <w:t xml:space="preserve">CC, Yale University, Cellectis, Novartis, Melanoma Institute Australia, or MIA, and Beth-Israel Deaconess Medical Center, or BIDMC, to evaluate several new solid tumor and hematologic indications for TIL and PBL therapy in clinical and preclinical studies </w:t>
      </w:r>
      <w:r>
        <w:rPr>
          <w:sz w:val="20"/>
          <w:szCs w:val="20"/>
        </w:rPr>
        <w:t>as well as, in some cases, new TIL manufacturing approaches. In August 2021, we extended our Cooperative Research and Development Agreement, or CRADA, with the NCI for another 3-year term. This collaboration with the NCI is directed at research on unmodifi</w:t>
      </w:r>
      <w:r>
        <w:rPr>
          <w:sz w:val="20"/>
          <w:szCs w:val="20"/>
        </w:rPr>
        <w:t>ed TIL therapy and also addresses HPV-associated cancers (cervical and head and neck), lung, bladder, and breast cancers. This collaboration also focuses on Strategies to expand TIL with less differentiated and more stem-like attributes which may result in</w:t>
      </w:r>
      <w:r>
        <w:rPr>
          <w:sz w:val="20"/>
          <w:szCs w:val="20"/>
        </w:rPr>
        <w:t xml:space="preserve"> improved persistence, functionality, and better anti-tumor activity. For example, in December 2021 we presented data at ESMO Immuno-oncology 2021 that demonstrated temporally inhibiting AKT signaling during </w:t>
      </w:r>
      <w:r>
        <w:rPr>
          <w:i/>
          <w:iCs/>
          <w:sz w:val="20"/>
          <w:szCs w:val="20"/>
        </w:rPr>
        <w:t>ex vivo</w:t>
      </w:r>
      <w:r>
        <w:rPr>
          <w:sz w:val="20"/>
          <w:szCs w:val="20"/>
        </w:rPr>
        <w:t xml:space="preserve"> TIL expansion enhances cytokine producti</w:t>
      </w:r>
      <w:r>
        <w:rPr>
          <w:sz w:val="20"/>
          <w:szCs w:val="20"/>
        </w:rPr>
        <w:t>on and function while increasing the population of less differentiated (CD39/CD69) CD8+T-Cells. A description of certain of these collaborations and related agreements is provided in the following sections of this Annual Report on Form 10-K.</w:t>
      </w:r>
    </w:p>
    <w:p w:rsidR="00000000" w:rsidRDefault="00F22B2C">
      <w:pPr>
        <w:pStyle w:val="a3"/>
        <w:spacing w:before="0" w:beforeAutospacing="0" w:after="240" w:afterAutospacing="0"/>
        <w:divId w:val="421679512"/>
        <w:rPr>
          <w:sz w:val="20"/>
          <w:szCs w:val="20"/>
        </w:rPr>
      </w:pPr>
      <w:r>
        <w:rPr>
          <w:b/>
          <w:bCs/>
          <w:sz w:val="20"/>
          <w:szCs w:val="20"/>
        </w:rPr>
        <w:t>Iovance-Sponso</w:t>
      </w:r>
      <w:r>
        <w:rPr>
          <w:b/>
          <w:bCs/>
          <w:sz w:val="20"/>
          <w:szCs w:val="20"/>
        </w:rPr>
        <w:t>red Clinical Trials</w:t>
      </w:r>
    </w:p>
    <w:p w:rsidR="00000000" w:rsidRDefault="00F22B2C">
      <w:pPr>
        <w:pStyle w:val="a3"/>
        <w:spacing w:before="0" w:beforeAutospacing="0" w:after="240" w:afterAutospacing="0"/>
        <w:ind w:firstLine="540"/>
        <w:divId w:val="421679512"/>
        <w:rPr>
          <w:sz w:val="20"/>
          <w:szCs w:val="20"/>
        </w:rPr>
      </w:pPr>
      <w:r>
        <w:rPr>
          <w:sz w:val="20"/>
          <w:szCs w:val="20"/>
        </w:rPr>
        <w:t>We currently have six ongoing Phase 2 clinical studies. The ongoing studies include C-144-01, of our lead product candidate, lifileucel, for the treatment of metastatic melanoma; C-145-04, of our product candidate lifileucel for recurre</w:t>
      </w:r>
      <w:r>
        <w:rPr>
          <w:sz w:val="20"/>
          <w:szCs w:val="20"/>
        </w:rPr>
        <w:t>nt, metastatic or persistent cervical cancer; IOV-LUN-202, a potentially registration-supporting study of our product candidate LN-145 in NSCLC; IOV-COM-202, a basket trial that will treat three cohorts of checkpoint naïve patients with TIL therapy in comb</w:t>
      </w:r>
      <w:r>
        <w:rPr>
          <w:sz w:val="20"/>
          <w:szCs w:val="20"/>
        </w:rPr>
        <w:t>ination with pembrolizumab for metastatic melanoma, HNSCC and NSCLC, a cohort that will treat relapsed and refractory NSCLC patients with TIL monotherapy, as well as a cohort for NSCLC for TIL therapy in combination with ipilimumab and nivolumab. Additiona</w:t>
      </w:r>
      <w:r>
        <w:rPr>
          <w:sz w:val="20"/>
          <w:szCs w:val="20"/>
        </w:rPr>
        <w:t xml:space="preserve">l melanoma cohorts are offered in this trial as well to investigate Gen 3 manufacturing and PD-1 selected TIL. In 2021, we completed enrollment in an additional study, C-145-03, of LN-145, for recurrent and/or metastatic HNSCC. </w:t>
      </w:r>
    </w:p>
    <w:p w:rsidR="00000000" w:rsidRDefault="00F22B2C">
      <w:pPr>
        <w:pStyle w:val="a3"/>
        <w:spacing w:before="0" w:beforeAutospacing="0" w:after="240" w:afterAutospacing="0"/>
        <w:ind w:firstLine="540"/>
        <w:divId w:val="421679512"/>
        <w:rPr>
          <w:sz w:val="20"/>
          <w:szCs w:val="20"/>
        </w:rPr>
      </w:pPr>
      <w:r>
        <w:rPr>
          <w:sz w:val="20"/>
          <w:szCs w:val="20"/>
        </w:rPr>
        <w:t>We are also investigating p</w:t>
      </w:r>
      <w:r>
        <w:rPr>
          <w:sz w:val="20"/>
          <w:szCs w:val="20"/>
        </w:rPr>
        <w:t>olyclonal T cell therapy in blood cancers. Our Phase 1/2 clinical trial, IOV-CLL-01, is enrolling patients with CLL/SLL to receive our PBL therapy, IOV-2001. Additional information about our clinical trials is presented as follows</w:t>
      </w:r>
      <w:r>
        <w:rPr>
          <w:sz w:val="20"/>
          <w:szCs w:val="20"/>
        </w:rPr>
        <w:t>:</w:t>
      </w:r>
    </w:p>
    <w:p w:rsidR="00000000" w:rsidRDefault="00F22B2C">
      <w:pPr>
        <w:pStyle w:val="a3"/>
        <w:spacing w:before="480" w:beforeAutospacing="0" w:after="0" w:afterAutospacing="0"/>
        <w:jc w:val="center"/>
        <w:divId w:val="1465152072"/>
        <w:rPr>
          <w:sz w:val="20"/>
          <w:szCs w:val="20"/>
        </w:rPr>
      </w:pPr>
      <w:r>
        <w:rPr>
          <w:sz w:val="20"/>
          <w:szCs w:val="20"/>
        </w:rPr>
        <w:t>10</w:t>
      </w:r>
    </w:p>
    <w:p w:rsidR="00000000" w:rsidRDefault="00F22B2C">
      <w:pPr>
        <w:pStyle w:val="a3"/>
        <w:spacing w:before="0" w:beforeAutospacing="0" w:after="600" w:afterAutospacing="0"/>
        <w:divId w:val="339698116"/>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978531945"/>
        <w:rPr>
          <w:sz w:val="20"/>
          <w:szCs w:val="20"/>
        </w:rPr>
      </w:pPr>
      <w:r>
        <w:rPr>
          <w:b/>
          <w:bCs/>
          <w:i/>
          <w:iCs/>
          <w:sz w:val="20"/>
          <w:szCs w:val="20"/>
        </w:rPr>
        <w:t>Lifileucel for Metastatic Melanoma</w:t>
      </w:r>
    </w:p>
    <w:p w:rsidR="00000000" w:rsidRDefault="00F22B2C">
      <w:pPr>
        <w:pStyle w:val="a3"/>
        <w:spacing w:before="0" w:beforeAutospacing="0" w:after="240" w:afterAutospacing="0"/>
        <w:ind w:firstLine="547"/>
        <w:divId w:val="978531945"/>
        <w:rPr>
          <w:sz w:val="20"/>
          <w:szCs w:val="20"/>
        </w:rPr>
      </w:pPr>
      <w:r>
        <w:rPr>
          <w:sz w:val="20"/>
          <w:szCs w:val="20"/>
        </w:rPr>
        <w:t>We are developing lifileucel to treat metastatic melanoma. Melanoma is a common type of skin cancer, accounting for approximately 106,110 patients diagnosed and 7,180 deaths each year in the U.S. ac</w:t>
      </w:r>
      <w:r>
        <w:rPr>
          <w:sz w:val="20"/>
          <w:szCs w:val="20"/>
        </w:rPr>
        <w:t>cording to the NCI’s Surveillance, Epidemiology and End Results program, or SEER, program. Our Phase 2 trial, C-144-01, is a prospective, registrational, four-cohort interventional study evaluating lifileucel in metastatic melanoma patients who have progre</w:t>
      </w:r>
      <w:r>
        <w:rPr>
          <w:sz w:val="20"/>
          <w:szCs w:val="20"/>
        </w:rPr>
        <w:t>ssed after prior anti-PD-1 therapy and if BRAF mutant, after BRAF or BRAF/MEK inhibitor therapy. Patients enrolled in this trial to date have failed several prior treatment regimens. Lifileucel has received a RMAT designation from the FDA in metastatic mel</w:t>
      </w:r>
      <w:r>
        <w:rPr>
          <w:sz w:val="20"/>
          <w:szCs w:val="20"/>
        </w:rPr>
        <w:t xml:space="preserve">anoma. </w:t>
      </w:r>
    </w:p>
    <w:p w:rsidR="00000000" w:rsidRDefault="00F22B2C">
      <w:pPr>
        <w:pStyle w:val="a3"/>
        <w:spacing w:before="0" w:beforeAutospacing="0" w:after="240" w:afterAutospacing="0"/>
        <w:ind w:firstLine="547"/>
        <w:divId w:val="978531945"/>
        <w:rPr>
          <w:sz w:val="20"/>
          <w:szCs w:val="20"/>
        </w:rPr>
      </w:pPr>
      <w:r>
        <w:rPr>
          <w:sz w:val="20"/>
          <w:szCs w:val="20"/>
        </w:rPr>
        <w:t>Patients with metastatic melanoma who have failed at least one treatment under the current standards of care have an unfavorable prognosis with very few curative treatment options. The National Comprehensive Cancer Network, or NCCN, makes recommend</w:t>
      </w:r>
      <w:r>
        <w:rPr>
          <w:sz w:val="20"/>
          <w:szCs w:val="20"/>
        </w:rPr>
        <w:t>ations for the treatment of patients with unresectable or metastatic melanoma. Initial therapy can include checkpoint inhibitors either alone or in combination (ipilimumab, nivolumab, pembrolizumab), targeted therapies for patients with BRAF mutations (dab</w:t>
      </w:r>
      <w:r>
        <w:rPr>
          <w:sz w:val="20"/>
          <w:szCs w:val="20"/>
        </w:rPr>
        <w:t>rafenib/trametinib, vemurafenib/cobimetinib, or other combinations). For patients not responding or progressing and who have an adequate clinical status, agents selected from the previous list or of a different therapeutic class can be used as well as high</w:t>
      </w:r>
      <w:r>
        <w:rPr>
          <w:sz w:val="20"/>
          <w:szCs w:val="20"/>
        </w:rPr>
        <w:t xml:space="preserve"> dose IL-2. NCCN experts also recommend participating in a clinical trial at any stage of disease. Patients who do not respond to the current second-line therapies have very few treatment options and typically have a very poor prognosis, with limited media</w:t>
      </w:r>
      <w:r>
        <w:rPr>
          <w:sz w:val="20"/>
          <w:szCs w:val="20"/>
        </w:rPr>
        <w:t>n survival measured in months. According to estimates from the SEER program, there were approximately 7,180 deaths due to melanoma. If approved, we believe lifileucel may be able to treat a portion of the patients that have received all other approved trea</w:t>
      </w:r>
      <w:r>
        <w:rPr>
          <w:sz w:val="20"/>
          <w:szCs w:val="20"/>
        </w:rPr>
        <w:t>tment options.</w:t>
      </w:r>
    </w:p>
    <w:p w:rsidR="00000000" w:rsidRDefault="00F22B2C">
      <w:pPr>
        <w:pStyle w:val="a3"/>
        <w:spacing w:before="0" w:beforeAutospacing="0" w:after="240" w:afterAutospacing="0"/>
        <w:ind w:firstLine="547"/>
        <w:divId w:val="978531945"/>
        <w:rPr>
          <w:sz w:val="20"/>
          <w:szCs w:val="20"/>
        </w:rPr>
      </w:pPr>
      <w:r>
        <w:rPr>
          <w:sz w:val="20"/>
          <w:szCs w:val="20"/>
        </w:rPr>
        <w:t>C-144-01 is investigating lifileucel in advanced melanoma patients who have been treated with at least one systemic therapy including an anti-PD-1 antibody, and if BRAF mutation positive, a BRAF inhibitor or BRAF inhibitor with MEK inhibitor</w:t>
      </w:r>
      <w:r>
        <w:rPr>
          <w:sz w:val="20"/>
          <w:szCs w:val="20"/>
        </w:rPr>
        <w:t>. We are using our Gen 2 manufacturing process for most of our ongoing Phase 2 trials, and as a result, Cohort 1 of C-144-01, using our Generation 1, or Gen 1, manufacturing process, was closed to enrollment in 2017 and subsequent patients were enrolled in</w:t>
      </w:r>
      <w:r>
        <w:rPr>
          <w:sz w:val="20"/>
          <w:szCs w:val="20"/>
        </w:rPr>
        <w:t xml:space="preserve"> Cohorts 2-4, both of which use our Gen 2 process. The planned enrollment in C-144-01 was reached in late 2018 and Cohort 2 is closed to enrollment. Cohort 3 is a retreatment cohort. Cohort 4, a pivotal cohort, was added in 2019 and completed dosing in Jan</w:t>
      </w:r>
      <w:r>
        <w:rPr>
          <w:sz w:val="20"/>
          <w:szCs w:val="20"/>
        </w:rPr>
        <w:t>uary 2020.</w:t>
      </w:r>
    </w:p>
    <w:p w:rsidR="00000000" w:rsidRDefault="00F22B2C">
      <w:pPr>
        <w:pStyle w:val="a3"/>
        <w:spacing w:before="0" w:beforeAutospacing="0" w:after="240" w:afterAutospacing="0"/>
        <w:ind w:firstLine="540"/>
        <w:divId w:val="978531945"/>
        <w:rPr>
          <w:sz w:val="20"/>
          <w:szCs w:val="20"/>
        </w:rPr>
      </w:pPr>
      <w:r>
        <w:rPr>
          <w:sz w:val="20"/>
          <w:szCs w:val="20"/>
        </w:rPr>
        <w:t>Clinical results from Cohort 2 in the C-144-01 clinical study have been presented at several medical meetings. Initial results from Cohort 2 were initially reported at ASCO in June 2019 and most recently updated at ASCO in June 2021. In 66 patie</w:t>
      </w:r>
      <w:r>
        <w:rPr>
          <w:sz w:val="20"/>
          <w:szCs w:val="20"/>
        </w:rPr>
        <w:t xml:space="preserve">nts with metastatic melanoma, treatment with lifileucel resulted in an ORR of 36%, with 2 complete responses and 22 partial responses. The DCR was 80%. Patients were heavily pretreated and had a mean of 3.3 prior therapies. In June 2021, we announced that </w:t>
      </w:r>
      <w:r>
        <w:rPr>
          <w:sz w:val="20"/>
          <w:szCs w:val="20"/>
        </w:rPr>
        <w:t>median DOR in Cohort 2 had still not been reached after 33.1 months of median study follow up, as assessed by investigator</w:t>
      </w:r>
      <w:r>
        <w:rPr>
          <w:sz w:val="20"/>
          <w:szCs w:val="20"/>
        </w:rPr>
        <w:t>.</w:t>
      </w:r>
      <w:r>
        <w:rPr>
          <w:sz w:val="20"/>
          <w:szCs w:val="20"/>
        </w:rPr>
        <w:t xml:space="preserve"> The adverse event profile was generally consistent with the underlying advanced disease and the profile of the lymphodepletion and I</w:t>
      </w:r>
      <w:r>
        <w:rPr>
          <w:sz w:val="20"/>
          <w:szCs w:val="20"/>
        </w:rPr>
        <w:t>L-2 regimens.</w:t>
      </w:r>
      <w:r>
        <w:rPr>
          <w:sz w:val="20"/>
          <w:szCs w:val="20"/>
        </w:rPr>
        <w:t xml:space="preserve"> </w:t>
      </w:r>
    </w:p>
    <w:p w:rsidR="00000000" w:rsidRDefault="00F22B2C">
      <w:pPr>
        <w:pStyle w:val="a3"/>
        <w:spacing w:before="0" w:beforeAutospacing="0" w:after="240" w:afterAutospacing="0"/>
        <w:ind w:firstLine="540"/>
        <w:divId w:val="978531945"/>
        <w:rPr>
          <w:sz w:val="20"/>
          <w:szCs w:val="20"/>
        </w:rPr>
      </w:pPr>
      <w:r>
        <w:rPr>
          <w:sz w:val="20"/>
          <w:szCs w:val="20"/>
        </w:rPr>
        <w:t>Pivotal Cohort 4 of the C-144-01 trial was enrolled to evaluate ORR as read out by an Independent Review Committee, or IRC, as the primary endpoint based on our interpretation of discussions with the U.S. Food and Drug Administration, or the</w:t>
      </w:r>
      <w:r>
        <w:rPr>
          <w:sz w:val="20"/>
          <w:szCs w:val="20"/>
        </w:rPr>
        <w:t xml:space="preserve"> FDA, as part of an End of Phase 2, or EOP2, meeting held with the FDA in the third quarter of 2018. In October 2018, based on the data provided to the FDA during the EOP2 meeting, we announced that lifileucel had received a Regenerative Medicines Advanced</w:t>
      </w:r>
      <w:r>
        <w:rPr>
          <w:sz w:val="20"/>
          <w:szCs w:val="20"/>
        </w:rPr>
        <w:t xml:space="preserve"> Therapy, or RMAT, designation from the FDA. Enrollment in Cohort 4 of the C-144-01 trial commenced in March 2019 and patient dosing was completed in January 2020. A total of 87 patients were dosed with Gen 2 product released for Cohort 4. In May 2020, we </w:t>
      </w:r>
      <w:r>
        <w:rPr>
          <w:sz w:val="20"/>
          <w:szCs w:val="20"/>
        </w:rPr>
        <w:t>disclosed initial results from Cohort 4 for 68 patients with two radiological assessments, as determined by investigator.</w:t>
      </w:r>
    </w:p>
    <w:p w:rsidR="00000000" w:rsidRDefault="00F22B2C">
      <w:pPr>
        <w:pStyle w:val="a3"/>
        <w:spacing w:before="0" w:beforeAutospacing="0" w:after="240" w:afterAutospacing="0"/>
        <w:ind w:firstLine="540"/>
        <w:divId w:val="978531945"/>
        <w:rPr>
          <w:sz w:val="20"/>
          <w:szCs w:val="20"/>
        </w:rPr>
      </w:pPr>
      <w:r>
        <w:rPr>
          <w:sz w:val="20"/>
          <w:szCs w:val="20"/>
        </w:rPr>
        <w:t>Previously, we reported the submission of additional potency assay data to the FDA, and at the same time, we also announced that we ha</w:t>
      </w:r>
      <w:r>
        <w:rPr>
          <w:sz w:val="20"/>
          <w:szCs w:val="20"/>
        </w:rPr>
        <w:t>d reached agreement with the FDA on the minimum duration of follow up for Cohort 4 to support our BLA submission for lifileucel in the treatment of metastatic melanoma. In May 2021, we announced that we had received regulatory feedback from the FDA regardi</w:t>
      </w:r>
      <w:r>
        <w:rPr>
          <w:sz w:val="20"/>
          <w:szCs w:val="20"/>
        </w:rPr>
        <w:t xml:space="preserve">ng our potency assays for lifileucel. Following FDA feedback, we have continued our ongoing work developing and validating our potency assays and have engaged in discussions with the FDA during the second half of 2021. Our BLA submission for lifileucel in </w:t>
      </w:r>
      <w:r>
        <w:rPr>
          <w:sz w:val="20"/>
          <w:szCs w:val="20"/>
        </w:rPr>
        <w:t>metastatic melanoma is expected to occur during the first half of 2022. In connection with this BLA submission, the IRC is expected to independently assess responses for Cohort 4 patients through the data cut date, which must be completed prior to BLA subm</w:t>
      </w:r>
      <w:r>
        <w:rPr>
          <w:sz w:val="20"/>
          <w:szCs w:val="20"/>
        </w:rPr>
        <w:t>ission or disclosure of IRC-read data.</w:t>
      </w:r>
    </w:p>
    <w:p w:rsidR="00000000" w:rsidRDefault="00F22B2C">
      <w:pPr>
        <w:pStyle w:val="a3"/>
        <w:spacing w:before="480" w:beforeAutospacing="0" w:after="0" w:afterAutospacing="0"/>
        <w:jc w:val="center"/>
        <w:divId w:val="1706514591"/>
        <w:rPr>
          <w:sz w:val="20"/>
          <w:szCs w:val="20"/>
        </w:rPr>
      </w:pPr>
      <w:r>
        <w:rPr>
          <w:sz w:val="20"/>
          <w:szCs w:val="20"/>
        </w:rPr>
        <w:t>11</w:t>
      </w:r>
    </w:p>
    <w:p w:rsidR="00000000" w:rsidRDefault="00F22B2C">
      <w:pPr>
        <w:pStyle w:val="a3"/>
        <w:spacing w:before="0" w:beforeAutospacing="0" w:after="600" w:afterAutospacing="0"/>
        <w:divId w:val="2056153830"/>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407653441"/>
        <w:rPr>
          <w:sz w:val="20"/>
          <w:szCs w:val="20"/>
        </w:rPr>
      </w:pPr>
      <w:r>
        <w:rPr>
          <w:b/>
          <w:bCs/>
          <w:i/>
          <w:iCs/>
          <w:sz w:val="20"/>
          <w:szCs w:val="20"/>
        </w:rPr>
        <w:t>Lifileucel for Cervical Cancer</w:t>
      </w:r>
    </w:p>
    <w:p w:rsidR="00000000" w:rsidRDefault="00F22B2C">
      <w:pPr>
        <w:pStyle w:val="a3"/>
        <w:spacing w:before="0" w:beforeAutospacing="0" w:after="240" w:afterAutospacing="0"/>
        <w:ind w:firstLine="547"/>
        <w:divId w:val="407653441"/>
        <w:rPr>
          <w:sz w:val="20"/>
          <w:szCs w:val="20"/>
        </w:rPr>
      </w:pPr>
      <w:r>
        <w:rPr>
          <w:sz w:val="20"/>
          <w:szCs w:val="20"/>
        </w:rPr>
        <w:t xml:space="preserve">We are also developing lifileucel for the treatment of cervical cancer. </w:t>
      </w:r>
      <w:r>
        <w:rPr>
          <w:sz w:val="20"/>
          <w:szCs w:val="20"/>
          <w:shd w:val="clear" w:color="auto" w:fill="FFFFFF"/>
        </w:rPr>
        <w:t>Lifileucel for metastatic cervical cancer was formerly known as LN-</w:t>
      </w:r>
      <w:r>
        <w:rPr>
          <w:sz w:val="20"/>
          <w:szCs w:val="20"/>
          <w:shd w:val="clear" w:color="auto" w:fill="FFFFFF"/>
        </w:rPr>
        <w:t xml:space="preserve">145. </w:t>
      </w:r>
      <w:r>
        <w:rPr>
          <w:sz w:val="20"/>
          <w:szCs w:val="20"/>
        </w:rPr>
        <w:t>According to estimates from the SEER program, approximately 14,480 women were diagnosed with cervical cancer, and approximately 4,290 cervical cancer-related deaths occurred in the U.S.</w:t>
      </w:r>
    </w:p>
    <w:p w:rsidR="00000000" w:rsidRDefault="00F22B2C">
      <w:pPr>
        <w:pStyle w:val="a3"/>
        <w:spacing w:before="0" w:beforeAutospacing="0" w:after="240" w:afterAutospacing="0"/>
        <w:ind w:firstLine="547"/>
        <w:divId w:val="407653441"/>
        <w:rPr>
          <w:sz w:val="20"/>
          <w:szCs w:val="20"/>
        </w:rPr>
      </w:pPr>
      <w:r>
        <w:rPr>
          <w:sz w:val="20"/>
          <w:szCs w:val="20"/>
        </w:rPr>
        <w:t>C-145-04 is an ongoing Phase 2, multicenter pivotal trial that wi</w:t>
      </w:r>
      <w:r>
        <w:rPr>
          <w:sz w:val="20"/>
          <w:szCs w:val="20"/>
        </w:rPr>
        <w:t>ll assess the safety and efficacy of lifileucel for the treatment of patients with recurrent, metastatic or persistent cervical cancer. In February 2019, lifileucel received Fast Track designation from the FDA for development in the treatment of cervical c</w:t>
      </w:r>
      <w:r>
        <w:rPr>
          <w:sz w:val="20"/>
          <w:szCs w:val="20"/>
        </w:rPr>
        <w:t>ancer with disease progression on or after chemotherapy. In March 2019, the protocol for this trial was amended to modify the primary endpoint of ORR to be determined by IRC. In May 2019, lifileucel received BTD from the FDA for development in the treatmen</w:t>
      </w:r>
      <w:r>
        <w:rPr>
          <w:sz w:val="20"/>
          <w:szCs w:val="20"/>
        </w:rPr>
        <w:t>t of cervical cancer. Results from the C-145-04 clinical trial were reported at ASCO in June 2019. In 27 patients with metastatic cervical cancer, treatment with lifileucel resulted in an ORR of 44%. In the study there were 3 complete responses and 9 parti</w:t>
      </w:r>
      <w:r>
        <w:rPr>
          <w:sz w:val="20"/>
          <w:szCs w:val="20"/>
        </w:rPr>
        <w:t>al responses. The DCR was 85%. Patients were heavily pretreated and had a mean of 2.4 prior therapies. The median DOR had not been reached. The median follow-up was 7.4 months. The adverse event profile was generally consistent with the underlying advanced</w:t>
      </w:r>
      <w:r>
        <w:rPr>
          <w:sz w:val="20"/>
          <w:szCs w:val="20"/>
        </w:rPr>
        <w:t xml:space="preserve"> disease and the profile of the lymphodepletion and IL-2 regimens.</w:t>
      </w:r>
    </w:p>
    <w:p w:rsidR="00000000" w:rsidRDefault="00F22B2C">
      <w:pPr>
        <w:pStyle w:val="a3"/>
        <w:spacing w:before="0" w:beforeAutospacing="0" w:after="240" w:afterAutospacing="0"/>
        <w:ind w:firstLine="540"/>
        <w:divId w:val="407653441"/>
        <w:rPr>
          <w:sz w:val="20"/>
          <w:szCs w:val="20"/>
        </w:rPr>
      </w:pPr>
      <w:r>
        <w:rPr>
          <w:sz w:val="20"/>
          <w:szCs w:val="20"/>
        </w:rPr>
        <w:t>Based on an EOP2 meeting held with the FDA in June 2019, the FDA has acknowledged that results from the C-145-04 clinical trial may be sufficient to support registration of lifileucel in th</w:t>
      </w:r>
      <w:r>
        <w:rPr>
          <w:sz w:val="20"/>
          <w:szCs w:val="20"/>
        </w:rPr>
        <w:t>e treatment of patients with metastatic cervical cancer. In accordance with the FDA’s recommendations, the protocol was amended, to further define the patient population in Cohort 1 as outlined below. In November 2019, in order to evaluate lifileucel in ad</w:t>
      </w:r>
      <w:r>
        <w:rPr>
          <w:sz w:val="20"/>
          <w:szCs w:val="20"/>
        </w:rPr>
        <w:t>ditional lines of therapy in cervical cancer and to address the emerging treatment landscape, we amended the C-145-04 trial to collect additional data on combination therapy in early-line patients as well as TIL alone in late-line patients. These additiona</w:t>
      </w:r>
      <w:r>
        <w:rPr>
          <w:sz w:val="20"/>
          <w:szCs w:val="20"/>
        </w:rPr>
        <w:t>l cohorts also allowed access to TIL therapy when the pivotal Cohort 1 was completed. The C-145-04 trial currently consists of the following cohorts of cervical cancer patients with recurrent, persistent, or metastatic disease:</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407653441"/>
        </w:trPr>
        <w:tc>
          <w:tcPr>
            <w:tcW w:w="54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Cohort 1 has completed enrollment in patients who have progressed during or after systematic chemotherapy;</w:t>
            </w:r>
          </w:p>
        </w:tc>
      </w:tr>
    </w:tbl>
    <w:p w:rsidR="00000000" w:rsidRDefault="00F22B2C">
      <w:pPr>
        <w:divId w:val="4076534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407653441"/>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Cohort 2 has closed enrollment to patients for treatment with lifileucel who have progressed during or after treatment with anti-PD-1/anti-PD-L1</w:t>
            </w:r>
            <w:r>
              <w:rPr>
                <w:rFonts w:eastAsia="Times New Roman"/>
                <w:sz w:val="20"/>
                <w:szCs w:val="20"/>
              </w:rPr>
              <w:t xml:space="preserve"> checkpoint inhibitor in addition to systematic chemotherapy;</w:t>
            </w:r>
          </w:p>
        </w:tc>
      </w:tr>
    </w:tbl>
    <w:p w:rsidR="00000000" w:rsidRDefault="00F22B2C">
      <w:pPr>
        <w:divId w:val="4076534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407653441"/>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 xml:space="preserve">Cohort 3 is enrolling patients who have not received prior systemic therapy for recurrent, metastatic, or persistent disease, and will explore safety and efficacy of the combination of the </w:t>
            </w:r>
            <w:r>
              <w:rPr>
                <w:rFonts w:eastAsia="Times New Roman"/>
                <w:sz w:val="20"/>
                <w:szCs w:val="20"/>
              </w:rPr>
              <w:t>lifileucel regimen with pembrolizumab;</w:t>
            </w:r>
          </w:p>
        </w:tc>
      </w:tr>
    </w:tbl>
    <w:p w:rsidR="00000000" w:rsidRDefault="00F22B2C">
      <w:pPr>
        <w:divId w:val="4076534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407653441"/>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Cohort 4 includes patients who have been previously enrolled but do not fit Cohort 1-3, including patients dosed with product produced by our Gen 1 TIL manufacturing process; and</w:t>
            </w:r>
          </w:p>
        </w:tc>
      </w:tr>
    </w:tbl>
    <w:p w:rsidR="00000000" w:rsidRDefault="00F22B2C">
      <w:pPr>
        <w:divId w:val="4076534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407653441"/>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Cohort 5 is enrolling patien</w:t>
            </w:r>
            <w:r>
              <w:rPr>
                <w:rFonts w:eastAsia="Times New Roman"/>
                <w:sz w:val="20"/>
                <w:szCs w:val="20"/>
              </w:rPr>
              <w:t>ts for retreatment with LN-145 for patients who have progressed after initial treatment with lifileucel.</w:t>
            </w:r>
          </w:p>
        </w:tc>
      </w:tr>
    </w:tbl>
    <w:p w:rsidR="00000000" w:rsidRDefault="00F22B2C">
      <w:pPr>
        <w:pStyle w:val="a3"/>
        <w:spacing w:before="0" w:beforeAutospacing="0" w:after="240" w:afterAutospacing="0"/>
        <w:ind w:firstLine="547"/>
        <w:divId w:val="407653441"/>
        <w:rPr>
          <w:sz w:val="20"/>
          <w:szCs w:val="20"/>
        </w:rPr>
      </w:pPr>
      <w:r>
        <w:rPr>
          <w:sz w:val="20"/>
          <w:szCs w:val="20"/>
        </w:rPr>
        <w:t>Given the emerging treatment landscape in cervical cancer, including the approval of pembrolizumab in combination with chemotherapy as a first-line treatment, we are engaging with the FDA to discuss our planned BLA submission and intend to execute our stra</w:t>
      </w:r>
      <w:r>
        <w:rPr>
          <w:sz w:val="20"/>
          <w:szCs w:val="20"/>
        </w:rPr>
        <w:t>tegy based on feedback from the FDA for the BLA.</w:t>
      </w:r>
    </w:p>
    <w:p w:rsidR="00000000" w:rsidRDefault="00F22B2C">
      <w:pPr>
        <w:pStyle w:val="a3"/>
        <w:spacing w:before="0" w:beforeAutospacing="0" w:after="240" w:afterAutospacing="0"/>
        <w:divId w:val="407653441"/>
        <w:rPr>
          <w:sz w:val="20"/>
          <w:szCs w:val="20"/>
        </w:rPr>
      </w:pPr>
      <w:r>
        <w:rPr>
          <w:b/>
          <w:bCs/>
          <w:i/>
          <w:iCs/>
          <w:sz w:val="20"/>
          <w:szCs w:val="20"/>
        </w:rPr>
        <w:t>LN-145 for NSCLC</w:t>
      </w:r>
    </w:p>
    <w:p w:rsidR="00000000" w:rsidRDefault="00F22B2C">
      <w:pPr>
        <w:pStyle w:val="a3"/>
        <w:spacing w:before="0" w:beforeAutospacing="0" w:after="240" w:afterAutospacing="0"/>
        <w:ind w:firstLine="547"/>
        <w:divId w:val="407653441"/>
        <w:rPr>
          <w:sz w:val="20"/>
          <w:szCs w:val="20"/>
        </w:rPr>
      </w:pPr>
      <w:r>
        <w:rPr>
          <w:sz w:val="20"/>
          <w:szCs w:val="20"/>
        </w:rPr>
        <w:t xml:space="preserve">We are developing LN-145 alone and in combination with approved therapies to treat NSCLC. According to estimates from the SEER program, approximately 235,760 people were diagnosed with lung </w:t>
      </w:r>
      <w:r>
        <w:rPr>
          <w:sz w:val="20"/>
          <w:szCs w:val="20"/>
        </w:rPr>
        <w:t>and bronchus cancers, and approximately 131,880 deaths occurred related to these cancers in the U.S. in 2021.</w:t>
      </w:r>
    </w:p>
    <w:p w:rsidR="00000000" w:rsidRDefault="00F22B2C">
      <w:pPr>
        <w:pStyle w:val="a3"/>
        <w:spacing w:before="0" w:beforeAutospacing="0" w:after="240" w:afterAutospacing="0"/>
        <w:ind w:firstLine="540"/>
        <w:divId w:val="407653441"/>
        <w:rPr>
          <w:sz w:val="20"/>
          <w:szCs w:val="20"/>
        </w:rPr>
      </w:pPr>
      <w:r>
        <w:rPr>
          <w:sz w:val="20"/>
          <w:szCs w:val="20"/>
        </w:rPr>
        <w:t>In November 2020, we announced that we had finalized the protocol for our potential registrational clinical trial in NSCLC, IOV-LUN-202, to invest</w:t>
      </w:r>
      <w:r>
        <w:rPr>
          <w:sz w:val="20"/>
          <w:szCs w:val="20"/>
        </w:rPr>
        <w:t xml:space="preserve">igate LN-145 in patients with recurrent or metastatic NSCLC, without driver mutations, who previously received a single line of approved systemic therapy of combined checkpoint inhibitor and chemotherapy. The IOV-LUN-202 clinical trial, which continues to </w:t>
      </w:r>
      <w:r>
        <w:rPr>
          <w:sz w:val="20"/>
          <w:szCs w:val="20"/>
        </w:rPr>
        <w:t>enroll patients, includes three cohorts. Cohorts 1 and 3 of the IOV-LUN-202 clinical trial are enrolling patients who presented with a PD-L1 tumor proportion score, or TPS, of less than one percent at the time they started front-line therapy. Cohort 2 is e</w:t>
      </w:r>
      <w:r>
        <w:rPr>
          <w:sz w:val="20"/>
          <w:szCs w:val="20"/>
        </w:rPr>
        <w:t>nrolling patients with a PD-L1 TPS of greater than or equal to one percent at the time they started front-line therapy. In Cohort 3 we are exploring LN-145 manufactured from core biopsy using our Gen 3 manufacturing process. Patient dosing commenced in IOV</w:t>
      </w:r>
      <w:r>
        <w:rPr>
          <w:sz w:val="20"/>
          <w:szCs w:val="20"/>
        </w:rPr>
        <w:t>-LUN-202 in the second quarter of 2021 and we intend to continue to enroll patients in the IOV-LUN-202 clinical trial throughout 2022.</w:t>
      </w:r>
    </w:p>
    <w:p w:rsidR="00000000" w:rsidRDefault="00F22B2C">
      <w:pPr>
        <w:pStyle w:val="a3"/>
        <w:spacing w:before="480" w:beforeAutospacing="0" w:after="0" w:afterAutospacing="0"/>
        <w:jc w:val="center"/>
        <w:divId w:val="1792170139"/>
        <w:rPr>
          <w:sz w:val="20"/>
          <w:szCs w:val="20"/>
        </w:rPr>
      </w:pPr>
      <w:r>
        <w:rPr>
          <w:sz w:val="20"/>
          <w:szCs w:val="20"/>
        </w:rPr>
        <w:t>12</w:t>
      </w:r>
    </w:p>
    <w:p w:rsidR="00000000" w:rsidRDefault="00F22B2C">
      <w:pPr>
        <w:pStyle w:val="a3"/>
        <w:spacing w:before="0" w:beforeAutospacing="0" w:after="600" w:afterAutospacing="0"/>
        <w:divId w:val="675961671"/>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880048575"/>
        <w:rPr>
          <w:sz w:val="20"/>
          <w:szCs w:val="20"/>
        </w:rPr>
      </w:pPr>
      <w:r>
        <w:rPr>
          <w:b/>
          <w:bCs/>
          <w:i/>
          <w:iCs/>
          <w:sz w:val="20"/>
          <w:szCs w:val="20"/>
        </w:rPr>
        <w:t>LN-145 for Head and Neck Cancer</w:t>
      </w:r>
    </w:p>
    <w:p w:rsidR="00000000" w:rsidRDefault="00F22B2C">
      <w:pPr>
        <w:pStyle w:val="a3"/>
        <w:spacing w:before="0" w:beforeAutospacing="0" w:after="240" w:afterAutospacing="0"/>
        <w:ind w:firstLine="547"/>
        <w:divId w:val="880048575"/>
        <w:rPr>
          <w:sz w:val="20"/>
          <w:szCs w:val="20"/>
        </w:rPr>
      </w:pPr>
      <w:r>
        <w:rPr>
          <w:sz w:val="20"/>
          <w:szCs w:val="20"/>
        </w:rPr>
        <w:t xml:space="preserve">We are also developing LN-145 to treat head and neck cancer. According to estimates from the SEER program, approximately 66,630 people were diagnosed with head and neck-related cancers, which are referred to by the SEER program as oral cavity, pharynx and </w:t>
      </w:r>
      <w:r>
        <w:rPr>
          <w:sz w:val="20"/>
          <w:szCs w:val="20"/>
        </w:rPr>
        <w:t xml:space="preserve">larynx cancers, and approximately 14,620 head and neck-related cancer deaths occurred in the U.S. </w:t>
      </w:r>
    </w:p>
    <w:p w:rsidR="00000000" w:rsidRDefault="00F22B2C">
      <w:pPr>
        <w:pStyle w:val="a3"/>
        <w:spacing w:before="0" w:beforeAutospacing="0" w:after="240" w:afterAutospacing="0"/>
        <w:ind w:firstLine="547"/>
        <w:divId w:val="880048575"/>
        <w:rPr>
          <w:sz w:val="20"/>
          <w:szCs w:val="20"/>
        </w:rPr>
      </w:pPr>
      <w:r>
        <w:rPr>
          <w:sz w:val="20"/>
          <w:szCs w:val="20"/>
        </w:rPr>
        <w:t>In June 2017, we enrolled our first patient in our ongoing Phase 2 trial, C-145-03, for the treatment of patients with recurrent and/or metastatic squamous c</w:t>
      </w:r>
      <w:r>
        <w:rPr>
          <w:sz w:val="20"/>
          <w:szCs w:val="20"/>
        </w:rPr>
        <w:t>ell carcinoma of the head and neck, who have failed one prior therapy. In 2018, preliminary data for 13 patients who were administered a mix of Gen 1 and Gen 2 products, was released showing an ORR of 31%, with 4 partial responses, with the DOR ranging fro</w:t>
      </w:r>
      <w:r>
        <w:rPr>
          <w:sz w:val="20"/>
          <w:szCs w:val="20"/>
        </w:rPr>
        <w:t>m 2.8 to 7.6 months. Patients in the study had a median of three prior therapies. The safety findings from this study were also consistent with previous reports. The most common TEAEs observed at the time of that data cut included chills, hypotension, pyre</w:t>
      </w:r>
      <w:r>
        <w:rPr>
          <w:sz w:val="20"/>
          <w:szCs w:val="20"/>
        </w:rPr>
        <w:t>xia, hyponatremia, and anemia. As additional results are reported for the C-145-03 study, the safety profile of LN-145 may change. We changed the design of our C-145-03 trial in 2020 so that enrolled patients would also be treated using either LN-145 produ</w:t>
      </w:r>
      <w:r>
        <w:rPr>
          <w:sz w:val="20"/>
          <w:szCs w:val="20"/>
        </w:rPr>
        <w:t>ced from the Gen 3 manufacturing process or PD-1 selected TIL, known as LN-145-S1, from the PD-1 selected TIL manufacturing process in two separate cohorts. In January 2021, we announced that we are closing the C-145-03 clinical trial after the trial reach</w:t>
      </w:r>
      <w:r>
        <w:rPr>
          <w:sz w:val="20"/>
          <w:szCs w:val="20"/>
        </w:rPr>
        <w:t>ed its pre-specified enrollment target.</w:t>
      </w:r>
    </w:p>
    <w:p w:rsidR="00000000" w:rsidRDefault="00F22B2C">
      <w:pPr>
        <w:pStyle w:val="a3"/>
        <w:spacing w:before="0" w:beforeAutospacing="0" w:after="240" w:afterAutospacing="0"/>
        <w:divId w:val="880048575"/>
        <w:rPr>
          <w:sz w:val="20"/>
          <w:szCs w:val="20"/>
        </w:rPr>
      </w:pPr>
      <w:r>
        <w:rPr>
          <w:b/>
          <w:bCs/>
          <w:i/>
          <w:iCs/>
          <w:sz w:val="20"/>
          <w:szCs w:val="20"/>
        </w:rPr>
        <w:t>Lifileucel and LN-145 in Combination with Pembrolizumab and Other Immunotherapies</w:t>
      </w:r>
    </w:p>
    <w:p w:rsidR="00000000" w:rsidRDefault="00F22B2C">
      <w:pPr>
        <w:pStyle w:val="a3"/>
        <w:spacing w:before="0" w:beforeAutospacing="0" w:after="240" w:afterAutospacing="0"/>
        <w:ind w:firstLine="540"/>
        <w:divId w:val="880048575"/>
        <w:rPr>
          <w:sz w:val="20"/>
          <w:szCs w:val="20"/>
        </w:rPr>
      </w:pPr>
      <w:r>
        <w:rPr>
          <w:sz w:val="20"/>
          <w:szCs w:val="20"/>
        </w:rPr>
        <w:t>In addition to the trials for lifileucel and LN-145 mentioned above, we are developing these products alone or in combination with pem</w:t>
      </w:r>
      <w:r>
        <w:rPr>
          <w:sz w:val="20"/>
          <w:szCs w:val="20"/>
        </w:rPr>
        <w:t>brolizumab or other ICIs</w:t>
      </w:r>
      <w:r>
        <w:rPr>
          <w:b/>
          <w:bCs/>
          <w:sz w:val="20"/>
          <w:szCs w:val="20"/>
        </w:rPr>
        <w:t xml:space="preserve"> </w:t>
      </w:r>
      <w:r>
        <w:rPr>
          <w:sz w:val="20"/>
          <w:szCs w:val="20"/>
        </w:rPr>
        <w:t>for melanoma, head and neck and NSCLC in our clinical trial IOV-COM-202, a Phase 2, multicenter trial that is composed of seven cohorts. In May 2019, we reported that the first patient was dosed in the IOV-COM-202 trial. In additio</w:t>
      </w:r>
      <w:r>
        <w:rPr>
          <w:sz w:val="20"/>
          <w:szCs w:val="20"/>
        </w:rPr>
        <w:t>n to the U.S., the IOV-COM-202 trial has active sites in Canada and in certain European countries. The IOV-COM-202 trial now consists of the following cohorts of patients:</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80048575"/>
        </w:trPr>
        <w:tc>
          <w:tcPr>
            <w:tcW w:w="54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Cohort 1A: patients with advanced unresectable or metastatic melanoma who have no</w:t>
            </w:r>
            <w:r>
              <w:rPr>
                <w:rFonts w:eastAsia="Times New Roman"/>
                <w:sz w:val="20"/>
                <w:szCs w:val="20"/>
              </w:rPr>
              <w:t>t received prior immunotherapy, including checkpoint inhibitors such as anti-PD-1/anti-PD-L1 therapy, for treatment with lifileucel in combination with pembrolizumab;</w:t>
            </w:r>
          </w:p>
        </w:tc>
      </w:tr>
    </w:tbl>
    <w:p w:rsidR="00000000" w:rsidRDefault="00F22B2C">
      <w:pPr>
        <w:divId w:val="8800485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80048575"/>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w:t>
            </w:r>
            <w:r>
              <w:rPr>
                <w:rFonts w:eastAsia="Times New Roman"/>
                <w:sz w:val="20"/>
                <w:szCs w:val="20"/>
              </w:rPr>
              <w:t>ohort 1B: melanoma patients who have progressed during or after treatment with anti-PD-1/anti-PD-L1 checkpoint inhibitor and if BRAF mutant, after BRAF or BRAF/MEK inhibitor therapy for treatment with LN-145-S1;</w:t>
            </w:r>
          </w:p>
        </w:tc>
      </w:tr>
    </w:tbl>
    <w:p w:rsidR="00000000" w:rsidRDefault="00F22B2C">
      <w:pPr>
        <w:divId w:val="8800485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80048575"/>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Cohort 1C: melanoma patients who have p</w:t>
            </w:r>
            <w:r>
              <w:rPr>
                <w:rFonts w:eastAsia="Times New Roman"/>
                <w:sz w:val="20"/>
                <w:szCs w:val="20"/>
              </w:rPr>
              <w:t>rogressed during or after treatment with anti-PD-1/anti-PD-L1 checkpoint inhibitor and if BRAF mutant, after BRAF or BRAF/MEK inhibitor therapy, for treatment with LN-145 manufactured using our Gen 3 process;</w:t>
            </w:r>
          </w:p>
        </w:tc>
      </w:tr>
    </w:tbl>
    <w:p w:rsidR="00000000" w:rsidRDefault="00F22B2C">
      <w:pPr>
        <w:divId w:val="8800485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80048575"/>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Cohort 2A: patients with advanced, recurre</w:t>
            </w:r>
            <w:r>
              <w:rPr>
                <w:rFonts w:eastAsia="Times New Roman"/>
                <w:sz w:val="20"/>
                <w:szCs w:val="20"/>
              </w:rPr>
              <w:t>nt, or metastatic HNSCC who are naïve to prior immunotherapy including anti-PD-1/anti-PD-L1 therapy, for treatment with LN-145 in combination with pembrolizumab;</w:t>
            </w:r>
          </w:p>
        </w:tc>
      </w:tr>
    </w:tbl>
    <w:p w:rsidR="00000000" w:rsidRDefault="00F22B2C">
      <w:pPr>
        <w:divId w:val="8800485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80048575"/>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Cohort 3A: patients with NSCLC who are naïve to prior immunotherapy including anti-PD-1/a</w:t>
            </w:r>
            <w:r>
              <w:rPr>
                <w:rFonts w:eastAsia="Times New Roman"/>
                <w:sz w:val="20"/>
                <w:szCs w:val="20"/>
              </w:rPr>
              <w:t>nti-PD-L1 therapy, for treatment with LN-145 in combination with pembrolizumab;</w:t>
            </w:r>
          </w:p>
        </w:tc>
      </w:tr>
    </w:tbl>
    <w:p w:rsidR="00000000" w:rsidRDefault="00F22B2C">
      <w:pPr>
        <w:divId w:val="8800485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80048575"/>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Cohort 3B: patients with NSCLC who have previously received systemic therapy, which could include checkpoint inhibitors or tyrosine kinase inhibitors, for treatment with L</w:t>
            </w:r>
            <w:r>
              <w:rPr>
                <w:rFonts w:eastAsia="Times New Roman"/>
                <w:sz w:val="20"/>
                <w:szCs w:val="20"/>
              </w:rPr>
              <w:t>N-145 alone; and</w:t>
            </w:r>
          </w:p>
        </w:tc>
      </w:tr>
    </w:tbl>
    <w:p w:rsidR="00000000" w:rsidRDefault="00F22B2C">
      <w:pPr>
        <w:divId w:val="8800485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80048575"/>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w:t>
            </w:r>
            <w:r>
              <w:rPr>
                <w:rFonts w:eastAsia="Times New Roman"/>
                <w:sz w:val="20"/>
                <w:szCs w:val="20"/>
              </w:rPr>
              <w:t>ohort 3C: patients with NSCLC who have progressed after one prior systemic therapy for treatment with LN-145 in combination with ipilimumab/nivolumab.</w:t>
            </w:r>
          </w:p>
        </w:tc>
      </w:tr>
    </w:tbl>
    <w:p w:rsidR="00000000" w:rsidRDefault="00F22B2C">
      <w:pPr>
        <w:pStyle w:val="a3"/>
        <w:spacing w:before="0" w:beforeAutospacing="0" w:after="240" w:afterAutospacing="0"/>
        <w:divId w:val="880048575"/>
        <w:rPr>
          <w:sz w:val="20"/>
          <w:szCs w:val="20"/>
        </w:rPr>
      </w:pPr>
      <w:r>
        <w:rPr>
          <w:b/>
          <w:bCs/>
          <w:i/>
          <w:iCs/>
          <w:sz w:val="20"/>
          <w:szCs w:val="20"/>
        </w:rPr>
        <w:t xml:space="preserve">IOV-2001 PBL for CLL or SLL </w:t>
      </w:r>
    </w:p>
    <w:p w:rsidR="00000000" w:rsidRDefault="00F22B2C">
      <w:pPr>
        <w:pStyle w:val="a3"/>
        <w:spacing w:before="0" w:beforeAutospacing="0" w:after="240" w:afterAutospacing="0"/>
        <w:ind w:firstLine="540"/>
        <w:divId w:val="880048575"/>
        <w:rPr>
          <w:sz w:val="20"/>
          <w:szCs w:val="20"/>
        </w:rPr>
      </w:pPr>
      <w:r>
        <w:rPr>
          <w:sz w:val="20"/>
          <w:szCs w:val="20"/>
        </w:rPr>
        <w:t>In November 2019, we announced that our IND for IOV-2001 was approved by th</w:t>
      </w:r>
      <w:r>
        <w:rPr>
          <w:sz w:val="20"/>
          <w:szCs w:val="20"/>
        </w:rPr>
        <w:t>e FDA and that our sponsored clinical trial using this therapy, IOV-CLL-01, was cleared to proceed. IOV-2001 is a non-genetically modified, polyclonal T cell product that is manufactured using a nine-day process from 50 mL of a patient's blood sample. IOV-</w:t>
      </w:r>
      <w:r>
        <w:rPr>
          <w:sz w:val="20"/>
          <w:szCs w:val="20"/>
        </w:rPr>
        <w:t xml:space="preserve">2001 is under investigation in a Phase 1/2 clinical trial for the treatment of CLL or SLL. Patients experiencing disease relapse during ibrutinib or acalabrutinib therapy treatment are eligible for this clinical trial. Preclinical studies of IOV-2001 have </w:t>
      </w:r>
      <w:r>
        <w:rPr>
          <w:sz w:val="20"/>
          <w:szCs w:val="20"/>
        </w:rPr>
        <w:t xml:space="preserve">shown activity against autologous leukemia cancer cells, while treatment with ibrutinib and acalabrutinib has been demonstrated to improve the proliferation and effector functions of the IOV-2001 manufactured product. </w:t>
      </w:r>
    </w:p>
    <w:p w:rsidR="00000000" w:rsidRDefault="00F22B2C">
      <w:pPr>
        <w:pStyle w:val="a3"/>
        <w:spacing w:before="480" w:beforeAutospacing="0" w:after="0" w:afterAutospacing="0"/>
        <w:jc w:val="center"/>
        <w:divId w:val="1033186090"/>
        <w:rPr>
          <w:sz w:val="20"/>
          <w:szCs w:val="20"/>
        </w:rPr>
      </w:pPr>
      <w:r>
        <w:rPr>
          <w:sz w:val="20"/>
          <w:szCs w:val="20"/>
        </w:rPr>
        <w:t>13</w:t>
      </w:r>
    </w:p>
    <w:p w:rsidR="00000000" w:rsidRDefault="00F22B2C">
      <w:pPr>
        <w:pStyle w:val="a3"/>
        <w:spacing w:before="0" w:beforeAutospacing="0" w:after="600" w:afterAutospacing="0"/>
        <w:divId w:val="420562991"/>
        <w:rPr>
          <w:sz w:val="20"/>
          <w:szCs w:val="20"/>
        </w:rPr>
      </w:pPr>
      <w:hyperlink w:anchor="TOC" w:history="1">
        <w:r>
          <w:rPr>
            <w:rStyle w:val="a4"/>
            <w:sz w:val="20"/>
            <w:szCs w:val="20"/>
          </w:rPr>
          <w:t>Table of</w:t>
        </w:r>
        <w:r>
          <w:rPr>
            <w:rStyle w:val="a4"/>
            <w:sz w:val="20"/>
            <w:szCs w:val="20"/>
          </w:rPr>
          <w:t xml:space="preserve"> Contents</w:t>
        </w:r>
      </w:hyperlink>
    </w:p>
    <w:p w:rsidR="00000000" w:rsidRDefault="00F22B2C">
      <w:pPr>
        <w:pStyle w:val="a3"/>
        <w:spacing w:before="0" w:beforeAutospacing="0" w:after="240" w:afterAutospacing="0"/>
        <w:divId w:val="1379014970"/>
        <w:rPr>
          <w:sz w:val="20"/>
          <w:szCs w:val="20"/>
        </w:rPr>
      </w:pPr>
      <w:r>
        <w:rPr>
          <w:b/>
          <w:bCs/>
          <w:sz w:val="20"/>
          <w:szCs w:val="20"/>
        </w:rPr>
        <w:t>Investigator-Sponsored Clinical Trials</w:t>
      </w:r>
    </w:p>
    <w:p w:rsidR="00000000" w:rsidRDefault="00F22B2C">
      <w:pPr>
        <w:pStyle w:val="a3"/>
        <w:spacing w:before="0" w:beforeAutospacing="0" w:after="240" w:afterAutospacing="0"/>
        <w:divId w:val="1379014970"/>
        <w:rPr>
          <w:sz w:val="20"/>
          <w:szCs w:val="20"/>
        </w:rPr>
      </w:pPr>
      <w:r>
        <w:rPr>
          <w:b/>
          <w:bCs/>
          <w:i/>
          <w:iCs/>
          <w:sz w:val="20"/>
          <w:szCs w:val="20"/>
        </w:rPr>
        <w:t xml:space="preserve">TIL Therapy in Other Solid Tumor Indications </w:t>
      </w:r>
    </w:p>
    <w:p w:rsidR="00000000" w:rsidRDefault="00F22B2C">
      <w:pPr>
        <w:pStyle w:val="a3"/>
        <w:spacing w:before="0" w:beforeAutospacing="0" w:after="240" w:afterAutospacing="0"/>
        <w:ind w:firstLine="547"/>
        <w:divId w:val="1379014970"/>
        <w:rPr>
          <w:sz w:val="20"/>
          <w:szCs w:val="20"/>
        </w:rPr>
      </w:pPr>
      <w:r>
        <w:rPr>
          <w:sz w:val="20"/>
          <w:szCs w:val="20"/>
        </w:rPr>
        <w:t>We are collaborating with MDACC on a clinical trial to evaluate TIL therapy in sarcomas, ovarian, and thyroid cancers. These trials, including NCT03449108, began</w:t>
      </w:r>
      <w:r>
        <w:rPr>
          <w:sz w:val="20"/>
          <w:szCs w:val="20"/>
        </w:rPr>
        <w:t xml:space="preserve"> enrolling patients in 2018. Patients in these trials are being treated with LN-145 or LN-145-S1 manufactured by us.</w:t>
      </w:r>
    </w:p>
    <w:p w:rsidR="00000000" w:rsidRDefault="00F22B2C">
      <w:pPr>
        <w:pStyle w:val="a3"/>
        <w:spacing w:before="0" w:beforeAutospacing="0" w:after="240" w:afterAutospacing="0"/>
        <w:ind w:firstLine="547"/>
        <w:divId w:val="1379014970"/>
        <w:rPr>
          <w:sz w:val="20"/>
          <w:szCs w:val="20"/>
        </w:rPr>
      </w:pPr>
      <w:r>
        <w:rPr>
          <w:sz w:val="20"/>
          <w:szCs w:val="20"/>
        </w:rPr>
        <w:t>We are also collaborating with Yale University on a clinical trial to evaluate TIL therapy in triple-negative breast cancer, or TNBC, NCT04</w:t>
      </w:r>
      <w:r>
        <w:rPr>
          <w:sz w:val="20"/>
          <w:szCs w:val="20"/>
        </w:rPr>
        <w:t>111510, which opened for enrollment in 2020. Patients in this trial will be treated with LN-145 manufactured by us. We are also collaborating with Moffitt on a clinical trial, NCT04052334, to explore MCC TIL in adolescent and young adult patients with soft</w:t>
      </w:r>
      <w:r>
        <w:rPr>
          <w:sz w:val="20"/>
          <w:szCs w:val="20"/>
        </w:rPr>
        <w:t xml:space="preserve"> tissue sarcoma.</w:t>
      </w:r>
    </w:p>
    <w:p w:rsidR="00000000" w:rsidRDefault="00F22B2C">
      <w:pPr>
        <w:pStyle w:val="a3"/>
        <w:spacing w:before="0" w:beforeAutospacing="0" w:after="240" w:afterAutospacing="0"/>
        <w:divId w:val="1379014970"/>
        <w:rPr>
          <w:sz w:val="20"/>
          <w:szCs w:val="20"/>
        </w:rPr>
      </w:pPr>
      <w:r>
        <w:rPr>
          <w:b/>
          <w:bCs/>
          <w:i/>
          <w:iCs/>
          <w:sz w:val="20"/>
          <w:szCs w:val="20"/>
        </w:rPr>
        <w:t>TIL Therapy in Combination with Other Immunotherapy Drugs and/or in Earlier Lines of Therapy</w:t>
      </w:r>
    </w:p>
    <w:p w:rsidR="00000000" w:rsidRDefault="00F22B2C">
      <w:pPr>
        <w:pStyle w:val="a3"/>
        <w:spacing w:before="0" w:beforeAutospacing="0" w:after="240" w:afterAutospacing="0"/>
        <w:ind w:firstLine="547"/>
        <w:divId w:val="1379014970"/>
        <w:rPr>
          <w:sz w:val="20"/>
          <w:szCs w:val="20"/>
        </w:rPr>
      </w:pPr>
      <w:r>
        <w:rPr>
          <w:sz w:val="20"/>
          <w:szCs w:val="20"/>
        </w:rPr>
        <w:t>We provide funding for a clinical trial, NCT03215810, conducted by Moffitt, which seeks to evaluate TIL therapy in combination with the checkpoint</w:t>
      </w:r>
      <w:r>
        <w:rPr>
          <w:sz w:val="20"/>
          <w:szCs w:val="20"/>
        </w:rPr>
        <w:t xml:space="preserve"> inhibitor nivolumab in NSCLC. This study is closed to enrollment. An additional clinical trial, NCT02652455, is being conducted by Moffitt to evaluate TIL therapy in combination with nivolumab in metastatic melanoma. We have also previously collaborated w</w:t>
      </w:r>
      <w:r>
        <w:rPr>
          <w:sz w:val="20"/>
          <w:szCs w:val="20"/>
        </w:rPr>
        <w:t xml:space="preserve">ith Moffitt on a clinical trial, NCT01701674, to evaluate TIL therapy in combination with the CTLA-4 checkpoint inhibitor ipilimumab. </w:t>
      </w:r>
    </w:p>
    <w:p w:rsidR="00000000" w:rsidRDefault="00F22B2C">
      <w:pPr>
        <w:pStyle w:val="a3"/>
        <w:spacing w:before="0" w:beforeAutospacing="0" w:after="240" w:afterAutospacing="0"/>
        <w:ind w:firstLine="547"/>
        <w:divId w:val="1379014970"/>
        <w:rPr>
          <w:sz w:val="20"/>
          <w:szCs w:val="20"/>
        </w:rPr>
      </w:pPr>
      <w:r>
        <w:rPr>
          <w:sz w:val="20"/>
          <w:szCs w:val="20"/>
        </w:rPr>
        <w:t>In 2019, we entered into a collaboration with Moffitt to fund a Phase 1 trial of lymphodepletion plus TIL therapy with hi</w:t>
      </w:r>
      <w:r>
        <w:rPr>
          <w:sz w:val="20"/>
          <w:szCs w:val="20"/>
        </w:rPr>
        <w:t>gh-dose IL-2 in adolescent and young adult patients with soft tissue sarcoma in clinical trial NCT04052334.</w:t>
      </w:r>
    </w:p>
    <w:p w:rsidR="00000000" w:rsidRDefault="00F22B2C">
      <w:pPr>
        <w:pStyle w:val="a3"/>
        <w:spacing w:before="0" w:beforeAutospacing="0" w:after="240" w:afterAutospacing="0"/>
        <w:ind w:firstLine="547"/>
        <w:divId w:val="1379014970"/>
        <w:rPr>
          <w:sz w:val="20"/>
          <w:szCs w:val="20"/>
        </w:rPr>
      </w:pPr>
      <w:r>
        <w:rPr>
          <w:sz w:val="20"/>
          <w:szCs w:val="20"/>
        </w:rPr>
        <w:t>Under our CRADA, we are collaborating with the NCI on a clinical trial, NCT02621021, to evaluate TIL therapy in combination with the checkpoint inhi</w:t>
      </w:r>
      <w:r>
        <w:rPr>
          <w:sz w:val="20"/>
          <w:szCs w:val="20"/>
        </w:rPr>
        <w:t xml:space="preserve">bitor pembrolizumab in a 170-patient clinical trial in patients with advanced melanoma. </w:t>
      </w:r>
    </w:p>
    <w:p w:rsidR="00000000" w:rsidRDefault="00F22B2C">
      <w:pPr>
        <w:pStyle w:val="a3"/>
        <w:spacing w:before="0" w:beforeAutospacing="0" w:after="240" w:afterAutospacing="0"/>
        <w:ind w:firstLine="547"/>
        <w:divId w:val="1379014970"/>
        <w:rPr>
          <w:sz w:val="20"/>
          <w:szCs w:val="20"/>
        </w:rPr>
      </w:pPr>
      <w:r>
        <w:rPr>
          <w:sz w:val="20"/>
          <w:szCs w:val="20"/>
        </w:rPr>
        <w:t>We are collaborating with The Ohio State University to evaluate TIL therapy in high-risk melanoma in the neoadjuvant setting. This trial, NCT05176470, is expected to b</w:t>
      </w:r>
      <w:r>
        <w:rPr>
          <w:sz w:val="20"/>
          <w:szCs w:val="20"/>
        </w:rPr>
        <w:t>egin recruiting patients in 2022 who are diagnosed with stage IIIB-D melanoma that has spread to nearby tissue or lymph nodes (locally advanced). Patients in this trial will be treated with lifileucel manufactured by Iovance. The purpose of the study is to</w:t>
      </w:r>
      <w:r>
        <w:rPr>
          <w:sz w:val="20"/>
          <w:szCs w:val="20"/>
        </w:rPr>
        <w:t xml:space="preserve"> assess the feasibility of TIL expansion from all screened eligible patients who have had tumor-involved lymph nodes removed.</w:t>
      </w:r>
    </w:p>
    <w:p w:rsidR="00000000" w:rsidRDefault="00F22B2C">
      <w:pPr>
        <w:pStyle w:val="a3"/>
        <w:spacing w:before="0" w:beforeAutospacing="0" w:after="240" w:afterAutospacing="0"/>
        <w:divId w:val="1379014970"/>
        <w:rPr>
          <w:sz w:val="20"/>
          <w:szCs w:val="20"/>
        </w:rPr>
      </w:pPr>
      <w:r>
        <w:rPr>
          <w:b/>
          <w:bCs/>
          <w:sz w:val="20"/>
          <w:szCs w:val="20"/>
        </w:rPr>
        <w:t>TIL Therapy Background</w:t>
      </w:r>
    </w:p>
    <w:p w:rsidR="00000000" w:rsidRDefault="00F22B2C">
      <w:pPr>
        <w:pStyle w:val="a3"/>
        <w:spacing w:before="0" w:beforeAutospacing="0" w:after="240" w:afterAutospacing="0"/>
        <w:divId w:val="1379014970"/>
        <w:rPr>
          <w:sz w:val="20"/>
          <w:szCs w:val="20"/>
        </w:rPr>
      </w:pPr>
      <w:r>
        <w:rPr>
          <w:b/>
          <w:bCs/>
          <w:i/>
          <w:iCs/>
          <w:sz w:val="20"/>
          <w:szCs w:val="20"/>
        </w:rPr>
        <w:t>Immune System</w:t>
      </w:r>
    </w:p>
    <w:p w:rsidR="00000000" w:rsidRDefault="00F22B2C">
      <w:pPr>
        <w:pStyle w:val="a3"/>
        <w:spacing w:before="0" w:beforeAutospacing="0" w:after="240" w:afterAutospacing="0"/>
        <w:ind w:firstLine="547"/>
        <w:divId w:val="1379014970"/>
        <w:rPr>
          <w:sz w:val="20"/>
          <w:szCs w:val="20"/>
        </w:rPr>
      </w:pPr>
      <w:r>
        <w:rPr>
          <w:sz w:val="20"/>
          <w:szCs w:val="20"/>
        </w:rPr>
        <w:t>The immune system recognizes danger signals and responds to threats at a cellular level. The most significant components of the cellular aspect of the adaptive immune response are T cells, or T lymphocytes, so called because they mature in the thymus and a</w:t>
      </w:r>
      <w:r>
        <w:rPr>
          <w:sz w:val="20"/>
          <w:szCs w:val="20"/>
        </w:rPr>
        <w:t>re distinguished from B cells which mature in the bone marrow. T cells can be distinguished from other white blood cells by T cell receptors present on their cell surface. These receptors contribute to tumor surveillance by helping T cells recognize infect</w:t>
      </w:r>
      <w:r>
        <w:rPr>
          <w:sz w:val="20"/>
          <w:szCs w:val="20"/>
        </w:rPr>
        <w:t>ed cells as well as cancerous cells. T cells are involved in both sensing and killing infected or cancerous cells, as well as coordinating the activation of other cells in an immune response.</w:t>
      </w:r>
    </w:p>
    <w:p w:rsidR="00000000" w:rsidRDefault="00F22B2C">
      <w:pPr>
        <w:pStyle w:val="a3"/>
        <w:spacing w:before="0" w:beforeAutospacing="0" w:after="240" w:afterAutospacing="0"/>
        <w:divId w:val="1379014970"/>
        <w:rPr>
          <w:sz w:val="20"/>
          <w:szCs w:val="20"/>
        </w:rPr>
      </w:pPr>
      <w:r>
        <w:rPr>
          <w:b/>
          <w:bCs/>
          <w:i/>
          <w:iCs/>
          <w:sz w:val="20"/>
          <w:szCs w:val="20"/>
        </w:rPr>
        <w:t>Cancer Immunotherapy</w:t>
      </w:r>
    </w:p>
    <w:p w:rsidR="00000000" w:rsidRDefault="00F22B2C">
      <w:pPr>
        <w:pStyle w:val="a3"/>
        <w:spacing w:before="0" w:beforeAutospacing="0" w:after="240" w:afterAutospacing="0"/>
        <w:ind w:firstLine="547"/>
        <w:divId w:val="1379014970"/>
        <w:rPr>
          <w:sz w:val="20"/>
          <w:szCs w:val="20"/>
        </w:rPr>
      </w:pPr>
      <w:r>
        <w:rPr>
          <w:sz w:val="20"/>
          <w:szCs w:val="20"/>
        </w:rPr>
        <w:t>Despite the progress that has been made ove</w:t>
      </w:r>
      <w:r>
        <w:rPr>
          <w:sz w:val="20"/>
          <w:szCs w:val="20"/>
        </w:rPr>
        <w:t>r the past several decades, effective treatment of cancer, especially solid tumors, continues to be challenging. Some reasons solid tumors are so difficult to treat are: (i) in many solid tumors, there are multiple genomic mutations, as well as intratumora</w:t>
      </w:r>
      <w:r>
        <w:rPr>
          <w:sz w:val="20"/>
          <w:szCs w:val="20"/>
        </w:rPr>
        <w:t>l heterogeneity, (ii) there are numerous tumor neoantigens, with &lt;1% of them being shared across patients with the same tumor histology and it is not always clear which particular mutations are critical, and (iii) solid tumors can adapt and find a way to e</w:t>
      </w:r>
      <w:r>
        <w:rPr>
          <w:sz w:val="20"/>
          <w:szCs w:val="20"/>
        </w:rPr>
        <w:t>vade treatments that target a single mutation. In addition, the tumor itself and the tumor microenvironment can suppress the patient’s natural immune response. When T cells with cancer-specific receptors are absent, present in low numbers, of poor quality,</w:t>
      </w:r>
      <w:r>
        <w:rPr>
          <w:sz w:val="20"/>
          <w:szCs w:val="20"/>
        </w:rPr>
        <w:t xml:space="preserve"> or rendered inactive by suppressive mechanisms employed by tumor tissue, the cancer can grow and spread to various organs. In addition, standard of care treatments for cancer can be deleterious to T cells’ ability to kill cancer.</w:t>
      </w:r>
    </w:p>
    <w:p w:rsidR="00000000" w:rsidRDefault="00F22B2C">
      <w:pPr>
        <w:pStyle w:val="a3"/>
        <w:spacing w:before="480" w:beforeAutospacing="0" w:after="0" w:afterAutospacing="0"/>
        <w:jc w:val="center"/>
        <w:divId w:val="1353144502"/>
        <w:rPr>
          <w:sz w:val="20"/>
          <w:szCs w:val="20"/>
        </w:rPr>
      </w:pPr>
      <w:r>
        <w:rPr>
          <w:sz w:val="20"/>
          <w:szCs w:val="20"/>
        </w:rPr>
        <w:t>14</w:t>
      </w:r>
    </w:p>
    <w:p w:rsidR="00000000" w:rsidRDefault="00F22B2C">
      <w:pPr>
        <w:pStyle w:val="a3"/>
        <w:spacing w:before="0" w:beforeAutospacing="0" w:after="600" w:afterAutospacing="0"/>
        <w:divId w:val="197788449"/>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ind w:firstLine="547"/>
        <w:divId w:val="839662883"/>
        <w:rPr>
          <w:sz w:val="20"/>
          <w:szCs w:val="20"/>
        </w:rPr>
      </w:pPr>
      <w:r>
        <w:rPr>
          <w:sz w:val="20"/>
          <w:szCs w:val="20"/>
        </w:rPr>
        <w:t>We believe that adoptive cell therapy, specifically with the use of human polyclonal TIL cells as therapeutic entities to reengage the immune system, may be a significant advancement in the treatment of cancer. These one-time cellular</w:t>
      </w:r>
      <w:r>
        <w:rPr>
          <w:sz w:val="20"/>
          <w:szCs w:val="20"/>
        </w:rPr>
        <w:t xml:space="preserve"> therapies may avoid the long-term side effects associated with current treatments and have the potential to be effective. TIL therapy has the potential to treat solid tumors by increasing the effectiveness and number of a patient’s cancer-specific T cells</w:t>
      </w:r>
      <w:r>
        <w:rPr>
          <w:sz w:val="20"/>
          <w:szCs w:val="20"/>
        </w:rPr>
        <w:t>. TIL therapy is polyclonal, and we believe that it is capable of targeting multiple tumor antigens on cancer cells. Furthermore, the non-myeloablative, or NMA, lymphodepleting chemotherapy administered prior to TIL infusion is capable of suppressing the h</w:t>
      </w:r>
      <w:r>
        <w:rPr>
          <w:sz w:val="20"/>
          <w:szCs w:val="20"/>
        </w:rPr>
        <w:t>ostile tumor microenvironment, which we believe will enhance the efficacy of TIL therapy.</w:t>
      </w:r>
    </w:p>
    <w:p w:rsidR="00000000" w:rsidRDefault="00F22B2C">
      <w:pPr>
        <w:pStyle w:val="a3"/>
        <w:spacing w:before="0" w:beforeAutospacing="0" w:after="240" w:afterAutospacing="0"/>
        <w:divId w:val="839662883"/>
        <w:rPr>
          <w:sz w:val="20"/>
          <w:szCs w:val="20"/>
        </w:rPr>
      </w:pPr>
      <w:r>
        <w:rPr>
          <w:b/>
          <w:bCs/>
          <w:i/>
          <w:iCs/>
          <w:sz w:val="20"/>
          <w:szCs w:val="20"/>
        </w:rPr>
        <w:t>Tumor-Infiltrating Lymphocytes</w:t>
      </w:r>
    </w:p>
    <w:p w:rsidR="00000000" w:rsidRDefault="00F22B2C">
      <w:pPr>
        <w:pStyle w:val="a3"/>
        <w:spacing w:before="0" w:beforeAutospacing="0" w:after="240" w:afterAutospacing="0"/>
        <w:ind w:firstLine="547"/>
        <w:divId w:val="839662883"/>
        <w:rPr>
          <w:sz w:val="20"/>
          <w:szCs w:val="20"/>
        </w:rPr>
      </w:pPr>
      <w:r>
        <w:rPr>
          <w:sz w:val="20"/>
          <w:szCs w:val="20"/>
        </w:rPr>
        <w:t>Our Gen 2 TIL therapy involves the following steps:</w:t>
      </w:r>
    </w:p>
    <w:tbl>
      <w:tblPr>
        <w:tblW w:w="5000" w:type="pct"/>
        <w:tblCellMar>
          <w:top w:w="15" w:type="dxa"/>
          <w:left w:w="15" w:type="dxa"/>
          <w:bottom w:w="15" w:type="dxa"/>
          <w:right w:w="15" w:type="dxa"/>
        </w:tblCellMar>
        <w:tblLook w:val="04A0" w:firstRow="1" w:lastRow="0" w:firstColumn="1" w:lastColumn="0" w:noHBand="0" w:noVBand="1"/>
      </w:tblPr>
      <w:tblGrid>
        <w:gridCol w:w="630"/>
        <w:gridCol w:w="376"/>
        <w:gridCol w:w="7300"/>
      </w:tblGrid>
      <w:tr w:rsidR="00000000">
        <w:trPr>
          <w:divId w:val="839662883"/>
        </w:trPr>
        <w:tc>
          <w:tcPr>
            <w:tcW w:w="63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Remove tumor sample: A surgical biopsy is conducted to remove about 1.5 cm of t</w:t>
            </w:r>
            <w:r>
              <w:rPr>
                <w:rFonts w:eastAsia="Times New Roman"/>
                <w:sz w:val="20"/>
                <w:szCs w:val="20"/>
              </w:rPr>
              <w:t xml:space="preserve">he tumor. </w:t>
            </w:r>
          </w:p>
        </w:tc>
      </w:tr>
    </w:tbl>
    <w:p w:rsidR="00000000" w:rsidRDefault="00F22B2C">
      <w:pPr>
        <w:pStyle w:val="a3"/>
        <w:spacing w:before="0" w:beforeAutospacing="0" w:after="0" w:afterAutospacing="0"/>
        <w:ind w:left="990"/>
        <w:divId w:val="83966288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30"/>
        <w:gridCol w:w="376"/>
        <w:gridCol w:w="7300"/>
      </w:tblGrid>
      <w:tr w:rsidR="00000000">
        <w:trPr>
          <w:divId w:val="839662883"/>
        </w:trPr>
        <w:tc>
          <w:tcPr>
            <w:tcW w:w="63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Expand and rejuvenate patient-specific T cells using proprietary process: The tumor is fragmented to facilitate a clear path for TIL to leave the tumor tissue and placed in media. The ingredients and conditions in the culture media optimi</w:t>
            </w:r>
            <w:r>
              <w:rPr>
                <w:rFonts w:eastAsia="Times New Roman"/>
                <w:sz w:val="20"/>
                <w:szCs w:val="20"/>
              </w:rPr>
              <w:t>ze the growth of TIL rather than other cell types. TIL are expanded exponentially ex vivo to yield billions (1</w:t>
            </w:r>
            <w:r>
              <w:rPr>
                <w:rFonts w:eastAsia="Times New Roman"/>
                <w:sz w:val="20"/>
                <w:szCs w:val="20"/>
              </w:rPr>
              <w:t>0</w:t>
            </w:r>
            <w:r>
              <w:rPr>
                <w:rFonts w:eastAsia="Times New Roman"/>
                <w:sz w:val="15"/>
                <w:szCs w:val="15"/>
                <w:vertAlign w:val="superscript"/>
              </w:rPr>
              <w:t>9</w:t>
            </w:r>
            <w:r>
              <w:rPr>
                <w:rFonts w:eastAsia="Times New Roman"/>
                <w:sz w:val="20"/>
                <w:szCs w:val="20"/>
              </w:rPr>
              <w:t> – 1</w:t>
            </w:r>
            <w:r>
              <w:rPr>
                <w:rFonts w:eastAsia="Times New Roman"/>
                <w:sz w:val="20"/>
                <w:szCs w:val="20"/>
              </w:rPr>
              <w:t>0</w:t>
            </w:r>
            <w:r>
              <w:rPr>
                <w:rFonts w:eastAsia="Times New Roman"/>
                <w:sz w:val="15"/>
                <w:szCs w:val="15"/>
                <w:vertAlign w:val="superscript"/>
              </w:rPr>
              <w:t>11</w:t>
            </w:r>
            <w:r>
              <w:rPr>
                <w:rFonts w:eastAsia="Times New Roman"/>
                <w:sz w:val="20"/>
                <w:szCs w:val="20"/>
              </w:rPr>
              <w:t xml:space="preserve">) of TIL using our Gen 2 process. Our Gen 2 manufacturing process takes 22 days from receipt of the patient’s tumor at the manufacturing </w:t>
            </w:r>
            <w:r>
              <w:rPr>
                <w:rFonts w:eastAsia="Times New Roman"/>
                <w:sz w:val="20"/>
                <w:szCs w:val="20"/>
              </w:rPr>
              <w:t xml:space="preserve">facility until cryopreservation of a product ready for shipping of the final TIL product to the institution for infusion of the TIL back into the patient. Initially cells grow slowly during the pre-rapid expansion, or pre-rep, phase (day 0-11) followed by </w:t>
            </w:r>
            <w:r>
              <w:rPr>
                <w:rFonts w:eastAsia="Times New Roman"/>
                <w:sz w:val="20"/>
                <w:szCs w:val="20"/>
              </w:rPr>
              <w:t>a rapid expansion, or REP phase (day 11-22). Following the pre-rep phase, the cells are transferred to a larger bioreactor and feeder cells are introduced to further activate the TIL to proliferate during the REP phase. On Day 16 the TIL are harvested whil</w:t>
            </w:r>
            <w:r>
              <w:rPr>
                <w:rFonts w:eastAsia="Times New Roman"/>
                <w:sz w:val="20"/>
                <w:szCs w:val="20"/>
              </w:rPr>
              <w:t>e maintaining a closed system before they are counted and placed into multiple bioreactors which are incubated one last time until Day 22. TIL are filtered, washed, concentrated and finally formulated with cryopreservation media on Day 22. Up to four final</w:t>
            </w:r>
            <w:r>
              <w:rPr>
                <w:rFonts w:eastAsia="Times New Roman"/>
                <w:sz w:val="20"/>
                <w:szCs w:val="20"/>
              </w:rPr>
              <w:t xml:space="preserve"> product bags are then prepared on Day 22, depending on total cell count. </w:t>
            </w:r>
          </w:p>
        </w:tc>
      </w:tr>
    </w:tbl>
    <w:p w:rsidR="00000000" w:rsidRDefault="00F22B2C">
      <w:pPr>
        <w:pStyle w:val="a3"/>
        <w:spacing w:before="0" w:beforeAutospacing="0" w:after="0" w:afterAutospacing="0"/>
        <w:ind w:left="990"/>
        <w:divId w:val="83966288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30"/>
        <w:gridCol w:w="376"/>
        <w:gridCol w:w="7300"/>
      </w:tblGrid>
      <w:tr w:rsidR="00000000">
        <w:trPr>
          <w:divId w:val="839662883"/>
        </w:trPr>
        <w:tc>
          <w:tcPr>
            <w:tcW w:w="63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Lymphodepletion and infusion: To prepare for TIL infusion, patient receives NMA lymphodepletion to eliminate potentially suppressive tumor microenvironment and maximize engraftment and potential potency of TIL therapy; the patient is infused with their exp</w:t>
            </w:r>
            <w:r>
              <w:rPr>
                <w:rFonts w:eastAsia="Times New Roman"/>
                <w:sz w:val="20"/>
                <w:szCs w:val="20"/>
              </w:rPr>
              <w:t xml:space="preserve">anded TIL and subsequently administered up to 6 doses of IL 2 to promote T-cell activity. </w:t>
            </w:r>
          </w:p>
        </w:tc>
      </w:tr>
    </w:tbl>
    <w:p w:rsidR="00000000" w:rsidRDefault="00F22B2C">
      <w:pPr>
        <w:pStyle w:val="a3"/>
        <w:spacing w:before="0" w:beforeAutospacing="0" w:after="0" w:afterAutospacing="0"/>
        <w:ind w:left="1080" w:firstLine="547"/>
        <w:divId w:val="839662883"/>
        <w:rPr>
          <w:sz w:val="20"/>
          <w:szCs w:val="20"/>
        </w:rPr>
      </w:pPr>
      <w:r>
        <w:rPr>
          <w:sz w:val="20"/>
          <w:szCs w:val="20"/>
        </w:rPr>
        <w:t>​</w:t>
      </w:r>
    </w:p>
    <w:p w:rsidR="00000000" w:rsidRDefault="00F22B2C">
      <w:pPr>
        <w:pStyle w:val="a3"/>
        <w:spacing w:before="0" w:beforeAutospacing="0" w:after="0" w:afterAutospacing="0"/>
        <w:ind w:left="90" w:hanging="990"/>
        <w:jc w:val="center"/>
        <w:divId w:val="839662883"/>
        <w:rPr>
          <w:sz w:val="20"/>
          <w:szCs w:val="20"/>
        </w:rPr>
      </w:pPr>
      <w:r>
        <w:rPr>
          <w:noProof/>
          <w:sz w:val="20"/>
          <w:szCs w:val="20"/>
        </w:rPr>
        <w:drawing>
          <wp:inline distT="0" distB="0" distL="0" distR="0">
            <wp:extent cx="304800" cy="304800"/>
            <wp:effectExtent l="0" t="0" r="0" b="0"/>
            <wp:docPr id="2" name="图片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diagram&#10;&#10;Description automatically generated"/>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22B2C">
      <w:pPr>
        <w:pStyle w:val="a3"/>
        <w:spacing w:before="0" w:beforeAutospacing="0" w:after="0" w:afterAutospacing="0"/>
        <w:ind w:left="90" w:hanging="990"/>
        <w:jc w:val="center"/>
        <w:divId w:val="839662883"/>
        <w:rPr>
          <w:sz w:val="20"/>
          <w:szCs w:val="20"/>
        </w:rPr>
      </w:pPr>
      <w:r>
        <w:rPr>
          <w:sz w:val="20"/>
          <w:szCs w:val="20"/>
        </w:rPr>
        <w:t>​</w:t>
      </w:r>
    </w:p>
    <w:p w:rsidR="00000000" w:rsidRDefault="00F22B2C">
      <w:pPr>
        <w:pStyle w:val="a3"/>
        <w:spacing w:before="480" w:beforeAutospacing="0" w:after="0" w:afterAutospacing="0"/>
        <w:jc w:val="center"/>
        <w:divId w:val="38281314"/>
        <w:rPr>
          <w:sz w:val="20"/>
          <w:szCs w:val="20"/>
        </w:rPr>
      </w:pPr>
      <w:r>
        <w:rPr>
          <w:sz w:val="20"/>
          <w:szCs w:val="20"/>
        </w:rPr>
        <w:t>15</w:t>
      </w:r>
    </w:p>
    <w:p w:rsidR="00000000" w:rsidRDefault="00F22B2C">
      <w:pPr>
        <w:pStyle w:val="a3"/>
        <w:spacing w:before="0" w:beforeAutospacing="0" w:after="600" w:afterAutospacing="0"/>
        <w:divId w:val="1716078811"/>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ind w:firstLine="547"/>
        <w:divId w:val="253709733"/>
        <w:rPr>
          <w:sz w:val="20"/>
          <w:szCs w:val="20"/>
        </w:rPr>
      </w:pPr>
      <w:r>
        <w:rPr>
          <w:sz w:val="20"/>
          <w:szCs w:val="20"/>
        </w:rPr>
        <w:t>We currently treat patients with a single infusion of TIL product, although our protocols allow for more than one admin</w:t>
      </w:r>
      <w:r>
        <w:rPr>
          <w:sz w:val="20"/>
          <w:szCs w:val="20"/>
        </w:rPr>
        <w:t>istration of TIL product. After infusion, TIL can potentially infiltrate the tumor microenvironment to eliminate large numbers of cancer cells. TIL can also further proliferate in the body. TIL therapy can potentially overcome several mechanisms of tumor e</w:t>
      </w:r>
      <w:r>
        <w:rPr>
          <w:sz w:val="20"/>
          <w:szCs w:val="20"/>
        </w:rPr>
        <w:t>scape to which endogenous T cells may be susceptible due to the hostile tumor microenvironment. In September 2020, we reported data at the European Society for Medical Oncology conference highlighting the reinvigoration of TIL during the Gen 2 manufacturin</w:t>
      </w:r>
      <w:r>
        <w:rPr>
          <w:sz w:val="20"/>
          <w:szCs w:val="20"/>
        </w:rPr>
        <w:t xml:space="preserve">g process. </w:t>
      </w:r>
    </w:p>
    <w:p w:rsidR="00000000" w:rsidRDefault="00F22B2C">
      <w:pPr>
        <w:pStyle w:val="a3"/>
        <w:spacing w:before="0" w:beforeAutospacing="0" w:after="240" w:afterAutospacing="0"/>
        <w:divId w:val="253709733"/>
        <w:rPr>
          <w:sz w:val="20"/>
          <w:szCs w:val="20"/>
        </w:rPr>
      </w:pPr>
      <w:r>
        <w:rPr>
          <w:b/>
          <w:bCs/>
          <w:i/>
          <w:iCs/>
          <w:sz w:val="20"/>
          <w:szCs w:val="20"/>
        </w:rPr>
        <w:t>Historical Clinical Results with TIL in Metastatic Melanoma</w:t>
      </w:r>
    </w:p>
    <w:p w:rsidR="00000000" w:rsidRDefault="00F22B2C">
      <w:pPr>
        <w:pStyle w:val="a3"/>
        <w:spacing w:before="0" w:beforeAutospacing="0" w:after="240" w:afterAutospacing="0"/>
        <w:ind w:firstLine="547"/>
        <w:divId w:val="253709733"/>
        <w:rPr>
          <w:sz w:val="20"/>
          <w:szCs w:val="20"/>
        </w:rPr>
      </w:pPr>
      <w:r>
        <w:rPr>
          <w:sz w:val="20"/>
          <w:szCs w:val="20"/>
        </w:rPr>
        <w:t>To date, hundreds of metastatic melanoma patients have already been treated with TIL therapy produced locally using different manufacturing methods at different academic institutions a</w:t>
      </w:r>
      <w:r>
        <w:rPr>
          <w:sz w:val="20"/>
          <w:szCs w:val="20"/>
        </w:rPr>
        <w:t xml:space="preserve">nd hospitals in the U.S., Europe, Canada, and Israel. At the NCI, clinical responses have been relatively consistent in several trials that were conducted prior to anti-PD-1 treatment becoming the available standard of care for melanoma patients: over 50% </w:t>
      </w:r>
      <w:r>
        <w:rPr>
          <w:sz w:val="20"/>
          <w:szCs w:val="20"/>
        </w:rPr>
        <w:t>of the melanoma patients treated with TIL achieved an objective response (i.e., tumor regression of 30% or more, as defined by RECIST criteria) and approximately 22-24% of patients have a complete response (tumor regression of 100%) with no evidence of dis</w:t>
      </w:r>
      <w:r>
        <w:rPr>
          <w:sz w:val="20"/>
          <w:szCs w:val="20"/>
        </w:rPr>
        <w:t>ease remaining after only one administration. Most patients who have had a complete response remained in response in 3-7 years of follow up. Furthermore, patients can respond to TIL therapy regardless of their prior therapies.</w:t>
      </w:r>
    </w:p>
    <w:p w:rsidR="00000000" w:rsidRDefault="00F22B2C">
      <w:pPr>
        <w:pStyle w:val="a3"/>
        <w:spacing w:before="0" w:beforeAutospacing="0" w:after="240" w:afterAutospacing="0"/>
        <w:ind w:firstLine="547"/>
        <w:divId w:val="253709733"/>
        <w:rPr>
          <w:sz w:val="20"/>
          <w:szCs w:val="20"/>
        </w:rPr>
      </w:pPr>
      <w:r>
        <w:rPr>
          <w:sz w:val="20"/>
          <w:szCs w:val="20"/>
        </w:rPr>
        <w:t>In September </w:t>
      </w:r>
      <w:r>
        <w:rPr>
          <w:sz w:val="20"/>
          <w:szCs w:val="20"/>
        </w:rPr>
        <w:t>2015, Dr. Steven Rosenberg, a recognized pioneer in immuno-oncology and adoptive cell therapy using TIL, presented updated findings from a Phase 2 clinical trial of TIL therapy in metastatic melanoma at the American Association for Cancer Research Inaugura</w:t>
      </w:r>
      <w:r>
        <w:rPr>
          <w:sz w:val="20"/>
          <w:szCs w:val="20"/>
        </w:rPr>
        <w:t>l International Cancer Immunotherapy Conference. Data was presented from a 101 patient, Phase 2 clinical trial conducted at the NCI. In the trial, patients with advanced metastatic melanoma were equally divided in two groups. Both groups were treated accor</w:t>
      </w:r>
      <w:r>
        <w:rPr>
          <w:sz w:val="20"/>
          <w:szCs w:val="20"/>
        </w:rPr>
        <w:t>ding to a standard TIL protocol using NMA chemotherapy, with the second group also receiving total body irradiation, or TBI. 54% of the patients treated with TIL therapy achieved an objective response. Out of the 101 patients, 24, or 24%, had experienced a</w:t>
      </w:r>
      <w:r>
        <w:rPr>
          <w:sz w:val="20"/>
          <w:szCs w:val="20"/>
        </w:rPr>
        <w:t xml:space="preserve"> complete response and 23 of the 24, or 96%, showed ongoing durability of this response at 30 to 47 months following treatment, at the time of publication. Median follow-up time was approximately 40.9 months. Overall survival, or OS, was approximately 80% </w:t>
      </w:r>
      <w:r>
        <w:rPr>
          <w:sz w:val="20"/>
          <w:szCs w:val="20"/>
        </w:rPr>
        <w:t xml:space="preserve">at 12 months, and median OS had not yet been achieved. Median progression-free survival was approximately 8-10 months. This observation was also presented by Dr. Stephanie Goff at the 2016 ASCO meeting and published in the </w:t>
      </w:r>
      <w:r>
        <w:rPr>
          <w:i/>
          <w:iCs/>
          <w:sz w:val="20"/>
          <w:szCs w:val="20"/>
        </w:rPr>
        <w:t>Journal of Clinical Oncology</w:t>
      </w:r>
      <w:r>
        <w:rPr>
          <w:sz w:val="20"/>
          <w:szCs w:val="20"/>
        </w:rPr>
        <w:t xml:space="preserve"> in J</w:t>
      </w:r>
      <w:r>
        <w:rPr>
          <w:sz w:val="20"/>
          <w:szCs w:val="20"/>
        </w:rPr>
        <w:t>une 2016. At the ASCO 2018 meeting, Dr. Goff presented updated findings from the trial. Notably, patients that had prior anti PD-1 treatment had an ORR of 20-25%.</w:t>
      </w:r>
    </w:p>
    <w:p w:rsidR="00000000" w:rsidRDefault="00F22B2C">
      <w:pPr>
        <w:pStyle w:val="a3"/>
        <w:spacing w:before="0" w:beforeAutospacing="0" w:after="240" w:afterAutospacing="0"/>
        <w:ind w:firstLine="547"/>
        <w:divId w:val="253709733"/>
        <w:rPr>
          <w:sz w:val="20"/>
          <w:szCs w:val="20"/>
        </w:rPr>
      </w:pPr>
      <w:r>
        <w:rPr>
          <w:sz w:val="20"/>
          <w:szCs w:val="20"/>
        </w:rPr>
        <w:t>In August 2021, Seitter, et al., in a collaboration led by Dr. Rosenberg from the Surgery Bra</w:t>
      </w:r>
      <w:r>
        <w:rPr>
          <w:sz w:val="20"/>
          <w:szCs w:val="20"/>
        </w:rPr>
        <w:t xml:space="preserve">nch of the NCI, published in </w:t>
      </w:r>
      <w:r>
        <w:rPr>
          <w:i/>
          <w:iCs/>
          <w:sz w:val="20"/>
          <w:szCs w:val="20"/>
        </w:rPr>
        <w:t>Clinical Cancer Research</w:t>
      </w:r>
      <w:r>
        <w:rPr>
          <w:sz w:val="20"/>
          <w:szCs w:val="20"/>
        </w:rPr>
        <w:t xml:space="preserve"> the patient outcomes based on two decades of experience with TIL therapy in metastatic melanoma. The ORR in the entire cohort of 226 patients was 51%, with a complete response rate of 22%. The median ov</w:t>
      </w:r>
      <w:r>
        <w:rPr>
          <w:sz w:val="20"/>
          <w:szCs w:val="20"/>
        </w:rPr>
        <w:t>erall survival and median melanoma-specific survival were 20.6 months and 22.2 months, respectively. The patients achieving a complete response (n=49) had a 10-year melanoma-specific survival of 96%. The ORR in the 192 patients who had not received anti-PD</w:t>
      </w:r>
      <w:r>
        <w:rPr>
          <w:sz w:val="20"/>
          <w:szCs w:val="20"/>
        </w:rPr>
        <w:t>-1 therapy as a prior line of therapy was 56% with a median melanoma-specific survival of 28.5 months. Of the 43 patients who were refractory to anti-CTLA-4 therapy without exposure to anti-PD-1, there was no difference in the response rate (60%), when com</w:t>
      </w:r>
      <w:r>
        <w:rPr>
          <w:sz w:val="20"/>
          <w:szCs w:val="20"/>
        </w:rPr>
        <w:t>pared to those naïve to any immune checkpoint therapy (55%). Baseline demographic features, including BRAF status did not influence outcome. Prior therapies including refractoriness to anti-PD-1 and BRAF/MEK inhibitors affected outcome compared to patients</w:t>
      </w:r>
      <w:r>
        <w:rPr>
          <w:sz w:val="20"/>
          <w:szCs w:val="20"/>
        </w:rPr>
        <w:t xml:space="preserve"> who had no exposure to these agents. Out of the 226 patients reported, 34 were refractory to anti-PD-1 therapy and had an ORR of 24%, with a median melanoma-specific survival of 11.6 months. Decreased melanoma-specific survival was seen in patients refrac</w:t>
      </w:r>
      <w:r>
        <w:rPr>
          <w:sz w:val="20"/>
          <w:szCs w:val="20"/>
        </w:rPr>
        <w:t xml:space="preserve">tory to BRAF/MEK inhibitors regardless of prior anti-PD-1 exposure with a median survival of 8.7 months (refractory to both anti-PD-1) and 12.1 months (naïve to anti-PD-1). </w:t>
      </w:r>
    </w:p>
    <w:p w:rsidR="00000000" w:rsidRDefault="00F22B2C">
      <w:pPr>
        <w:pStyle w:val="a3"/>
        <w:spacing w:before="0" w:beforeAutospacing="0" w:after="240" w:afterAutospacing="0"/>
        <w:divId w:val="253709733"/>
        <w:rPr>
          <w:sz w:val="20"/>
          <w:szCs w:val="20"/>
        </w:rPr>
      </w:pPr>
      <w:r>
        <w:rPr>
          <w:b/>
          <w:bCs/>
          <w:i/>
          <w:iCs/>
          <w:sz w:val="20"/>
          <w:szCs w:val="20"/>
        </w:rPr>
        <w:t>Clinical Results with TIL in Other Solid Tumor Indications</w:t>
      </w:r>
    </w:p>
    <w:p w:rsidR="00000000" w:rsidRDefault="00F22B2C">
      <w:pPr>
        <w:pStyle w:val="a3"/>
        <w:spacing w:before="0" w:beforeAutospacing="0" w:after="240" w:afterAutospacing="0"/>
        <w:ind w:firstLine="547"/>
        <w:divId w:val="253709733"/>
        <w:rPr>
          <w:sz w:val="20"/>
          <w:szCs w:val="20"/>
        </w:rPr>
      </w:pPr>
      <w:r>
        <w:rPr>
          <w:sz w:val="20"/>
          <w:szCs w:val="20"/>
        </w:rPr>
        <w:t>Under our CRADA with th</w:t>
      </w:r>
      <w:r>
        <w:rPr>
          <w:sz w:val="20"/>
          <w:szCs w:val="20"/>
        </w:rPr>
        <w:t xml:space="preserve">e NCI, we are providing research, development and clinical funding for the development of unmodified TIL therapy for a variety of solid tumor indications, including HPV-associated cancers (cervical, head and neck), melanoma, bladder, breast, lung cancers, </w:t>
      </w:r>
      <w:r>
        <w:rPr>
          <w:sz w:val="20"/>
          <w:szCs w:val="20"/>
        </w:rPr>
        <w:t>glioblastoma multiforme, colorectal cancer, gastric cancer, pancreatic cancer, hepatocellular carcinoma and cholangiocarcinoma. Depending on results from the research and development and clinical trials conducted at the NCI under our CRADA, we may pursue t</w:t>
      </w:r>
      <w:r>
        <w:rPr>
          <w:sz w:val="20"/>
          <w:szCs w:val="20"/>
        </w:rPr>
        <w:t>he development and regulatory approval of TIL therapy for additional indications.</w:t>
      </w:r>
    </w:p>
    <w:p w:rsidR="00000000" w:rsidRDefault="00F22B2C">
      <w:pPr>
        <w:pStyle w:val="a3"/>
        <w:spacing w:before="480" w:beforeAutospacing="0" w:after="0" w:afterAutospacing="0"/>
        <w:jc w:val="center"/>
        <w:divId w:val="1357734112"/>
        <w:rPr>
          <w:sz w:val="20"/>
          <w:szCs w:val="20"/>
        </w:rPr>
      </w:pPr>
      <w:r>
        <w:rPr>
          <w:sz w:val="20"/>
          <w:szCs w:val="20"/>
        </w:rPr>
        <w:t>16</w:t>
      </w:r>
    </w:p>
    <w:p w:rsidR="00000000" w:rsidRDefault="00F22B2C">
      <w:pPr>
        <w:pStyle w:val="a3"/>
        <w:spacing w:before="0" w:beforeAutospacing="0" w:after="600" w:afterAutospacing="0"/>
        <w:divId w:val="1561558568"/>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2711529"/>
        <w:rPr>
          <w:sz w:val="20"/>
          <w:szCs w:val="20"/>
        </w:rPr>
      </w:pPr>
      <w:r>
        <w:rPr>
          <w:b/>
          <w:bCs/>
          <w:i/>
          <w:iCs/>
          <w:sz w:val="20"/>
          <w:szCs w:val="20"/>
        </w:rPr>
        <w:t>Safety</w:t>
      </w:r>
    </w:p>
    <w:p w:rsidR="00000000" w:rsidRDefault="00F22B2C">
      <w:pPr>
        <w:pStyle w:val="a3"/>
        <w:spacing w:before="0" w:beforeAutospacing="0" w:after="240" w:afterAutospacing="0"/>
        <w:ind w:firstLine="547"/>
        <w:divId w:val="2711529"/>
        <w:rPr>
          <w:sz w:val="20"/>
          <w:szCs w:val="20"/>
        </w:rPr>
      </w:pPr>
      <w:r>
        <w:rPr>
          <w:sz w:val="20"/>
          <w:szCs w:val="20"/>
        </w:rPr>
        <w:t>We continue to enroll patients in our ongoing clinical programs and we closely monitor our studies to learn about all sa</w:t>
      </w:r>
      <w:r>
        <w:rPr>
          <w:sz w:val="20"/>
          <w:szCs w:val="20"/>
        </w:rPr>
        <w:t>fety events occurring, as described elsewhere in this Annual Report on Form 10-K. Some of these events may be associated with TIL therapy. Historically, the largest set of data for TIL therapy was generated by the NCI as part of their multiple clinical stu</w:t>
      </w:r>
      <w:r>
        <w:rPr>
          <w:sz w:val="20"/>
          <w:szCs w:val="20"/>
        </w:rPr>
        <w:t xml:space="preserve">dies. Per publications from the NCI, toxicities or adverse events during TIL therapy have been mostly associated with either the lymphodepletion regimen or the IL-2 therapy given after TIL infusion as described by Goff et al. in the </w:t>
      </w:r>
      <w:r>
        <w:rPr>
          <w:i/>
          <w:iCs/>
          <w:sz w:val="20"/>
          <w:szCs w:val="20"/>
        </w:rPr>
        <w:t>Journal of Clinical Onc</w:t>
      </w:r>
      <w:r>
        <w:rPr>
          <w:i/>
          <w:iCs/>
          <w:sz w:val="20"/>
          <w:szCs w:val="20"/>
        </w:rPr>
        <w:t>ology</w:t>
      </w:r>
      <w:r>
        <w:rPr>
          <w:sz w:val="20"/>
          <w:szCs w:val="20"/>
        </w:rPr>
        <w:t xml:space="preserve"> in June 2016. The historical approach to the administration of IL-2 is to continue dosing until intolerance. Our trials, however, have limited administration of IL-2 to up to 6 doses.</w:t>
      </w:r>
    </w:p>
    <w:p w:rsidR="00000000" w:rsidRDefault="00F22B2C">
      <w:pPr>
        <w:pStyle w:val="a3"/>
        <w:spacing w:before="0" w:beforeAutospacing="0" w:after="240" w:afterAutospacing="0"/>
        <w:divId w:val="2711529"/>
        <w:rPr>
          <w:sz w:val="20"/>
          <w:szCs w:val="20"/>
        </w:rPr>
      </w:pPr>
      <w:r>
        <w:rPr>
          <w:b/>
          <w:bCs/>
          <w:sz w:val="20"/>
          <w:szCs w:val="20"/>
        </w:rPr>
        <w:t>Next Generation TIL Product Strategies</w:t>
      </w:r>
    </w:p>
    <w:p w:rsidR="00000000" w:rsidRDefault="00F22B2C">
      <w:pPr>
        <w:pStyle w:val="a3"/>
        <w:spacing w:before="0" w:beforeAutospacing="0" w:after="240" w:afterAutospacing="0"/>
        <w:ind w:firstLine="547"/>
        <w:divId w:val="2711529"/>
        <w:rPr>
          <w:sz w:val="20"/>
          <w:szCs w:val="20"/>
        </w:rPr>
      </w:pPr>
      <w:r>
        <w:rPr>
          <w:sz w:val="20"/>
          <w:szCs w:val="20"/>
        </w:rPr>
        <w:t>We are developing next gene</w:t>
      </w:r>
      <w:r>
        <w:rPr>
          <w:sz w:val="20"/>
          <w:szCs w:val="20"/>
        </w:rPr>
        <w:t>ration TIL products using owned and licensed intellectual property rights, in some cases in combination with collaborators such as Cellectis, as described elsewhere in this Annual Report on Form 10-K. These products include selected TIL therapies, genetica</w:t>
      </w:r>
      <w:r>
        <w:rPr>
          <w:sz w:val="20"/>
          <w:szCs w:val="20"/>
        </w:rPr>
        <w:t>lly-modified and cytokine-tethered TIL therapies. We are also developing PBL therapy for CLL and SLL.</w:t>
      </w:r>
    </w:p>
    <w:p w:rsidR="00000000" w:rsidRDefault="00F22B2C">
      <w:pPr>
        <w:pStyle w:val="a3"/>
        <w:spacing w:before="0" w:beforeAutospacing="0" w:after="240" w:afterAutospacing="0"/>
        <w:divId w:val="2711529"/>
        <w:rPr>
          <w:sz w:val="20"/>
          <w:szCs w:val="20"/>
        </w:rPr>
      </w:pPr>
      <w:r>
        <w:rPr>
          <w:b/>
          <w:bCs/>
          <w:sz w:val="20"/>
          <w:szCs w:val="20"/>
        </w:rPr>
        <w:t>Process Development, Manufacturing, and Manufacturing Agreements</w:t>
      </w:r>
    </w:p>
    <w:p w:rsidR="00000000" w:rsidRDefault="00F22B2C">
      <w:pPr>
        <w:pStyle w:val="a3"/>
        <w:spacing w:before="0" w:beforeAutospacing="0" w:after="240" w:afterAutospacing="0"/>
        <w:ind w:firstLine="547"/>
        <w:divId w:val="2711529"/>
        <w:rPr>
          <w:sz w:val="20"/>
          <w:szCs w:val="20"/>
        </w:rPr>
      </w:pPr>
      <w:r>
        <w:rPr>
          <w:sz w:val="20"/>
          <w:szCs w:val="20"/>
        </w:rPr>
        <w:t>Our first generation TIL manufacturing process was based on the NCI’s original manufactur</w:t>
      </w:r>
      <w:r>
        <w:rPr>
          <w:sz w:val="20"/>
          <w:szCs w:val="20"/>
        </w:rPr>
        <w:t>ing and processing of TIL, which we modified so that it could be reproduced in a cGMP environment. This first-generation process expanded the number of TIL over a 5-to-6-week period and produced a non-cryopreserved product for administration to the patient</w:t>
      </w:r>
      <w:r>
        <w:rPr>
          <w:sz w:val="20"/>
          <w:szCs w:val="20"/>
        </w:rPr>
        <w:t xml:space="preserve">. Our Gen 2 TIL manufacturing process, which was developed by our internal research and process development team, shortens the manufacturing process to 22 days while allowing for a cryopreserved product. The Gen 2 process is currently in use in almost all </w:t>
      </w:r>
      <w:r>
        <w:rPr>
          <w:sz w:val="20"/>
          <w:szCs w:val="20"/>
        </w:rPr>
        <w:t>of our trials in which we manufacture TIL products, including lifileucel and LN</w:t>
      </w:r>
      <w:r>
        <w:rPr>
          <w:sz w:val="20"/>
          <w:szCs w:val="20"/>
        </w:rPr>
        <w:t>-</w:t>
      </w:r>
      <w:r>
        <w:rPr>
          <w:sz w:val="20"/>
          <w:szCs w:val="20"/>
        </w:rPr>
        <w:t>145. We have selected Gen 2 for product registration and ongoing and future TIL clinical development, although we continue to develop new TIL manufacturing processes. For examp</w:t>
      </w:r>
      <w:r>
        <w:rPr>
          <w:sz w:val="20"/>
          <w:szCs w:val="20"/>
        </w:rPr>
        <w:t>le, at the SITC meeting in November 2021, we presented a poster on the expansion of TIL demonstrating the use of static bags for the clinical TIL manufacturing process. Furthermore, we have developed a third-generation manufacturing process, known as Gen 3</w:t>
      </w:r>
      <w:r>
        <w:rPr>
          <w:sz w:val="20"/>
          <w:szCs w:val="20"/>
        </w:rPr>
        <w:t xml:space="preserve"> which has a shorter manufacturing process than Gen 2. We are testing Gen 3 in</w:t>
      </w:r>
      <w:r>
        <w:rPr>
          <w:sz w:val="20"/>
          <w:szCs w:val="20"/>
        </w:rPr>
        <w:t xml:space="preserve"> </w:t>
      </w:r>
      <w:r>
        <w:rPr>
          <w:sz w:val="20"/>
          <w:szCs w:val="20"/>
        </w:rPr>
        <w:t>multiple clinical trials, as described elsewhere in this Annual Report on Form 10-K. We have also developed next generation manufacturing processes to genetically modify TIL usi</w:t>
      </w:r>
      <w:r>
        <w:rPr>
          <w:sz w:val="20"/>
          <w:szCs w:val="20"/>
        </w:rPr>
        <w:t>ng the TALEN technology licensed from Cellectis, including our lead preclinical program IOV-4001, as well as selections for TIL that are PD-1 positive, such as our product known as LN-145-S1.</w:t>
      </w:r>
    </w:p>
    <w:p w:rsidR="00000000" w:rsidRDefault="00F22B2C">
      <w:pPr>
        <w:pStyle w:val="a3"/>
        <w:spacing w:before="480" w:beforeAutospacing="0" w:after="0" w:afterAutospacing="0"/>
        <w:jc w:val="center"/>
        <w:divId w:val="145511634"/>
        <w:rPr>
          <w:sz w:val="20"/>
          <w:szCs w:val="20"/>
        </w:rPr>
      </w:pPr>
      <w:r>
        <w:rPr>
          <w:sz w:val="20"/>
          <w:szCs w:val="20"/>
        </w:rPr>
        <w:t>17</w:t>
      </w:r>
    </w:p>
    <w:p w:rsidR="00000000" w:rsidRDefault="00F22B2C">
      <w:pPr>
        <w:pStyle w:val="a3"/>
        <w:spacing w:before="0" w:beforeAutospacing="0" w:after="600" w:afterAutospacing="0"/>
        <w:divId w:val="29654536"/>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ind w:firstLine="547"/>
        <w:divId w:val="498470738"/>
        <w:rPr>
          <w:sz w:val="20"/>
          <w:szCs w:val="20"/>
        </w:rPr>
      </w:pPr>
      <w:r>
        <w:rPr>
          <w:sz w:val="20"/>
          <w:szCs w:val="20"/>
        </w:rPr>
        <w:t>The Gen 2 manufac</w:t>
      </w:r>
      <w:r>
        <w:rPr>
          <w:sz w:val="20"/>
          <w:szCs w:val="20"/>
        </w:rPr>
        <w:t>turing process begins with the collection of the patient’s tumor, which is then sent to a central manufacturing facility, where the T cells are isolated. These cells are stimulated to proliferate, then propagated in cell culture flasks until sufficient cel</w:t>
      </w:r>
      <w:r>
        <w:rPr>
          <w:sz w:val="20"/>
          <w:szCs w:val="20"/>
        </w:rPr>
        <w:t>ls are available for infusion back into the patient. The TIL is then washed and put in media suitable for cryopreservation and infusion. The final product is shipped back to the clinical center where it can be administered to the patient. The following dia</w:t>
      </w:r>
      <w:r>
        <w:rPr>
          <w:sz w:val="20"/>
          <w:szCs w:val="20"/>
        </w:rPr>
        <w:t>gram illustrates our Gen 2 TIL manufacturing process.</w:t>
      </w:r>
    </w:p>
    <w:p w:rsidR="00000000" w:rsidRDefault="00F22B2C">
      <w:pPr>
        <w:pStyle w:val="a3"/>
        <w:spacing w:before="0" w:beforeAutospacing="0" w:after="0" w:afterAutospacing="0"/>
        <w:ind w:firstLine="547"/>
        <w:jc w:val="both"/>
        <w:divId w:val="498470738"/>
        <w:rPr>
          <w:sz w:val="20"/>
          <w:szCs w:val="20"/>
        </w:rPr>
      </w:pPr>
      <w:r>
        <w:rPr>
          <w:sz w:val="20"/>
          <w:szCs w:val="20"/>
        </w:rPr>
        <w:t>​</w:t>
      </w:r>
    </w:p>
    <w:p w:rsidR="00000000" w:rsidRDefault="00F22B2C">
      <w:pPr>
        <w:pStyle w:val="a3"/>
        <w:spacing w:before="0" w:beforeAutospacing="0" w:after="0" w:afterAutospacing="0"/>
        <w:jc w:val="center"/>
        <w:divId w:val="498470738"/>
        <w:rPr>
          <w:sz w:val="20"/>
          <w:szCs w:val="20"/>
        </w:rPr>
      </w:pPr>
      <w:r>
        <w:rPr>
          <w:noProof/>
          <w:sz w:val="20"/>
          <w:szCs w:val="20"/>
        </w:rPr>
        <w:drawing>
          <wp:inline distT="0" distB="0" distL="0" distR="0">
            <wp:extent cx="304800" cy="304800"/>
            <wp:effectExtent l="0" t="0" r="0" b="0"/>
            <wp:docPr id="3" name="图片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10;&#10;Description automatically generated"/>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22B2C">
      <w:pPr>
        <w:pStyle w:val="a3"/>
        <w:spacing w:before="0" w:beforeAutospacing="0" w:after="0" w:afterAutospacing="0"/>
        <w:ind w:firstLine="547"/>
        <w:divId w:val="498470738"/>
        <w:rPr>
          <w:sz w:val="20"/>
          <w:szCs w:val="20"/>
        </w:rPr>
      </w:pPr>
      <w:r>
        <w:rPr>
          <w:sz w:val="20"/>
          <w:szCs w:val="20"/>
        </w:rPr>
        <w:t>​</w:t>
      </w:r>
    </w:p>
    <w:p w:rsidR="00000000" w:rsidRDefault="00F22B2C">
      <w:pPr>
        <w:pStyle w:val="a3"/>
        <w:spacing w:before="0" w:beforeAutospacing="0" w:after="240" w:afterAutospacing="0"/>
        <w:ind w:firstLine="547"/>
        <w:divId w:val="498470738"/>
        <w:rPr>
          <w:sz w:val="20"/>
          <w:szCs w:val="20"/>
        </w:rPr>
      </w:pPr>
      <w:r>
        <w:rPr>
          <w:sz w:val="20"/>
          <w:szCs w:val="20"/>
        </w:rPr>
        <w:t xml:space="preserve">To meet projected needs for commercial quantities of TIL products, we have built our own commercial manufacturing facility, the </w:t>
      </w:r>
      <w:r>
        <w:rPr>
          <w:i/>
          <w:iCs/>
          <w:sz w:val="20"/>
          <w:szCs w:val="20"/>
        </w:rPr>
        <w:t>i</w:t>
      </w:r>
      <w:r>
        <w:rPr>
          <w:sz w:val="20"/>
          <w:szCs w:val="20"/>
        </w:rPr>
        <w:t>CTC, to manufacture TIL product using the Gen 2 manufacturing process. As of the end of 2021, we had completed the commissionin</w:t>
      </w:r>
      <w:r>
        <w:rPr>
          <w:sz w:val="20"/>
          <w:szCs w:val="20"/>
        </w:rPr>
        <w:t>g activities at the</w:t>
      </w:r>
      <w:r>
        <w:rPr>
          <w:sz w:val="20"/>
          <w:szCs w:val="20"/>
        </w:rPr>
        <w:t xml:space="preserve"> </w:t>
      </w:r>
      <w:r>
        <w:rPr>
          <w:i/>
          <w:iCs/>
          <w:sz w:val="20"/>
          <w:szCs w:val="20"/>
        </w:rPr>
        <w:t>i</w:t>
      </w:r>
      <w:r>
        <w:rPr>
          <w:sz w:val="20"/>
          <w:szCs w:val="20"/>
        </w:rPr>
        <w:t>CTC and successfully manufactured and delivered the first clinical batch of LN-145 for the IOV-COM-202 trial, representing our first internally manufactured TIL product, as we continue our launch readiness activities to supply commerci</w:t>
      </w:r>
      <w:r>
        <w:rPr>
          <w:sz w:val="20"/>
          <w:szCs w:val="20"/>
        </w:rPr>
        <w:t>al TIL upon potential BLA approval. In addition, we have entered into MSAs with WuXi, Moffitt, and PharmaCell, which was acquired by Lonza, pursuant to which they have agreed to manufacture, package, ship and handle quality assurance and quality control of</w:t>
      </w:r>
      <w:r>
        <w:rPr>
          <w:sz w:val="20"/>
          <w:szCs w:val="20"/>
        </w:rPr>
        <w:t xml:space="preserve"> certain clinical trials for our TIL products working closely with our employees. We have two suites for clinical manufacturing at WuXi, and one of two suites is also available to manufacture TIL for commercial use. Cell processing activities are conducted</w:t>
      </w:r>
      <w:r>
        <w:rPr>
          <w:sz w:val="20"/>
          <w:szCs w:val="20"/>
        </w:rPr>
        <w:t xml:space="preserve"> at all facilities under cGMP, using qualified equipment and materials. We believe that all materials and components utilized in the production of the final TIL product are readily available from qualified suppliers. We expect to rely on our own manufactur</w:t>
      </w:r>
      <w:r>
        <w:rPr>
          <w:sz w:val="20"/>
          <w:szCs w:val="20"/>
        </w:rPr>
        <w:t>ing facility and these CMOs to meet anticipated clinical trial and if approved, commercial demands. In the future, we may rely on them or other third parties, or our own manufacturing capabilities for the manufacturing and processing of TIL-based product c</w:t>
      </w:r>
      <w:r>
        <w:rPr>
          <w:sz w:val="20"/>
          <w:szCs w:val="20"/>
        </w:rPr>
        <w:t xml:space="preserve">andidates for our clinical trials. </w:t>
      </w:r>
    </w:p>
    <w:p w:rsidR="00000000" w:rsidRDefault="00F22B2C">
      <w:pPr>
        <w:pStyle w:val="a3"/>
        <w:spacing w:before="0" w:beforeAutospacing="0" w:after="240" w:afterAutospacing="0"/>
        <w:ind w:firstLine="547"/>
        <w:divId w:val="498470738"/>
        <w:rPr>
          <w:sz w:val="20"/>
          <w:szCs w:val="20"/>
        </w:rPr>
      </w:pPr>
      <w:r>
        <w:rPr>
          <w:sz w:val="20"/>
          <w:szCs w:val="20"/>
        </w:rPr>
        <w:t>If we are unable to meet manufacturing capabilities and demand at our own commercial manufacturing facility, we may need to rely on CMOs, including both current and alternate suppliers, to ensure sufficient capacity is available for commercial purposes.</w:t>
      </w:r>
    </w:p>
    <w:p w:rsidR="00000000" w:rsidRDefault="00F22B2C">
      <w:pPr>
        <w:pStyle w:val="a3"/>
        <w:spacing w:before="0" w:beforeAutospacing="0" w:after="240" w:afterAutospacing="0"/>
        <w:divId w:val="498470738"/>
        <w:rPr>
          <w:sz w:val="20"/>
          <w:szCs w:val="20"/>
        </w:rPr>
      </w:pPr>
      <w:r>
        <w:rPr>
          <w:b/>
          <w:bCs/>
          <w:sz w:val="20"/>
          <w:szCs w:val="20"/>
        </w:rPr>
        <w:t>Or</w:t>
      </w:r>
      <w:r>
        <w:rPr>
          <w:b/>
          <w:bCs/>
          <w:sz w:val="20"/>
          <w:szCs w:val="20"/>
        </w:rPr>
        <w:t>phan Drug Designations</w:t>
      </w:r>
    </w:p>
    <w:p w:rsidR="00000000" w:rsidRDefault="00F22B2C">
      <w:pPr>
        <w:pStyle w:val="a3"/>
        <w:spacing w:before="0" w:beforeAutospacing="0" w:after="0" w:afterAutospacing="0"/>
        <w:ind w:firstLine="547"/>
        <w:divId w:val="498470738"/>
        <w:rPr>
          <w:sz w:val="20"/>
          <w:szCs w:val="20"/>
        </w:rPr>
      </w:pPr>
      <w:r>
        <w:rPr>
          <w:sz w:val="20"/>
          <w:szCs w:val="20"/>
        </w:rPr>
        <w:t>During 2015, we received an Orphan Drug Designation, or ODD, for lifileucel in the U.S. to treat malignant melanoma stages IIB-IV. If approved, an ODD provides seven years of market exclusivity in the U.S., subject to certain limited</w:t>
      </w:r>
      <w:r>
        <w:rPr>
          <w:sz w:val="20"/>
          <w:szCs w:val="20"/>
        </w:rPr>
        <w:t xml:space="preserve"> exceptions. However, </w:t>
      </w:r>
    </w:p>
    <w:p w:rsidR="00000000" w:rsidRDefault="00F22B2C">
      <w:pPr>
        <w:pStyle w:val="a3"/>
        <w:spacing w:before="480" w:beforeAutospacing="0" w:after="0" w:afterAutospacing="0"/>
        <w:jc w:val="center"/>
        <w:divId w:val="1213812191"/>
        <w:rPr>
          <w:sz w:val="20"/>
          <w:szCs w:val="20"/>
        </w:rPr>
      </w:pPr>
      <w:r>
        <w:rPr>
          <w:sz w:val="20"/>
          <w:szCs w:val="20"/>
        </w:rPr>
        <w:t>18</w:t>
      </w:r>
    </w:p>
    <w:p w:rsidR="00000000" w:rsidRDefault="00F22B2C">
      <w:pPr>
        <w:pStyle w:val="a3"/>
        <w:spacing w:before="0" w:beforeAutospacing="0" w:after="600" w:afterAutospacing="0"/>
        <w:divId w:val="233666821"/>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619918964"/>
        <w:rPr>
          <w:sz w:val="20"/>
          <w:szCs w:val="20"/>
        </w:rPr>
      </w:pPr>
      <w:r>
        <w:rPr>
          <w:sz w:val="20"/>
          <w:szCs w:val="20"/>
        </w:rPr>
        <w:t>an ODD does not convey any advantage in, or shorten the duration of, the regulatory review or approval process. The benefits and limitations of ODD are described in more detail elsewhere</w:t>
      </w:r>
      <w:r>
        <w:rPr>
          <w:sz w:val="20"/>
          <w:szCs w:val="20"/>
        </w:rPr>
        <w:t xml:space="preserve"> in this Annual Report on Form 10-K.</w:t>
      </w:r>
    </w:p>
    <w:p w:rsidR="00000000" w:rsidRDefault="00F22B2C">
      <w:pPr>
        <w:pStyle w:val="a3"/>
        <w:spacing w:before="0" w:beforeAutospacing="0" w:after="240" w:afterAutospacing="0"/>
        <w:ind w:firstLine="547"/>
        <w:divId w:val="1619918964"/>
        <w:rPr>
          <w:sz w:val="20"/>
          <w:szCs w:val="20"/>
        </w:rPr>
      </w:pPr>
      <w:r>
        <w:rPr>
          <w:sz w:val="20"/>
          <w:szCs w:val="20"/>
        </w:rPr>
        <w:t>During 2018, we received an ODD from the FDA for lifileucel for the treatment of cervical cancer with a tumor size of greater than 2 cm in diameter.</w:t>
      </w:r>
    </w:p>
    <w:p w:rsidR="00000000" w:rsidRDefault="00F22B2C">
      <w:pPr>
        <w:pStyle w:val="a3"/>
        <w:spacing w:before="0" w:beforeAutospacing="0" w:after="240" w:afterAutospacing="0"/>
        <w:divId w:val="1619918964"/>
        <w:rPr>
          <w:sz w:val="20"/>
          <w:szCs w:val="20"/>
        </w:rPr>
      </w:pPr>
      <w:r>
        <w:rPr>
          <w:b/>
          <w:bCs/>
          <w:sz w:val="20"/>
          <w:szCs w:val="20"/>
        </w:rPr>
        <w:t>Fast Track Designations</w:t>
      </w:r>
    </w:p>
    <w:p w:rsidR="00000000" w:rsidRDefault="00F22B2C">
      <w:pPr>
        <w:pStyle w:val="a3"/>
        <w:spacing w:before="0" w:beforeAutospacing="0" w:after="240" w:afterAutospacing="0"/>
        <w:ind w:firstLine="547"/>
        <w:divId w:val="1619918964"/>
        <w:rPr>
          <w:sz w:val="20"/>
          <w:szCs w:val="20"/>
        </w:rPr>
      </w:pPr>
      <w:r>
        <w:rPr>
          <w:sz w:val="20"/>
          <w:szCs w:val="20"/>
        </w:rPr>
        <w:t xml:space="preserve">In August 2017, we announced that the FDA had </w:t>
      </w:r>
      <w:r>
        <w:rPr>
          <w:sz w:val="20"/>
          <w:szCs w:val="20"/>
        </w:rPr>
        <w:t xml:space="preserve">granted Fast Track designation for lifileucel for the treatment of advanced metastatic melanoma. In February 2019, we announced that the FDA had granted Fast Track designation for lifileucel in the treatment of metastatic cervical cancer. Additionally, in </w:t>
      </w:r>
      <w:r>
        <w:rPr>
          <w:sz w:val="20"/>
          <w:szCs w:val="20"/>
        </w:rPr>
        <w:t>November 2021, we announced that the FDA granted Fast Track designation for lifileucel in combination with pembrolizumab for the treatment of ICI naïve metastatic melanoma based on the unmet medical need and potential advantages for this combination over a</w:t>
      </w:r>
      <w:r>
        <w:rPr>
          <w:sz w:val="20"/>
          <w:szCs w:val="20"/>
        </w:rPr>
        <w:t>vailable care. The FDA’s Fast Track process is designed to facilitate the development and expedite the review of drugs that treat serious conditions and fill an unmet medical need. Fast Track designation allows more frequent meetings and communications wit</w:t>
      </w:r>
      <w:r>
        <w:rPr>
          <w:sz w:val="20"/>
          <w:szCs w:val="20"/>
        </w:rPr>
        <w:t xml:space="preserve">h the FDA to discuss the drug’s development plans and review process. The Fast Track designation also allows for the possibility for rolling review of a BLA by FDA, and also potential eligibility if certain criteria are met for accelerated approval. </w:t>
      </w:r>
    </w:p>
    <w:p w:rsidR="00000000" w:rsidRDefault="00F22B2C">
      <w:pPr>
        <w:pStyle w:val="a3"/>
        <w:spacing w:before="0" w:beforeAutospacing="0" w:after="240" w:afterAutospacing="0"/>
        <w:divId w:val="1619918964"/>
        <w:rPr>
          <w:sz w:val="20"/>
          <w:szCs w:val="20"/>
        </w:rPr>
      </w:pPr>
      <w:r>
        <w:rPr>
          <w:b/>
          <w:bCs/>
          <w:sz w:val="20"/>
          <w:szCs w:val="20"/>
        </w:rPr>
        <w:t>Regen</w:t>
      </w:r>
      <w:r>
        <w:rPr>
          <w:b/>
          <w:bCs/>
          <w:sz w:val="20"/>
          <w:szCs w:val="20"/>
        </w:rPr>
        <w:t>erative Medicine Advanced Therapy Designation</w:t>
      </w:r>
    </w:p>
    <w:p w:rsidR="00000000" w:rsidRDefault="00F22B2C">
      <w:pPr>
        <w:pStyle w:val="a3"/>
        <w:spacing w:before="0" w:beforeAutospacing="0" w:after="240" w:afterAutospacing="0"/>
        <w:ind w:firstLine="547"/>
        <w:divId w:val="1619918964"/>
        <w:rPr>
          <w:sz w:val="20"/>
          <w:szCs w:val="20"/>
        </w:rPr>
      </w:pPr>
      <w:r>
        <w:rPr>
          <w:sz w:val="20"/>
          <w:szCs w:val="20"/>
        </w:rPr>
        <w:t xml:space="preserve">In October 2018, we announced that the FDA had granted RMAT designation for lifileucel for the treatment of patients with metastatic melanoma. The RMAT designation is based on data provided to the FDA from our </w:t>
      </w:r>
      <w:r>
        <w:rPr>
          <w:sz w:val="20"/>
          <w:szCs w:val="20"/>
        </w:rPr>
        <w:t>C-144-01 trial. RMAT designation is granted for regenerative medicine drugs and allows for increased access to FDA during development. Under this designation, surrogate endpoints can be used to receive approval for a product, accelerated approval may be gr</w:t>
      </w:r>
      <w:r>
        <w:rPr>
          <w:sz w:val="20"/>
          <w:szCs w:val="20"/>
        </w:rPr>
        <w:t>anted, and a rolling review of a BLA may be permitted by FDA.</w:t>
      </w:r>
    </w:p>
    <w:p w:rsidR="00000000" w:rsidRDefault="00F22B2C">
      <w:pPr>
        <w:pStyle w:val="a3"/>
        <w:spacing w:before="0" w:beforeAutospacing="0" w:after="240" w:afterAutospacing="0"/>
        <w:divId w:val="1619918964"/>
        <w:rPr>
          <w:sz w:val="20"/>
          <w:szCs w:val="20"/>
        </w:rPr>
      </w:pPr>
      <w:r>
        <w:rPr>
          <w:b/>
          <w:bCs/>
          <w:sz w:val="20"/>
          <w:szCs w:val="20"/>
        </w:rPr>
        <w:t>Breakthrough Therapy Designation</w:t>
      </w:r>
    </w:p>
    <w:p w:rsidR="00000000" w:rsidRDefault="00F22B2C">
      <w:pPr>
        <w:pStyle w:val="a3"/>
        <w:spacing w:before="0" w:beforeAutospacing="0" w:after="240" w:afterAutospacing="0"/>
        <w:ind w:firstLine="547"/>
        <w:divId w:val="1619918964"/>
        <w:rPr>
          <w:sz w:val="20"/>
          <w:szCs w:val="20"/>
        </w:rPr>
      </w:pPr>
      <w:r>
        <w:rPr>
          <w:sz w:val="20"/>
          <w:szCs w:val="20"/>
        </w:rPr>
        <w:t>In May 2019, we announced that the FDA had granted Breakthrough Therapy Designation, or BTD, for lifileucel for the treatment of patients with metastatic cervica</w:t>
      </w:r>
      <w:r>
        <w:rPr>
          <w:sz w:val="20"/>
          <w:szCs w:val="20"/>
        </w:rPr>
        <w:t>l cancer.  The BTD was granted based on data provided to the FDA from our C-145-04 trial. Under a BTD, the FDA may take actions that help expedite the development and review of the application for a product candidate, including seeking to provide timely ad</w:t>
      </w:r>
      <w:r>
        <w:rPr>
          <w:sz w:val="20"/>
          <w:szCs w:val="20"/>
        </w:rPr>
        <w:t>vice and interactive communications to the sponsor with intensive guidance during development, to help the sponsor design and conduct a more efficient development program. Product candidates with BTD may be suitable for alternative clinical trial designs w</w:t>
      </w:r>
      <w:r>
        <w:rPr>
          <w:sz w:val="20"/>
          <w:szCs w:val="20"/>
        </w:rPr>
        <w:t>hen scientifically appropriate, which may result in smaller trials or more efficient trials that require less time to complete. BTD also allows the sponsor to file sections of the BLA on an ongoing basis for rolling review where the FDA may consider beginn</w:t>
      </w:r>
      <w:r>
        <w:rPr>
          <w:sz w:val="20"/>
          <w:szCs w:val="20"/>
        </w:rPr>
        <w:t>ing review portions of a marketing application before the full submission is complete. In addition, BTD status allows for the potential to request priority review of our BLA at the time of BLA submission if supported by clinical data. The clinical evidence</w:t>
      </w:r>
      <w:r>
        <w:rPr>
          <w:sz w:val="20"/>
          <w:szCs w:val="20"/>
        </w:rPr>
        <w:t xml:space="preserve"> needed to support breakthrough designation is preliminary, and the FDA has authority to rescind a BTD if a product candidate no longer meets the qualifying criteria.</w:t>
      </w:r>
    </w:p>
    <w:p w:rsidR="00000000" w:rsidRDefault="00F22B2C">
      <w:pPr>
        <w:pStyle w:val="a3"/>
        <w:spacing w:before="0" w:beforeAutospacing="0" w:after="240" w:afterAutospacing="0"/>
        <w:divId w:val="1619918964"/>
        <w:rPr>
          <w:sz w:val="20"/>
          <w:szCs w:val="20"/>
        </w:rPr>
      </w:pPr>
      <w:r>
        <w:rPr>
          <w:b/>
          <w:bCs/>
          <w:sz w:val="20"/>
          <w:szCs w:val="20"/>
        </w:rPr>
        <w:t>Commercialization Plan</w:t>
      </w:r>
    </w:p>
    <w:p w:rsidR="00000000" w:rsidRDefault="00F22B2C">
      <w:pPr>
        <w:pStyle w:val="a3"/>
        <w:spacing w:before="0" w:beforeAutospacing="0" w:after="240" w:afterAutospacing="0"/>
        <w:ind w:firstLine="547"/>
        <w:divId w:val="1619918964"/>
        <w:rPr>
          <w:sz w:val="20"/>
          <w:szCs w:val="20"/>
        </w:rPr>
      </w:pPr>
      <w:r>
        <w:rPr>
          <w:sz w:val="20"/>
          <w:szCs w:val="20"/>
        </w:rPr>
        <w:t>We currently have limited sales, marketing or commercial product d</w:t>
      </w:r>
      <w:r>
        <w:rPr>
          <w:sz w:val="20"/>
          <w:szCs w:val="20"/>
        </w:rPr>
        <w:t>istribution capabilities and as a company we have no experience in commercializing cell therapy products. We are continuing to build our U.S. commercial and medical affairs infrastructure and intend to build our own global commercialization capabilities ov</w:t>
      </w:r>
      <w:r>
        <w:rPr>
          <w:sz w:val="20"/>
          <w:szCs w:val="20"/>
        </w:rPr>
        <w:t>er time in certain geographies for our TIL product candidates including lifileucel for metastatic melanoma and cervical cancer. If any of our TIL product candidates are approved, we expect to commercialize those products in the U.S. with an experienced sal</w:t>
      </w:r>
      <w:r>
        <w:rPr>
          <w:sz w:val="20"/>
          <w:szCs w:val="20"/>
        </w:rPr>
        <w:t>es, marketing, payer access and distribution organization including a national specialty oncology sales force. We have started and continue to build a dedicated team of medical affairs professionals to help educate health professionals about our TIL therap</w:t>
      </w:r>
      <w:r>
        <w:rPr>
          <w:sz w:val="20"/>
          <w:szCs w:val="20"/>
        </w:rPr>
        <w:t>y and to assist in any training necessary for individual centers to administer our therapy. Outside the U.S., we are in the process of defining our regulatory and commercial strategy. As additional product candidates advance through our pipeline, our comme</w:t>
      </w:r>
      <w:r>
        <w:rPr>
          <w:sz w:val="20"/>
          <w:szCs w:val="20"/>
        </w:rPr>
        <w:t>rcial plans will evolve as we consider elements such as the market potential.</w:t>
      </w:r>
    </w:p>
    <w:p w:rsidR="00000000" w:rsidRDefault="00F22B2C">
      <w:pPr>
        <w:pStyle w:val="a3"/>
        <w:spacing w:before="480" w:beforeAutospacing="0" w:after="0" w:afterAutospacing="0"/>
        <w:jc w:val="center"/>
        <w:divId w:val="1460220903"/>
        <w:rPr>
          <w:sz w:val="20"/>
          <w:szCs w:val="20"/>
        </w:rPr>
      </w:pPr>
      <w:r>
        <w:rPr>
          <w:sz w:val="20"/>
          <w:szCs w:val="20"/>
        </w:rPr>
        <w:t>19</w:t>
      </w:r>
    </w:p>
    <w:p w:rsidR="00000000" w:rsidRDefault="00F22B2C">
      <w:pPr>
        <w:pStyle w:val="a3"/>
        <w:spacing w:before="0" w:beforeAutospacing="0" w:after="600" w:afterAutospacing="0"/>
        <w:divId w:val="2033719781"/>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ind w:firstLine="547"/>
        <w:divId w:val="62458036"/>
        <w:rPr>
          <w:sz w:val="20"/>
          <w:szCs w:val="20"/>
        </w:rPr>
      </w:pPr>
      <w:r>
        <w:rPr>
          <w:sz w:val="20"/>
          <w:szCs w:val="20"/>
        </w:rPr>
        <w:t>The five primary areas of our pre-launch efforts include:</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62458036"/>
        </w:trPr>
        <w:tc>
          <w:tcPr>
            <w:tcW w:w="54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engagement with potential authorized treatment centers, or ATCs, for c</w:t>
            </w:r>
            <w:r>
              <w:rPr>
                <w:rFonts w:eastAsia="Times New Roman"/>
                <w:sz w:val="20"/>
                <w:szCs w:val="20"/>
              </w:rPr>
              <w:t>ommercial launch;</w:t>
            </w:r>
          </w:p>
        </w:tc>
      </w:tr>
    </w:tbl>
    <w:p w:rsidR="00000000" w:rsidRDefault="00F22B2C">
      <w:pPr>
        <w:divId w:val="624580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62458036"/>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development of a close collaboration with healthcare professionals, or HCPs, who will be handling or administering our product;</w:t>
            </w:r>
          </w:p>
        </w:tc>
      </w:tr>
    </w:tbl>
    <w:p w:rsidR="00000000" w:rsidRDefault="00F22B2C">
      <w:pPr>
        <w:divId w:val="624580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62458036"/>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operational excellence by us in provision of our product;</w:t>
            </w:r>
          </w:p>
        </w:tc>
      </w:tr>
    </w:tbl>
    <w:p w:rsidR="00000000" w:rsidRDefault="00F22B2C">
      <w:pPr>
        <w:divId w:val="624580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62458036"/>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communication with payors; and</w:t>
            </w:r>
          </w:p>
        </w:tc>
      </w:tr>
    </w:tbl>
    <w:p w:rsidR="00000000" w:rsidRDefault="00F22B2C">
      <w:pPr>
        <w:divId w:val="624580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62458036"/>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building a patient-centr</w:t>
            </w:r>
            <w:r>
              <w:rPr>
                <w:rFonts w:eastAsia="Times New Roman"/>
                <w:sz w:val="20"/>
                <w:szCs w:val="20"/>
              </w:rPr>
              <w:t>ic organization.</w:t>
            </w:r>
          </w:p>
        </w:tc>
      </w:tr>
    </w:tbl>
    <w:p w:rsidR="00000000" w:rsidRDefault="00F22B2C">
      <w:pPr>
        <w:pStyle w:val="a3"/>
        <w:spacing w:before="0" w:beforeAutospacing="0" w:after="240" w:afterAutospacing="0"/>
        <w:ind w:firstLine="547"/>
        <w:divId w:val="62458036"/>
        <w:rPr>
          <w:sz w:val="20"/>
          <w:szCs w:val="20"/>
        </w:rPr>
      </w:pPr>
      <w:r>
        <w:rPr>
          <w:sz w:val="20"/>
          <w:szCs w:val="20"/>
        </w:rPr>
        <w:t>To date, in the U.S., lifileucel has been administered in 19 clinical trial centers for melanoma. We anticipate that these clinical trial centers will be among the initial 40 ATCs at launch upon approval.</w:t>
      </w:r>
    </w:p>
    <w:p w:rsidR="00000000" w:rsidRDefault="00F22B2C">
      <w:pPr>
        <w:pStyle w:val="a3"/>
        <w:spacing w:before="0" w:beforeAutospacing="0" w:after="240" w:afterAutospacing="0"/>
        <w:divId w:val="62458036"/>
        <w:rPr>
          <w:sz w:val="20"/>
          <w:szCs w:val="20"/>
        </w:rPr>
      </w:pPr>
      <w:r>
        <w:rPr>
          <w:b/>
          <w:bCs/>
          <w:sz w:val="20"/>
          <w:szCs w:val="20"/>
        </w:rPr>
        <w:t>Intellectual Property</w:t>
      </w:r>
    </w:p>
    <w:p w:rsidR="00000000" w:rsidRDefault="00F22B2C">
      <w:pPr>
        <w:pStyle w:val="a3"/>
        <w:spacing w:before="0" w:beforeAutospacing="0" w:after="240" w:afterAutospacing="0"/>
        <w:ind w:firstLine="547"/>
        <w:divId w:val="62458036"/>
        <w:rPr>
          <w:sz w:val="20"/>
          <w:szCs w:val="20"/>
        </w:rPr>
      </w:pPr>
      <w:r>
        <w:rPr>
          <w:sz w:val="20"/>
          <w:szCs w:val="20"/>
        </w:rPr>
        <w:t>Intellectual property is of importance in our field and in biotechnology generally. We seek to protect and enhance proprietary technology, inventions, and improvements that are commercially important to the development of our business by seeking, maintaini</w:t>
      </w:r>
      <w:r>
        <w:rPr>
          <w:sz w:val="20"/>
          <w:szCs w:val="20"/>
        </w:rPr>
        <w:t>ng, and defending patent rights, whether developed internally or licensed from third parties. We also plan to rely on regulatory protection afforded through ODDs, available regulatory exclusivities and patent term extensions where available. To achieve thi</w:t>
      </w:r>
      <w:r>
        <w:rPr>
          <w:sz w:val="20"/>
          <w:szCs w:val="20"/>
        </w:rPr>
        <w:t>s objective, a strategic focus for us has been to develop our own intellectual property, while also identifying and licensing patents that provide protection and serve as an optimal platform to enhance our intellectual property and technology base. We expe</w:t>
      </w:r>
      <w:r>
        <w:rPr>
          <w:sz w:val="20"/>
          <w:szCs w:val="20"/>
        </w:rPr>
        <w:t>ct to further develop our patent portfolio as a strategic focus in 2021.</w:t>
      </w:r>
    </w:p>
    <w:p w:rsidR="00000000" w:rsidRDefault="00F22B2C">
      <w:pPr>
        <w:pStyle w:val="a3"/>
        <w:spacing w:before="0" w:beforeAutospacing="0" w:after="240" w:afterAutospacing="0"/>
        <w:ind w:firstLine="547"/>
        <w:divId w:val="62458036"/>
        <w:rPr>
          <w:sz w:val="20"/>
          <w:szCs w:val="20"/>
        </w:rPr>
      </w:pPr>
      <w:r>
        <w:rPr>
          <w:sz w:val="20"/>
          <w:szCs w:val="20"/>
        </w:rPr>
        <w:t>We have developed our own patent portfolio based on internal research and development activities. As a result, we now own a number of pending patent applications and granted patents i</w:t>
      </w:r>
      <w:r>
        <w:rPr>
          <w:sz w:val="20"/>
          <w:szCs w:val="20"/>
        </w:rPr>
        <w:t>n the fields of TIL therapy, MIL therapy, and PBL therapy, TIL, MIL, and PBL manufacturing processes, and TIL, MIL, and PBL expansion methods. For example, we currently own more than 35 U.S. patents related to TIL therapy, including patents directed to com</w:t>
      </w:r>
      <w:r>
        <w:rPr>
          <w:sz w:val="20"/>
          <w:szCs w:val="20"/>
        </w:rPr>
        <w:t>positions and methods of treatment in a broad range of cancers, such as U.S. Patent Nos. 10,130,659; 10,166,257; 10,272,113; 10,363,273; 10,398,734; 10,420,799; 10,463,697; 10,517,894; 10,537,595; 10,639,330; 10,646,517; 10,653,723; 10,695,372; 10,894,063;</w:t>
      </w:r>
      <w:r>
        <w:rPr>
          <w:sz w:val="20"/>
          <w:szCs w:val="20"/>
        </w:rPr>
        <w:t xml:space="preserve"> 10,905,718; 10,918,666; 10,925,900; 10,933,094; 10,946,044; 10,946,045; 10,953,046; 10,953,047; 11,007,225; 11,007,226; 11,013,770; 11,026,974; 11,040,070; 11,052,115; 11,052,116; 11,058,728; 11,083,752; 11,123,371; 11,141,438 11,168,303; 11,168,304; 11,1</w:t>
      </w:r>
      <w:r>
        <w:rPr>
          <w:sz w:val="20"/>
          <w:szCs w:val="20"/>
        </w:rPr>
        <w:t>79,419; 11,202,803; 11,202,804; and 11,241,456. More than 30 of these patents are related to our Gen 2 TIL manufacturing processes and have terms that we anticipate will extend to January 2038, not including any patent term extensions or adjustments that m</w:t>
      </w:r>
      <w:r>
        <w:rPr>
          <w:sz w:val="20"/>
          <w:szCs w:val="20"/>
        </w:rPr>
        <w:t xml:space="preserve">ay be available. Our owned and licensed intellectual property portfolio also includes patent applications relating to TIL, MIL, and PBL therapies; frozen tumor-based TIL technologies; remnant TIL and digest TIL compositions, methods and processes; methods </w:t>
      </w:r>
      <w:r>
        <w:rPr>
          <w:sz w:val="20"/>
          <w:szCs w:val="20"/>
        </w:rPr>
        <w:t>of treatment of a broad range of cancers using TIL therapies; methods of manufacturing TIL, MIL, and PBL therapies; the use of costimulatory molecules in TIL therapy and manufacturing; stable and transient genetically-modified TIL therapies; methods of usi</w:t>
      </w:r>
      <w:r>
        <w:rPr>
          <w:sz w:val="20"/>
          <w:szCs w:val="20"/>
        </w:rPr>
        <w:t>ng ICIs in combination with TIL therapies; TIL selection technologies; and methods of treating patient subpopulations</w:t>
      </w:r>
      <w:r>
        <w:rPr>
          <w:sz w:val="20"/>
          <w:szCs w:val="20"/>
        </w:rPr>
        <w:t>.</w:t>
      </w:r>
    </w:p>
    <w:p w:rsidR="00000000" w:rsidRDefault="00F22B2C">
      <w:pPr>
        <w:pStyle w:val="a3"/>
        <w:spacing w:before="0" w:beforeAutospacing="0" w:after="240" w:afterAutospacing="0"/>
        <w:divId w:val="62458036"/>
        <w:rPr>
          <w:sz w:val="20"/>
          <w:szCs w:val="20"/>
        </w:rPr>
      </w:pPr>
      <w:r>
        <w:rPr>
          <w:b/>
          <w:bCs/>
          <w:sz w:val="20"/>
          <w:szCs w:val="20"/>
        </w:rPr>
        <w:t>Research, Development and License Agreements</w:t>
      </w:r>
    </w:p>
    <w:p w:rsidR="00000000" w:rsidRDefault="00F22B2C">
      <w:pPr>
        <w:pStyle w:val="a3"/>
        <w:spacing w:before="0" w:beforeAutospacing="0" w:after="240" w:afterAutospacing="0"/>
        <w:ind w:firstLine="547"/>
        <w:divId w:val="62458036"/>
        <w:rPr>
          <w:sz w:val="20"/>
          <w:szCs w:val="20"/>
        </w:rPr>
      </w:pPr>
      <w:r>
        <w:rPr>
          <w:sz w:val="20"/>
          <w:szCs w:val="20"/>
        </w:rPr>
        <w:t>Currently, preclinical research and development is conducted primarily at our own internal r</w:t>
      </w:r>
      <w:r>
        <w:rPr>
          <w:sz w:val="20"/>
          <w:szCs w:val="20"/>
        </w:rPr>
        <w:t>esearch and development laboratory in Tampa, Florida, and additionally with the NCI, Moffitt, and MDACC, as described below. We sponsor our own clinical trials and also collaborate on investigator-sponsored clinical trials with the NCI, Moffitt, and MDACC.</w:t>
      </w:r>
    </w:p>
    <w:p w:rsidR="00000000" w:rsidRDefault="00F22B2C">
      <w:pPr>
        <w:pStyle w:val="a3"/>
        <w:spacing w:before="0" w:beforeAutospacing="0" w:after="240" w:afterAutospacing="0"/>
        <w:ind w:firstLine="547"/>
        <w:divId w:val="62458036"/>
        <w:rPr>
          <w:sz w:val="20"/>
          <w:szCs w:val="20"/>
        </w:rPr>
      </w:pPr>
      <w:r>
        <w:rPr>
          <w:sz w:val="20"/>
          <w:szCs w:val="20"/>
        </w:rPr>
        <w:t>In addition, we hold exclusive, co-exclusive, and non-exclusive licenses to certain patent and other intellectual property rights with the NIH, an agency of the U.S. Public Health Service within the Department of Health and Human Services, Moffitt, MDACC,</w:t>
      </w:r>
      <w:r>
        <w:rPr>
          <w:sz w:val="20"/>
          <w:szCs w:val="20"/>
        </w:rPr>
        <w:t xml:space="preserve"> Novartis, and Cellectis as described in this Annual Report on Form 10-K.</w:t>
      </w:r>
    </w:p>
    <w:p w:rsidR="00000000" w:rsidRDefault="00F22B2C">
      <w:pPr>
        <w:pStyle w:val="a3"/>
        <w:spacing w:before="0" w:beforeAutospacing="0" w:after="240" w:afterAutospacing="0"/>
        <w:divId w:val="62458036"/>
        <w:rPr>
          <w:sz w:val="20"/>
          <w:szCs w:val="20"/>
        </w:rPr>
      </w:pPr>
      <w:r>
        <w:rPr>
          <w:b/>
          <w:bCs/>
          <w:i/>
          <w:iCs/>
          <w:sz w:val="20"/>
          <w:szCs w:val="20"/>
        </w:rPr>
        <w:t>National Institutes of Health and the National Cancer Institute</w:t>
      </w:r>
    </w:p>
    <w:p w:rsidR="00000000" w:rsidRDefault="00F22B2C">
      <w:pPr>
        <w:pStyle w:val="a3"/>
        <w:spacing w:before="0" w:beforeAutospacing="0" w:after="240" w:afterAutospacing="0"/>
        <w:divId w:val="62458036"/>
        <w:rPr>
          <w:sz w:val="20"/>
          <w:szCs w:val="20"/>
        </w:rPr>
      </w:pPr>
      <w:r>
        <w:rPr>
          <w:i/>
          <w:iCs/>
          <w:sz w:val="20"/>
          <w:szCs w:val="20"/>
        </w:rPr>
        <w:t>Cooperative Research and Development Agreement</w:t>
      </w:r>
    </w:p>
    <w:p w:rsidR="00000000" w:rsidRDefault="00F22B2C">
      <w:pPr>
        <w:pStyle w:val="a3"/>
        <w:spacing w:before="0" w:beforeAutospacing="0" w:after="240" w:afterAutospacing="0"/>
        <w:ind w:firstLine="547"/>
        <w:divId w:val="62458036"/>
        <w:rPr>
          <w:sz w:val="20"/>
          <w:szCs w:val="20"/>
        </w:rPr>
      </w:pPr>
      <w:r>
        <w:rPr>
          <w:sz w:val="20"/>
          <w:szCs w:val="20"/>
        </w:rPr>
        <w:t xml:space="preserve">In August 2011, we signed a five-year CRADA with the NCI, to work with </w:t>
      </w:r>
      <w:r>
        <w:rPr>
          <w:sz w:val="20"/>
          <w:szCs w:val="20"/>
        </w:rPr>
        <w:t>Dr. Steven Rosenberg on developing adoptive cell immunotherapies that are designed to destroy metastatic melanoma cells.</w:t>
      </w:r>
    </w:p>
    <w:p w:rsidR="00000000" w:rsidRDefault="00F22B2C">
      <w:pPr>
        <w:pStyle w:val="a3"/>
        <w:spacing w:before="480" w:beforeAutospacing="0" w:after="0" w:afterAutospacing="0"/>
        <w:jc w:val="center"/>
        <w:divId w:val="1937980343"/>
        <w:rPr>
          <w:sz w:val="20"/>
          <w:szCs w:val="20"/>
        </w:rPr>
      </w:pPr>
      <w:r>
        <w:rPr>
          <w:sz w:val="20"/>
          <w:szCs w:val="20"/>
        </w:rPr>
        <w:t>20</w:t>
      </w:r>
    </w:p>
    <w:p w:rsidR="00000000" w:rsidRDefault="00F22B2C">
      <w:pPr>
        <w:pStyle w:val="a3"/>
        <w:spacing w:before="0" w:beforeAutospacing="0" w:after="600" w:afterAutospacing="0"/>
        <w:divId w:val="1372415298"/>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ind w:firstLine="547"/>
        <w:divId w:val="780075352"/>
        <w:rPr>
          <w:sz w:val="20"/>
          <w:szCs w:val="20"/>
        </w:rPr>
      </w:pPr>
      <w:r>
        <w:rPr>
          <w:sz w:val="20"/>
          <w:szCs w:val="20"/>
        </w:rPr>
        <w:t xml:space="preserve">In January 2015, we executed an amendment to the CRADA to include four new indications. </w:t>
      </w:r>
      <w:r>
        <w:rPr>
          <w:sz w:val="20"/>
          <w:szCs w:val="20"/>
        </w:rPr>
        <w:t xml:space="preserve">As amended, in addition to metastatic melanoma, the CRADA included the development of TIL therapy for the treatment of patients with bladder, lung, triple-negative breast, and cancers associated with HPV. </w:t>
      </w:r>
    </w:p>
    <w:p w:rsidR="00000000" w:rsidRDefault="00F22B2C">
      <w:pPr>
        <w:pStyle w:val="a3"/>
        <w:spacing w:before="0" w:beforeAutospacing="0" w:after="240" w:afterAutospacing="0"/>
        <w:ind w:firstLine="547"/>
        <w:divId w:val="780075352"/>
        <w:rPr>
          <w:sz w:val="20"/>
          <w:szCs w:val="20"/>
        </w:rPr>
      </w:pPr>
      <w:r>
        <w:rPr>
          <w:sz w:val="20"/>
          <w:szCs w:val="20"/>
        </w:rPr>
        <w:t>In August 2016, the NCI and we entered into a seco</w:t>
      </w:r>
      <w:r>
        <w:rPr>
          <w:sz w:val="20"/>
          <w:szCs w:val="20"/>
        </w:rPr>
        <w:t xml:space="preserve">nd amendment to the CRADA. The principal changes effected by the second amendment included (i) extending the term of the CRADA by another five years to August 2021, and (ii) modifying the focus on the development of unmodified TIL as a stand-alone therapy </w:t>
      </w:r>
      <w:r>
        <w:rPr>
          <w:sz w:val="20"/>
          <w:szCs w:val="20"/>
        </w:rPr>
        <w:t>or in combination with products licensed by the FDA, and commercially available reagents routinely used for adoptive cell therapy. The parties have continued the development of improved methods for the generation and selection of TIL with anti-tumor reacti</w:t>
      </w:r>
      <w:r>
        <w:rPr>
          <w:sz w:val="20"/>
          <w:szCs w:val="20"/>
        </w:rPr>
        <w:t>vity in metastatic melanoma, bladder, lung, breast, and HPV-associated cancers.</w:t>
      </w:r>
    </w:p>
    <w:p w:rsidR="00000000" w:rsidRDefault="00F22B2C">
      <w:pPr>
        <w:pStyle w:val="a3"/>
        <w:spacing w:before="0" w:beforeAutospacing="0" w:after="240" w:afterAutospacing="0"/>
        <w:ind w:firstLine="547"/>
        <w:divId w:val="780075352"/>
        <w:rPr>
          <w:sz w:val="20"/>
          <w:szCs w:val="20"/>
        </w:rPr>
      </w:pPr>
      <w:r>
        <w:rPr>
          <w:sz w:val="20"/>
          <w:szCs w:val="20"/>
        </w:rPr>
        <w:t>In August 2021, the NCI and we entered into a third amendment to the CRADA. The third amendment, among other things, extended the term of the CRADA by three years to August 202</w:t>
      </w:r>
      <w:r>
        <w:rPr>
          <w:sz w:val="20"/>
          <w:szCs w:val="20"/>
        </w:rPr>
        <w:t>4. The research plan in this amendment includes the evaluation in clinical trials of strategies for development of more potent TILs, such as selection of CD39/69 double negative cells and the use of certain inhibitors or other reagents in TIL expansion cul</w:t>
      </w:r>
      <w:r>
        <w:rPr>
          <w:sz w:val="20"/>
          <w:szCs w:val="20"/>
        </w:rPr>
        <w:t>tures.</w:t>
      </w:r>
    </w:p>
    <w:p w:rsidR="00000000" w:rsidRDefault="00F22B2C">
      <w:pPr>
        <w:pStyle w:val="a3"/>
        <w:spacing w:before="0" w:beforeAutospacing="0" w:after="240" w:afterAutospacing="0"/>
        <w:ind w:firstLine="547"/>
        <w:divId w:val="780075352"/>
        <w:rPr>
          <w:sz w:val="20"/>
          <w:szCs w:val="20"/>
        </w:rPr>
      </w:pPr>
      <w:r>
        <w:rPr>
          <w:sz w:val="20"/>
          <w:szCs w:val="20"/>
        </w:rPr>
        <w:t>Pursuant to the terms of the CRADA, as amended, we are required to make quarterly payments of $0.5 million to the NCI for support of research activities. To the extent we license patent rights relating to a TIL-based product candidate, we will be re</w:t>
      </w:r>
      <w:r>
        <w:rPr>
          <w:sz w:val="20"/>
          <w:szCs w:val="20"/>
        </w:rPr>
        <w:t>sponsible for all patent-related expenses and fees, past and future, relating to the TIL-based product candidate. In addition, we may be required to supply certain test articles, including TIL, grown and processed under cGMP conditions, suitable for use in</w:t>
      </w:r>
      <w:r>
        <w:rPr>
          <w:sz w:val="20"/>
          <w:szCs w:val="20"/>
        </w:rPr>
        <w:t xml:space="preserve"> clinical trials. We or the NCI may unilaterally terminate the CRADA for any reason or for no reason at any time by providing written notice at least 60 days before the desired termination date.</w:t>
      </w:r>
    </w:p>
    <w:p w:rsidR="00000000" w:rsidRDefault="00F22B2C">
      <w:pPr>
        <w:pStyle w:val="a3"/>
        <w:spacing w:before="0" w:beforeAutospacing="0" w:after="240" w:afterAutospacing="0"/>
        <w:divId w:val="780075352"/>
        <w:rPr>
          <w:sz w:val="20"/>
          <w:szCs w:val="20"/>
        </w:rPr>
      </w:pPr>
      <w:r>
        <w:rPr>
          <w:i/>
          <w:iCs/>
          <w:sz w:val="20"/>
          <w:szCs w:val="20"/>
        </w:rPr>
        <w:t>Patent License Agreement Related to the Development and Manuf</w:t>
      </w:r>
      <w:r>
        <w:rPr>
          <w:i/>
          <w:iCs/>
          <w:sz w:val="20"/>
          <w:szCs w:val="20"/>
        </w:rPr>
        <w:t>acture of TIL</w:t>
      </w:r>
    </w:p>
    <w:p w:rsidR="00000000" w:rsidRDefault="00F22B2C">
      <w:pPr>
        <w:pStyle w:val="a3"/>
        <w:spacing w:before="0" w:beforeAutospacing="0" w:after="240" w:afterAutospacing="0"/>
        <w:ind w:firstLine="547"/>
        <w:divId w:val="780075352"/>
        <w:rPr>
          <w:sz w:val="20"/>
          <w:szCs w:val="20"/>
        </w:rPr>
      </w:pPr>
      <w:r>
        <w:rPr>
          <w:sz w:val="20"/>
          <w:szCs w:val="20"/>
        </w:rPr>
        <w:t xml:space="preserve">Effective October 5, 2011, we entered into an Exclusive Patent License Agreement, or the Patent License Agreement, with the NIH, which was subsequently amended on February 9, 2015 and October 2, 2015. Pursuant to the Patent License Agreement </w:t>
      </w:r>
      <w:r>
        <w:rPr>
          <w:sz w:val="20"/>
          <w:szCs w:val="20"/>
        </w:rPr>
        <w:t>as amended, the NIH granted us licenses, including exclusive, co-exclusive, and non-exclusive licenses, to certain technologies relating to autologous tumor infiltrating lymphocyte adoptive cell therapy products for the treatment of metastatic melanoma, lu</w:t>
      </w:r>
      <w:r>
        <w:rPr>
          <w:sz w:val="20"/>
          <w:szCs w:val="20"/>
        </w:rPr>
        <w:t>ng, breast, bladder and HPV-positive cancers, or collectively the Indications. The Patent License Agreement requires us to pay royalties based on a percentage of net sales (which percentage is in the mid-single digits), a percentage of revenues from sublic</w:t>
      </w:r>
      <w:r>
        <w:rPr>
          <w:sz w:val="20"/>
          <w:szCs w:val="20"/>
        </w:rPr>
        <w:t xml:space="preserve">ensing arrangements, and lump sum benchmark royalty payments on the achievement of certain clinical and regulatory milestones for each of the Indications and other direct costs incurred by the NIH pursuant to the agreement. </w:t>
      </w:r>
    </w:p>
    <w:p w:rsidR="00000000" w:rsidRDefault="00F22B2C">
      <w:pPr>
        <w:pStyle w:val="a3"/>
        <w:spacing w:before="0" w:beforeAutospacing="0" w:after="240" w:afterAutospacing="0"/>
        <w:ind w:firstLine="547"/>
        <w:divId w:val="780075352"/>
        <w:rPr>
          <w:sz w:val="20"/>
          <w:szCs w:val="20"/>
        </w:rPr>
      </w:pPr>
      <w:r>
        <w:rPr>
          <w:sz w:val="20"/>
          <w:szCs w:val="20"/>
        </w:rPr>
        <w:t>Effective May 6, 2021, we enter</w:t>
      </w:r>
      <w:r>
        <w:rPr>
          <w:sz w:val="20"/>
          <w:szCs w:val="20"/>
        </w:rPr>
        <w:t>ed into an Amended and Restated Patent License Agreement with NIH, or the Amended and Restated Patent License Agreement, which includes the grant of additional exclusive, worldwide patent rights in the Indications to cytokine-tethered TIL technology, and e</w:t>
      </w:r>
      <w:r>
        <w:rPr>
          <w:sz w:val="20"/>
          <w:szCs w:val="20"/>
        </w:rPr>
        <w:t xml:space="preserve">xpands the non-exclusive, worldwide field of use to all cancers. The Amended and Restated Patent License Agreement requires us to pay royalties based on a percentage of net sales in jurisdictions where patent rights exist, which percentage can fall into a </w:t>
      </w:r>
      <w:r>
        <w:rPr>
          <w:sz w:val="20"/>
          <w:szCs w:val="20"/>
        </w:rPr>
        <w:t>tier that may be less than one percent to mid-single digits depending upon certain events, including the exclusivity of the rights, and we expect lower overall royalty payments as a result. We also agreed to pay potential milestone payments on the achievem</w:t>
      </w:r>
      <w:r>
        <w:rPr>
          <w:sz w:val="20"/>
          <w:szCs w:val="20"/>
        </w:rPr>
        <w:t>ent of certain clinical, regulatory, and commercial sales milestones for each of the Indications and other direct costs incurred by the NIH pursuant to the Amended and Restated Patent License Agreement, as well as a percentage of revenues from sublicensing</w:t>
      </w:r>
      <w:r>
        <w:rPr>
          <w:sz w:val="20"/>
          <w:szCs w:val="20"/>
        </w:rPr>
        <w:t xml:space="preserve"> arrangements. We anticipate making milestone payments, including a payment in the low single-digit millions of dollars, in conjunction with the approval of a BLA for any of our product candidates covered by the Amended and Restated Patent License Agreemen</w:t>
      </w:r>
      <w:r>
        <w:rPr>
          <w:sz w:val="20"/>
          <w:szCs w:val="20"/>
        </w:rPr>
        <w:t>t. The term of the Amended and Restated Patent License Agreement continues until the expiry of the last-to-expire patent rights licensed thereunder, and the agreement contains standard termination provisions.</w:t>
      </w:r>
    </w:p>
    <w:p w:rsidR="00000000" w:rsidRDefault="00F22B2C">
      <w:pPr>
        <w:pStyle w:val="a3"/>
        <w:spacing w:before="0" w:beforeAutospacing="0" w:after="240" w:afterAutospacing="0"/>
        <w:divId w:val="780075352"/>
        <w:rPr>
          <w:sz w:val="20"/>
          <w:szCs w:val="20"/>
        </w:rPr>
      </w:pPr>
      <w:r>
        <w:rPr>
          <w:i/>
          <w:iCs/>
          <w:sz w:val="20"/>
          <w:szCs w:val="20"/>
        </w:rPr>
        <w:t>Exclusive Patent License Agreement Related to T</w:t>
      </w:r>
      <w:r>
        <w:rPr>
          <w:i/>
          <w:iCs/>
          <w:sz w:val="20"/>
          <w:szCs w:val="20"/>
        </w:rPr>
        <w:t>IL Selection</w:t>
      </w:r>
    </w:p>
    <w:p w:rsidR="00000000" w:rsidRDefault="00F22B2C">
      <w:pPr>
        <w:pStyle w:val="a3"/>
        <w:spacing w:before="0" w:beforeAutospacing="0" w:after="0" w:afterAutospacing="0"/>
        <w:ind w:firstLine="547"/>
        <w:divId w:val="780075352"/>
        <w:rPr>
          <w:sz w:val="20"/>
          <w:szCs w:val="20"/>
        </w:rPr>
      </w:pPr>
      <w:r>
        <w:rPr>
          <w:sz w:val="20"/>
          <w:szCs w:val="20"/>
        </w:rPr>
        <w:t>On February 10, 2015, we entered into an exclusive patent license agreement, or the Exclusive Patent License Agreement, with the NIH under which we received an exclusive license to the NIH’s rights to patent-pending technologies related to met</w:t>
      </w:r>
      <w:r>
        <w:rPr>
          <w:sz w:val="20"/>
          <w:szCs w:val="20"/>
        </w:rPr>
        <w:t>hods for improving adoptive cell therapy through more potent and efficient production of TIL from melanoma tumors by selecting for T cell populations that express various inhibitory receptors. Unless terminated sooner, the license shall remain in effect un</w:t>
      </w:r>
      <w:r>
        <w:rPr>
          <w:sz w:val="20"/>
          <w:szCs w:val="20"/>
        </w:rPr>
        <w:t>til the last licensed patent right expires. Under the Exclusive Patent License Agreement, we agreed to pay customary royalties based on a percentage of net sales of a licensed product (which percentage is in the mid-single digits), a percentage of revenues</w:t>
      </w:r>
      <w:r>
        <w:rPr>
          <w:sz w:val="20"/>
          <w:szCs w:val="20"/>
        </w:rPr>
        <w:t xml:space="preserve"> from sublicensing </w:t>
      </w:r>
    </w:p>
    <w:p w:rsidR="00000000" w:rsidRDefault="00F22B2C">
      <w:pPr>
        <w:pStyle w:val="a3"/>
        <w:spacing w:before="480" w:beforeAutospacing="0" w:after="0" w:afterAutospacing="0"/>
        <w:jc w:val="center"/>
        <w:divId w:val="122114722"/>
        <w:rPr>
          <w:sz w:val="20"/>
          <w:szCs w:val="20"/>
        </w:rPr>
      </w:pPr>
      <w:r>
        <w:rPr>
          <w:sz w:val="20"/>
          <w:szCs w:val="20"/>
        </w:rPr>
        <w:t>21</w:t>
      </w:r>
    </w:p>
    <w:p w:rsidR="00000000" w:rsidRDefault="00F22B2C">
      <w:pPr>
        <w:pStyle w:val="a3"/>
        <w:spacing w:before="0" w:beforeAutospacing="0" w:after="600" w:afterAutospacing="0"/>
        <w:divId w:val="1447232216"/>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716583750"/>
        <w:rPr>
          <w:sz w:val="20"/>
          <w:szCs w:val="20"/>
        </w:rPr>
      </w:pPr>
      <w:r>
        <w:rPr>
          <w:sz w:val="20"/>
          <w:szCs w:val="20"/>
        </w:rPr>
        <w:t>arrangements, and lump sum benchmark payments upon the successful completion of clinical studies involving licensed technologies, the receipt of the first FDA approval or foreign equivalent</w:t>
      </w:r>
      <w:r>
        <w:rPr>
          <w:sz w:val="20"/>
          <w:szCs w:val="20"/>
        </w:rPr>
        <w:t xml:space="preserve"> for a licensed product or process resulting from the licensed technologies, the first commercial sale of a licensed product or process in the U.S., and the first commercial sale of a licensed product or process in any foreign country.</w:t>
      </w:r>
    </w:p>
    <w:p w:rsidR="00000000" w:rsidRDefault="00F22B2C">
      <w:pPr>
        <w:pStyle w:val="a3"/>
        <w:spacing w:before="0" w:beforeAutospacing="0" w:after="240" w:afterAutospacing="0"/>
        <w:divId w:val="716583750"/>
        <w:rPr>
          <w:sz w:val="20"/>
          <w:szCs w:val="20"/>
        </w:rPr>
      </w:pPr>
      <w:r>
        <w:rPr>
          <w:b/>
          <w:bCs/>
          <w:i/>
          <w:iCs/>
          <w:sz w:val="20"/>
          <w:szCs w:val="20"/>
        </w:rPr>
        <w:t>H. Lee Moffitt Cance</w:t>
      </w:r>
      <w:r>
        <w:rPr>
          <w:b/>
          <w:bCs/>
          <w:i/>
          <w:iCs/>
          <w:sz w:val="20"/>
          <w:szCs w:val="20"/>
        </w:rPr>
        <w:t>r Center</w:t>
      </w:r>
    </w:p>
    <w:p w:rsidR="00000000" w:rsidRDefault="00F22B2C">
      <w:pPr>
        <w:pStyle w:val="a3"/>
        <w:spacing w:before="0" w:beforeAutospacing="0" w:after="240" w:afterAutospacing="0"/>
        <w:divId w:val="716583750"/>
        <w:rPr>
          <w:sz w:val="20"/>
          <w:szCs w:val="20"/>
        </w:rPr>
      </w:pPr>
      <w:r>
        <w:rPr>
          <w:i/>
          <w:iCs/>
          <w:sz w:val="20"/>
          <w:szCs w:val="20"/>
        </w:rPr>
        <w:t>Research Collaboration and Clinical Grant Agreements with Moffitt</w:t>
      </w:r>
    </w:p>
    <w:p w:rsidR="00000000" w:rsidRDefault="00F22B2C">
      <w:pPr>
        <w:pStyle w:val="a3"/>
        <w:spacing w:before="0" w:beforeAutospacing="0" w:after="240" w:afterAutospacing="0"/>
        <w:ind w:firstLine="547"/>
        <w:divId w:val="716583750"/>
        <w:rPr>
          <w:sz w:val="20"/>
          <w:szCs w:val="20"/>
        </w:rPr>
      </w:pPr>
      <w:r>
        <w:rPr>
          <w:sz w:val="20"/>
          <w:szCs w:val="20"/>
        </w:rPr>
        <w:t>In December 2016, we entered into a three-year Sponsored Research Agreement with Moffitt, which expired in December 2019. In June 2020, we entered into a new Sponsored Research Agreement with Moffitt, with a term that ends either upon completion of the res</w:t>
      </w:r>
      <w:r>
        <w:rPr>
          <w:sz w:val="20"/>
          <w:szCs w:val="20"/>
        </w:rPr>
        <w:t xml:space="preserve">earch thereunder or on July 1, 2022, whichever is sooner, and under which immaterial payments will be made to Moffitt in connection with the research services thereunder. In December 2016, we entered into a clinical grant agreement with Moffitt to support </w:t>
      </w:r>
      <w:r>
        <w:rPr>
          <w:sz w:val="20"/>
          <w:szCs w:val="20"/>
        </w:rPr>
        <w:t>an ongoing clinical trial at Moffitt that combines TIL therapy with nivolumab for the treatment of patients with metastatic melanoma. In June 2017, we entered into a second clinical grant agreement with Moffitt to support a new clinical trial at Moffitt th</w:t>
      </w:r>
      <w:r>
        <w:rPr>
          <w:sz w:val="20"/>
          <w:szCs w:val="20"/>
        </w:rPr>
        <w:t xml:space="preserve">at combines TIL therapy with nivolumab for the treatment of patients with non-small cell lung cancer, under which we obtained a non-exclusive, royalty-free license to any new Moffitt inventions made in the performance of the agreement. Under both clinical </w:t>
      </w:r>
      <w:r>
        <w:rPr>
          <w:sz w:val="20"/>
          <w:szCs w:val="20"/>
        </w:rPr>
        <w:t>grant agreements with Moffit, we have non-exclusive rights to clinical data arising from the respective clinical trials.</w:t>
      </w:r>
    </w:p>
    <w:p w:rsidR="00000000" w:rsidRDefault="00F22B2C">
      <w:pPr>
        <w:pStyle w:val="a3"/>
        <w:spacing w:before="0" w:beforeAutospacing="0" w:after="240" w:afterAutospacing="0"/>
        <w:divId w:val="716583750"/>
        <w:rPr>
          <w:sz w:val="20"/>
          <w:szCs w:val="20"/>
        </w:rPr>
      </w:pPr>
      <w:r>
        <w:rPr>
          <w:i/>
          <w:iCs/>
          <w:sz w:val="20"/>
          <w:szCs w:val="20"/>
        </w:rPr>
        <w:t>Exclusive License Agreements with Moffitt</w:t>
      </w:r>
    </w:p>
    <w:p w:rsidR="00000000" w:rsidRDefault="00F22B2C">
      <w:pPr>
        <w:pStyle w:val="a3"/>
        <w:spacing w:before="0" w:beforeAutospacing="0" w:after="240" w:afterAutospacing="0"/>
        <w:ind w:firstLine="547"/>
        <w:divId w:val="716583750"/>
        <w:rPr>
          <w:sz w:val="20"/>
          <w:szCs w:val="20"/>
        </w:rPr>
      </w:pPr>
      <w:r>
        <w:rPr>
          <w:sz w:val="20"/>
          <w:szCs w:val="20"/>
        </w:rPr>
        <w:t xml:space="preserve">We entered into a license agreement with Moffitt, or the First Moffitt License, effective as </w:t>
      </w:r>
      <w:r>
        <w:rPr>
          <w:sz w:val="20"/>
          <w:szCs w:val="20"/>
        </w:rPr>
        <w:t>of June 28, 2014, under which we received a world-wide license to Moffitt’s rights to patent-pending technologies related to methods for improving TIL for adoptive cell therapy using toll-like receptor agonists. Unless earlier terminated, the term of the l</w:t>
      </w:r>
      <w:r>
        <w:rPr>
          <w:sz w:val="20"/>
          <w:szCs w:val="20"/>
        </w:rPr>
        <w:t>icense extends until the earlier of the expiration of the last issued patent related to the licensed technology or 20 years after the effective date of the license agreement.</w:t>
      </w:r>
    </w:p>
    <w:p w:rsidR="00000000" w:rsidRDefault="00F22B2C">
      <w:pPr>
        <w:pStyle w:val="a3"/>
        <w:spacing w:before="0" w:beforeAutospacing="0" w:after="240" w:afterAutospacing="0"/>
        <w:ind w:firstLine="547"/>
        <w:divId w:val="716583750"/>
        <w:rPr>
          <w:sz w:val="20"/>
          <w:szCs w:val="20"/>
        </w:rPr>
      </w:pPr>
      <w:r>
        <w:rPr>
          <w:sz w:val="20"/>
          <w:szCs w:val="20"/>
        </w:rPr>
        <w:t>Pursuant to the First Moffitt License, we paid an upfront licensing fee in the am</w:t>
      </w:r>
      <w:r>
        <w:rPr>
          <w:sz w:val="20"/>
          <w:szCs w:val="20"/>
        </w:rPr>
        <w:t xml:space="preserve">ount of $0.1 million. A patent issuance fee will also be payable under the First Moffitt License, upon the issuance of the first U.S. patent covering the subject technology. In addition, we agreed to pay milestone license fees upon completion of specified </w:t>
      </w:r>
      <w:r>
        <w:rPr>
          <w:sz w:val="20"/>
          <w:szCs w:val="20"/>
        </w:rPr>
        <w:t>milestones, customary royalties based on a specified percentage of net sales (which percentage is in the low single digits) and sublicensing payments, as applicable, and annual minimum royalties beginning with the first sale of products based on the licens</w:t>
      </w:r>
      <w:r>
        <w:rPr>
          <w:sz w:val="20"/>
          <w:szCs w:val="20"/>
        </w:rPr>
        <w:t>ed technologies, which minimum royalties will be credited against the percentage royalty payments otherwise payable in that year. We will also be responsible for all costs associated with the preparation, filing, maintenance and prosecution of the patent a</w:t>
      </w:r>
      <w:r>
        <w:rPr>
          <w:sz w:val="20"/>
          <w:szCs w:val="20"/>
        </w:rPr>
        <w:t>pplications and patents covered by the First Moffitt License related to the treatment of any cancers in the U.S., Europe and Japan and in other countries designated by us in agreement with Moffitt.</w:t>
      </w:r>
    </w:p>
    <w:p w:rsidR="00000000" w:rsidRDefault="00F22B2C">
      <w:pPr>
        <w:pStyle w:val="a3"/>
        <w:spacing w:before="0" w:beforeAutospacing="0" w:after="240" w:afterAutospacing="0"/>
        <w:ind w:firstLine="547"/>
        <w:divId w:val="716583750"/>
        <w:rPr>
          <w:sz w:val="20"/>
          <w:szCs w:val="20"/>
        </w:rPr>
      </w:pPr>
      <w:r>
        <w:rPr>
          <w:sz w:val="20"/>
          <w:szCs w:val="20"/>
        </w:rPr>
        <w:t>We entered into a second license agreement with Moffitt ef</w:t>
      </w:r>
      <w:r>
        <w:rPr>
          <w:sz w:val="20"/>
          <w:szCs w:val="20"/>
        </w:rPr>
        <w:t>fective as of May 7, 2018, or the Second Moffitt License, under which we received an exclusive license to Moffitt’s rights to patent-pending technologies related to the use of 4-1BB agonists in conjunction with TIL manufacturing processes and therapies. Pu</w:t>
      </w:r>
      <w:r>
        <w:rPr>
          <w:sz w:val="20"/>
          <w:szCs w:val="20"/>
        </w:rPr>
        <w:t>rsuant to the Second Moffitt License, we paid an upfront licensing fee in the amount of $0.1 million in 2018. An annual license maintenance fee is also payable commencing on the first anniversary of the effective date. In addition, we agreed to pay an annu</w:t>
      </w:r>
      <w:r>
        <w:rPr>
          <w:sz w:val="20"/>
          <w:szCs w:val="20"/>
        </w:rPr>
        <w:t>al commercial use payment for each indication for which a first sale has occurred. We subsequently exercised an option to exclusively license Moffitt’s rights to patent pending technologies related to the use of tumor digests in conjunction with TIL manufa</w:t>
      </w:r>
      <w:r>
        <w:rPr>
          <w:sz w:val="20"/>
          <w:szCs w:val="20"/>
        </w:rPr>
        <w:t>cturing processes and therapies, and we and Moffitt amended and restated the Second Moffitt License in October 2021, or the Amended &amp; Restated Second Moffit License, to include these rights. Pursuant to the Amended &amp; Restated Second Moffitt License, we pai</w:t>
      </w:r>
      <w:r>
        <w:rPr>
          <w:sz w:val="20"/>
          <w:szCs w:val="20"/>
        </w:rPr>
        <w:t xml:space="preserve">d an upfront licensing fee in the amount of $0.2 million in 2021. In addition, we agreed to pay an annual commercial use payment for each indication for which a first sale has occurred for products relating to the use of 4-1BB antagonists and for products </w:t>
      </w:r>
      <w:r>
        <w:rPr>
          <w:sz w:val="20"/>
          <w:szCs w:val="20"/>
        </w:rPr>
        <w:t>relating to the use of tumor digests covered by the license.</w:t>
      </w:r>
    </w:p>
    <w:p w:rsidR="00000000" w:rsidRDefault="00F22B2C">
      <w:pPr>
        <w:pStyle w:val="a3"/>
        <w:spacing w:before="0" w:beforeAutospacing="0" w:after="240" w:afterAutospacing="0"/>
        <w:divId w:val="716583750"/>
        <w:rPr>
          <w:sz w:val="20"/>
          <w:szCs w:val="20"/>
        </w:rPr>
      </w:pPr>
      <w:r>
        <w:rPr>
          <w:b/>
          <w:bCs/>
          <w:i/>
          <w:iCs/>
          <w:sz w:val="20"/>
          <w:szCs w:val="20"/>
        </w:rPr>
        <w:t>The University of Texas M.D. Anderson Cancer Center</w:t>
      </w:r>
    </w:p>
    <w:p w:rsidR="00000000" w:rsidRDefault="00F22B2C">
      <w:pPr>
        <w:pStyle w:val="a3"/>
        <w:spacing w:before="0" w:beforeAutospacing="0" w:after="240" w:afterAutospacing="0"/>
        <w:divId w:val="716583750"/>
        <w:rPr>
          <w:sz w:val="20"/>
          <w:szCs w:val="20"/>
        </w:rPr>
      </w:pPr>
      <w:r>
        <w:rPr>
          <w:i/>
          <w:iCs/>
          <w:sz w:val="20"/>
          <w:szCs w:val="20"/>
        </w:rPr>
        <w:t>Strategic Alliance Agreement</w:t>
      </w:r>
    </w:p>
    <w:p w:rsidR="00000000" w:rsidRDefault="00F22B2C">
      <w:pPr>
        <w:pStyle w:val="a3"/>
        <w:spacing w:before="0" w:beforeAutospacing="0" w:after="0" w:afterAutospacing="0"/>
        <w:ind w:firstLine="547"/>
        <w:divId w:val="716583750"/>
        <w:rPr>
          <w:sz w:val="20"/>
          <w:szCs w:val="20"/>
        </w:rPr>
      </w:pPr>
      <w:r>
        <w:rPr>
          <w:sz w:val="20"/>
          <w:szCs w:val="20"/>
        </w:rPr>
        <w:t>In April 2017, we entered into a Strategic Alliance Agreement, or the SAA, with MDACC agreed to conduct clinical a</w:t>
      </w:r>
      <w:r>
        <w:rPr>
          <w:sz w:val="20"/>
          <w:szCs w:val="20"/>
        </w:rPr>
        <w:t>nd preclinical research studies. We agreed in the SAA to provide total funding not to exceed approximately $14.2 million for the performance of the multi-year studies under the SAA. In return, we acquired all rights to inventions resulting from the studies</w:t>
      </w:r>
      <w:r>
        <w:rPr>
          <w:sz w:val="20"/>
          <w:szCs w:val="20"/>
        </w:rPr>
        <w:t xml:space="preserve"> and have been granted a non-exclusive, sub-licensable, royalty-free, and perpetual license to specified background intellectual property of </w:t>
      </w:r>
    </w:p>
    <w:p w:rsidR="00000000" w:rsidRDefault="00F22B2C">
      <w:pPr>
        <w:pStyle w:val="a3"/>
        <w:spacing w:before="480" w:beforeAutospacing="0" w:after="0" w:afterAutospacing="0"/>
        <w:jc w:val="center"/>
        <w:divId w:val="693964956"/>
        <w:rPr>
          <w:sz w:val="20"/>
          <w:szCs w:val="20"/>
        </w:rPr>
      </w:pPr>
      <w:r>
        <w:rPr>
          <w:sz w:val="20"/>
          <w:szCs w:val="20"/>
        </w:rPr>
        <w:t>22</w:t>
      </w:r>
    </w:p>
    <w:p w:rsidR="00000000" w:rsidRDefault="00F22B2C">
      <w:pPr>
        <w:pStyle w:val="a3"/>
        <w:spacing w:before="0" w:beforeAutospacing="0" w:after="600" w:afterAutospacing="0"/>
        <w:divId w:val="88934567"/>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divId w:val="140734974"/>
        <w:rPr>
          <w:sz w:val="20"/>
          <w:szCs w:val="20"/>
        </w:rPr>
      </w:pPr>
      <w:r>
        <w:rPr>
          <w:sz w:val="20"/>
          <w:szCs w:val="20"/>
        </w:rPr>
        <w:t>MDACC reasonably necessary to exploit, including the commercializat</w:t>
      </w:r>
      <w:r>
        <w:rPr>
          <w:sz w:val="20"/>
          <w:szCs w:val="20"/>
        </w:rPr>
        <w:t>ion thereof. We have also been granted certain rights in clinical data generated by MDACC outside of the clinical trials to be performed under the SAA. The SAA’s term shall continue in effect until the later of the fourth anniversary of the SAA or the comp</w:t>
      </w:r>
      <w:r>
        <w:rPr>
          <w:sz w:val="20"/>
          <w:szCs w:val="20"/>
        </w:rPr>
        <w:t>letion or termination of the research and receipt by us of all deliverables due from MDACC thereunder. In May 2017, we made a prepayment of $1.4 million under this agreement. In light of the disease caused by the novel coronavirus, SARS-CoV-2, which was de</w:t>
      </w:r>
      <w:r>
        <w:rPr>
          <w:sz w:val="20"/>
          <w:szCs w:val="20"/>
        </w:rPr>
        <w:t>clared a public health emergency on January 31, 2020, under section 319 of the Public Health Service Act (42 U.S.C. 247d) by the Secretary of Health and Human Services, and which we refer to herein as the COVID-19 pandemic, MDACC temporarily suspended thei</w:t>
      </w:r>
      <w:r>
        <w:rPr>
          <w:sz w:val="20"/>
          <w:szCs w:val="20"/>
        </w:rPr>
        <w:t>r research programs and decommissioned their research labs, and as a result, enrollment in our MDACC-sponsored studies under the SAA was temporarily paused in the first half 2020, but has since been restarted.</w:t>
      </w:r>
    </w:p>
    <w:p w:rsidR="00000000" w:rsidRDefault="00F22B2C">
      <w:pPr>
        <w:pStyle w:val="a3"/>
        <w:spacing w:before="0" w:beforeAutospacing="0" w:after="0" w:afterAutospacing="0"/>
        <w:ind w:firstLine="547"/>
        <w:divId w:val="140734974"/>
        <w:rPr>
          <w:sz w:val="20"/>
          <w:szCs w:val="20"/>
        </w:rPr>
      </w:pPr>
      <w:r>
        <w:rPr>
          <w:sz w:val="20"/>
          <w:szCs w:val="20"/>
        </w:rPr>
        <w:t>​</w:t>
      </w:r>
    </w:p>
    <w:p w:rsidR="00000000" w:rsidRDefault="00F22B2C">
      <w:pPr>
        <w:pStyle w:val="a3"/>
        <w:spacing w:before="0" w:beforeAutospacing="0" w:after="240" w:afterAutospacing="0"/>
        <w:divId w:val="140734974"/>
        <w:rPr>
          <w:sz w:val="20"/>
          <w:szCs w:val="20"/>
        </w:rPr>
      </w:pPr>
      <w:r>
        <w:rPr>
          <w:b/>
          <w:bCs/>
          <w:i/>
          <w:iCs/>
          <w:sz w:val="20"/>
          <w:szCs w:val="20"/>
        </w:rPr>
        <w:t>WuXi Advanced Therapies, Inc.</w:t>
      </w:r>
    </w:p>
    <w:p w:rsidR="00000000" w:rsidRDefault="00F22B2C">
      <w:pPr>
        <w:pStyle w:val="a3"/>
        <w:spacing w:before="0" w:beforeAutospacing="0" w:after="240" w:afterAutospacing="0"/>
        <w:ind w:firstLine="547"/>
        <w:divId w:val="140734974"/>
        <w:rPr>
          <w:sz w:val="20"/>
          <w:szCs w:val="20"/>
        </w:rPr>
      </w:pPr>
      <w:r>
        <w:rPr>
          <w:sz w:val="20"/>
          <w:szCs w:val="20"/>
        </w:rPr>
        <w:t>In November 2016, we entered into a three-year manufacturing and services agreement, or MSA, with WuXi, pursuant to which WuXi agreed to provide manufacturing and other services, which has since been amended and assigned to our subsidiary Iovance Biotherap</w:t>
      </w:r>
      <w:r>
        <w:rPr>
          <w:sz w:val="20"/>
          <w:szCs w:val="20"/>
        </w:rPr>
        <w:t>eutics Manufacturing LLC. Under the agreement, we entered into two statements of work for two cGMP manufacturing suites to be established and operated by WuXi for us, and both of the suites are expected to be capable of being used for the commercial manufa</w:t>
      </w:r>
      <w:r>
        <w:rPr>
          <w:sz w:val="20"/>
          <w:szCs w:val="20"/>
        </w:rPr>
        <w:t>cture of our products. The first statement of work was amended in June 2019, September 2020, and February 2021, and the second statement of work was amended in July 2019 and July 2021. Both statements of work provide for adjustments to the targeted product</w:t>
      </w:r>
      <w:r>
        <w:rPr>
          <w:sz w:val="20"/>
          <w:szCs w:val="20"/>
        </w:rPr>
        <w:t xml:space="preserve">ion capacity levels and the corresponding fixed fees upon written notice from us of 30 days and 90 days for the first and second suites, respectively. The terms of the related statements of work currently extend to February 2022 for the first statement of </w:t>
      </w:r>
      <w:r>
        <w:rPr>
          <w:sz w:val="20"/>
          <w:szCs w:val="20"/>
        </w:rPr>
        <w:t>work and were extended to December 2022 for the second statement of work.</w:t>
      </w:r>
    </w:p>
    <w:p w:rsidR="00000000" w:rsidRDefault="00F22B2C">
      <w:pPr>
        <w:pStyle w:val="a3"/>
        <w:spacing w:before="0" w:beforeAutospacing="0" w:after="240" w:afterAutospacing="0"/>
        <w:divId w:val="140734974"/>
        <w:rPr>
          <w:sz w:val="20"/>
          <w:szCs w:val="20"/>
        </w:rPr>
      </w:pPr>
      <w:r>
        <w:rPr>
          <w:b/>
          <w:bCs/>
          <w:i/>
          <w:iCs/>
          <w:sz w:val="20"/>
          <w:szCs w:val="20"/>
        </w:rPr>
        <w:t>Cellectis S.A.</w:t>
      </w:r>
    </w:p>
    <w:p w:rsidR="00000000" w:rsidRDefault="00F22B2C">
      <w:pPr>
        <w:pStyle w:val="a3"/>
        <w:spacing w:before="0" w:beforeAutospacing="0" w:after="240" w:afterAutospacing="0"/>
        <w:ind w:firstLine="547"/>
        <w:divId w:val="140734974"/>
        <w:rPr>
          <w:sz w:val="20"/>
          <w:szCs w:val="20"/>
        </w:rPr>
      </w:pPr>
      <w:r>
        <w:rPr>
          <w:sz w:val="20"/>
          <w:szCs w:val="20"/>
        </w:rPr>
        <w:t>In December 2019, we entered into a research collaboration and exclusive worldwide license agreement under which we license gene-editing technology from Cellectis. Fin</w:t>
      </w:r>
      <w:r>
        <w:rPr>
          <w:sz w:val="20"/>
          <w:szCs w:val="20"/>
        </w:rPr>
        <w:t xml:space="preserve">ancial terms of the license include development, regulatory and sales milestone payments from us to Cellectis, as well as royalty payments based on net sales of TALEN-modified TIL products. </w:t>
      </w:r>
    </w:p>
    <w:p w:rsidR="00000000" w:rsidRDefault="00F22B2C">
      <w:pPr>
        <w:pStyle w:val="a3"/>
        <w:spacing w:before="0" w:beforeAutospacing="0" w:after="240" w:afterAutospacing="0"/>
        <w:divId w:val="140734974"/>
        <w:rPr>
          <w:sz w:val="20"/>
          <w:szCs w:val="20"/>
        </w:rPr>
      </w:pPr>
      <w:r>
        <w:rPr>
          <w:b/>
          <w:bCs/>
          <w:i/>
          <w:iCs/>
          <w:sz w:val="20"/>
          <w:szCs w:val="20"/>
        </w:rPr>
        <w:t>Novartis Pharma AG</w:t>
      </w:r>
    </w:p>
    <w:p w:rsidR="00000000" w:rsidRDefault="00F22B2C">
      <w:pPr>
        <w:pStyle w:val="a3"/>
        <w:spacing w:before="0" w:beforeAutospacing="0" w:after="240" w:afterAutospacing="0"/>
        <w:ind w:firstLine="547"/>
        <w:divId w:val="140734974"/>
        <w:rPr>
          <w:sz w:val="20"/>
          <w:szCs w:val="20"/>
        </w:rPr>
      </w:pPr>
      <w:r>
        <w:rPr>
          <w:sz w:val="20"/>
          <w:szCs w:val="20"/>
        </w:rPr>
        <w:t>In January 2020, we obtained a license from No</w:t>
      </w:r>
      <w:r>
        <w:rPr>
          <w:sz w:val="20"/>
          <w:szCs w:val="20"/>
        </w:rPr>
        <w:t>vartis Pharma AG, or Novartis, to develop and commercialize an antibody cytokine engrafted protein, which we refer to as IOV-3001. Under the agreement, we have paid an upfront payment to Novartis and may pay future milestones related to initiation of patie</w:t>
      </w:r>
      <w:r>
        <w:rPr>
          <w:sz w:val="20"/>
          <w:szCs w:val="20"/>
        </w:rPr>
        <w:t>nt dosing in various phases of clinical development for IOV-3001 and approval of the product in the U.S., the European Union, or EU, and Japan. Novartis is also entitled to low-to-mid single digit percentage royalties from commercial sales of the product.</w:t>
      </w:r>
    </w:p>
    <w:p w:rsidR="00000000" w:rsidRDefault="00F22B2C">
      <w:pPr>
        <w:pStyle w:val="a3"/>
        <w:spacing w:before="0" w:beforeAutospacing="0" w:after="240" w:afterAutospacing="0"/>
        <w:divId w:val="140734974"/>
        <w:rPr>
          <w:sz w:val="20"/>
          <w:szCs w:val="20"/>
        </w:rPr>
      </w:pPr>
      <w:r>
        <w:rPr>
          <w:b/>
          <w:bCs/>
          <w:sz w:val="20"/>
          <w:szCs w:val="20"/>
        </w:rPr>
        <w:t>Competition</w:t>
      </w:r>
    </w:p>
    <w:p w:rsidR="00000000" w:rsidRDefault="00F22B2C">
      <w:pPr>
        <w:pStyle w:val="a3"/>
        <w:spacing w:before="0" w:beforeAutospacing="0" w:after="240" w:afterAutospacing="0"/>
        <w:ind w:firstLine="547"/>
        <w:divId w:val="140734974"/>
        <w:rPr>
          <w:sz w:val="20"/>
          <w:szCs w:val="20"/>
        </w:rPr>
      </w:pPr>
      <w:r>
        <w:rPr>
          <w:sz w:val="20"/>
          <w:szCs w:val="20"/>
        </w:rPr>
        <w:t>The biotechnology and pharmaceutical industries put significant resources in developing novel and proprietary therapies for the treatment of cancer. We compete with multiple entities who have developed and are developing immuno-oncology therapi</w:t>
      </w:r>
      <w:r>
        <w:rPr>
          <w:sz w:val="20"/>
          <w:szCs w:val="20"/>
        </w:rPr>
        <w:t>es, including large and specialty pharmaceutical and biotechnology companies, academic research institutions and governmental agencies and public and private research institutions, as well as companies developing novel targeted therapies for cancer. Univer</w:t>
      </w:r>
      <w:r>
        <w:rPr>
          <w:sz w:val="20"/>
          <w:szCs w:val="20"/>
        </w:rPr>
        <w:t xml:space="preserve">sities and public and private research institutions in the U.S. and Europe are also potential competitors. For example, a Phase 3 study comparing TIL to standard ipilimumab in patients with metastatic melanoma is currently being conducted in Europe by the </w:t>
      </w:r>
      <w:r>
        <w:rPr>
          <w:sz w:val="20"/>
          <w:szCs w:val="20"/>
        </w:rPr>
        <w:t>Netherlands Cancer Institute, the Copenhagen University Hospital at Herlev, and the University of Manchester. While these universities and public and private research institutions primarily have educational objectives, they may develop proprietary technolo</w:t>
      </w:r>
      <w:r>
        <w:rPr>
          <w:sz w:val="20"/>
          <w:szCs w:val="20"/>
        </w:rPr>
        <w:t>gies that lead to other FDA-approved therapies or that secure patent protection. We anticipate that we will face possibly increasing competition as new drugs and therapies enter the market and advanced technologies become available.</w:t>
      </w:r>
    </w:p>
    <w:p w:rsidR="00000000" w:rsidRDefault="00F22B2C">
      <w:pPr>
        <w:pStyle w:val="a3"/>
        <w:spacing w:before="0" w:beforeAutospacing="0" w:after="0" w:afterAutospacing="0"/>
        <w:ind w:firstLine="547"/>
        <w:divId w:val="140734974"/>
        <w:rPr>
          <w:sz w:val="20"/>
          <w:szCs w:val="20"/>
        </w:rPr>
      </w:pPr>
      <w:r>
        <w:rPr>
          <w:sz w:val="20"/>
          <w:szCs w:val="20"/>
        </w:rPr>
        <w:t>Due to the promising cl</w:t>
      </w:r>
      <w:r>
        <w:rPr>
          <w:sz w:val="20"/>
          <w:szCs w:val="20"/>
        </w:rPr>
        <w:t>inical therapeutic effect of their therapies in clinical exploratory trials, we anticipate substantial direct competition from other organizations developing advanced T cell therapies targeting patients who have received prior anti-PD-1/PD-L1 therapies. In</w:t>
      </w:r>
      <w:r>
        <w:rPr>
          <w:sz w:val="20"/>
          <w:szCs w:val="20"/>
        </w:rPr>
        <w:t xml:space="preserve"> particular, we expect to compete with other new therapies for our lead indications developed by companies such as Agenus, BeyondSpring, Bristol-Myers Squibb, Merck, Nektar Therapeutics, Idera Pharmaceuticals, Checkmate Pharmaceuticals, Daiichi Sankyo, Eis</w:t>
      </w:r>
      <w:r>
        <w:rPr>
          <w:sz w:val="20"/>
          <w:szCs w:val="20"/>
        </w:rPr>
        <w:t xml:space="preserve">ai, Exelixis, Mirati Therapeutics, OncoSec Medical, Replimune, Regeneron Pharmaceuticals, Seagen, and Genmab. We also may compete with other TIL therapies in development by companies such as Instil Bio, Achilles Therapeutics, KSQ </w:t>
      </w:r>
    </w:p>
    <w:p w:rsidR="00000000" w:rsidRDefault="00F22B2C">
      <w:pPr>
        <w:pStyle w:val="a3"/>
        <w:spacing w:before="480" w:beforeAutospacing="0" w:after="0" w:afterAutospacing="0"/>
        <w:jc w:val="center"/>
        <w:divId w:val="898976738"/>
        <w:rPr>
          <w:sz w:val="20"/>
          <w:szCs w:val="20"/>
        </w:rPr>
      </w:pPr>
      <w:r>
        <w:rPr>
          <w:sz w:val="20"/>
          <w:szCs w:val="20"/>
        </w:rPr>
        <w:t>23</w:t>
      </w:r>
    </w:p>
    <w:p w:rsidR="00000000" w:rsidRDefault="00F22B2C">
      <w:pPr>
        <w:pStyle w:val="a3"/>
        <w:spacing w:before="0" w:beforeAutospacing="0" w:after="600" w:afterAutospacing="0"/>
        <w:divId w:val="860244221"/>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025407729"/>
        <w:rPr>
          <w:sz w:val="20"/>
          <w:szCs w:val="20"/>
        </w:rPr>
      </w:pPr>
      <w:r>
        <w:rPr>
          <w:sz w:val="20"/>
          <w:szCs w:val="20"/>
        </w:rPr>
        <w:t xml:space="preserve">Therapeutics, Obsidian Therapeutics, Immatics, TILT Biotherapeutics, WindMIL Therapeutics, GRIT Biotechnology, Lyell Immunopharma, Cellular Biomedicine Group, and others. We also may compete with therapies based </w:t>
      </w:r>
      <w:r>
        <w:rPr>
          <w:sz w:val="20"/>
          <w:szCs w:val="20"/>
        </w:rPr>
        <w:t xml:space="preserve">on genetically engineered T cell receptors rendered reactive against tumor-associated antigens prior to their administration to patients, as well as TIL therapies that are designed to be specific to neoantigens, including products developed by Adaptimmune </w:t>
      </w:r>
      <w:r>
        <w:rPr>
          <w:sz w:val="20"/>
          <w:szCs w:val="20"/>
        </w:rPr>
        <w:t>Therapeutics, Alaunos Therapeutics, Marker Therapeutics, Turnstone Biologics, Neogene and others. To date, these technologies have been primarily applicable to hematologic malignancies, but their application in solid tumor indications may create competitio</w:t>
      </w:r>
      <w:r>
        <w:rPr>
          <w:sz w:val="20"/>
          <w:szCs w:val="20"/>
        </w:rPr>
        <w:t>n with us.</w:t>
      </w:r>
    </w:p>
    <w:p w:rsidR="00000000" w:rsidRDefault="00F22B2C">
      <w:pPr>
        <w:pStyle w:val="a3"/>
        <w:spacing w:before="0" w:beforeAutospacing="0" w:after="240" w:afterAutospacing="0"/>
        <w:ind w:firstLine="547"/>
        <w:divId w:val="1025407729"/>
        <w:rPr>
          <w:sz w:val="20"/>
          <w:szCs w:val="20"/>
        </w:rPr>
      </w:pPr>
      <w:r>
        <w:rPr>
          <w:sz w:val="20"/>
          <w:szCs w:val="20"/>
        </w:rPr>
        <w:t>Competition for late-stage melanoma patients may come, if approved, from several therapies currently under clinical development across our lead indications in metastatic melanoma, non-small cell lung and cervical cancers. If we are successful in</w:t>
      </w:r>
      <w:r>
        <w:rPr>
          <w:sz w:val="20"/>
          <w:szCs w:val="20"/>
        </w:rPr>
        <w:t xml:space="preserve"> developing lifileucel for metastatic melanoma, we will compete against other investigational agents in late-stage development for use in combination with approved anti-PD-1 therapies at Bristol-Myers Squibb (relatlimab, a LAG-3-blocking antibody), Idera P</w:t>
      </w:r>
      <w:r>
        <w:rPr>
          <w:sz w:val="20"/>
          <w:szCs w:val="20"/>
        </w:rPr>
        <w:t>harmaceuticals (IMO-2125, a toll-like receptor, or TLR, 9 agonist), Checkmate Pharmaceuticals (CMP-001, a TLR9 agonist), Eisai (levatinib, a multiple tyrosine kinase inhibitor) and Replimune (RP1, or vusolimogene oderparepvec, an oncolytic virus therapy).</w:t>
      </w:r>
      <w:r>
        <w:rPr>
          <w:sz w:val="20"/>
          <w:szCs w:val="20"/>
        </w:rPr>
        <w:t xml:space="preserve"> </w:t>
      </w:r>
    </w:p>
    <w:p w:rsidR="00000000" w:rsidRDefault="00F22B2C">
      <w:pPr>
        <w:pStyle w:val="a3"/>
        <w:spacing w:before="0" w:beforeAutospacing="0" w:after="240" w:afterAutospacing="0"/>
        <w:ind w:firstLine="547"/>
        <w:divId w:val="1025407729"/>
        <w:rPr>
          <w:sz w:val="20"/>
          <w:szCs w:val="20"/>
        </w:rPr>
      </w:pPr>
      <w:r>
        <w:rPr>
          <w:sz w:val="20"/>
          <w:szCs w:val="20"/>
        </w:rPr>
        <w:t>Competition for lifileucel in late-stage cervical cancer patients also may arise from approved therapy TIVDAK™ (tisotumab vedotin-tftv) from Seagen/Genmab as well as an investigational agent in clinical development at Agenus (balstilimab, an anti-PD-1 the</w:t>
      </w:r>
      <w:r>
        <w:rPr>
          <w:sz w:val="20"/>
          <w:szCs w:val="20"/>
        </w:rPr>
        <w:t>rapy) for use in combination with approved anti-CTLA-4 inhibitor zalifrelimab. In addition, the cervical cancer treatment landscape has further evolved with the approval of KEYTRUDA + chemo + bevacizumab in front-line cervical cancer.</w:t>
      </w:r>
    </w:p>
    <w:p w:rsidR="00000000" w:rsidRDefault="00F22B2C">
      <w:pPr>
        <w:pStyle w:val="a3"/>
        <w:spacing w:before="0" w:beforeAutospacing="0" w:after="240" w:afterAutospacing="0"/>
        <w:ind w:firstLine="547"/>
        <w:divId w:val="1025407729"/>
        <w:rPr>
          <w:sz w:val="20"/>
          <w:szCs w:val="20"/>
        </w:rPr>
      </w:pPr>
      <w:r>
        <w:rPr>
          <w:sz w:val="20"/>
          <w:szCs w:val="20"/>
        </w:rPr>
        <w:t>We may also face comp</w:t>
      </w:r>
      <w:r>
        <w:rPr>
          <w:sz w:val="20"/>
          <w:szCs w:val="20"/>
        </w:rPr>
        <w:t>etition for NSCLC patients from a large number of therapies in clinical development that target specific, emerging driver mutations in populations that overlap with our patient populations of interest, including Daiichi Sankyo/Astra Zeneca (datopotamab der</w:t>
      </w:r>
      <w:r>
        <w:rPr>
          <w:sz w:val="20"/>
          <w:szCs w:val="20"/>
        </w:rPr>
        <w:t>uxtecan, an antibody-drug candidate), as well as sponsors with anti-PD-1 combinations in clinical development such as Exelixis (cabozantinib + atezolizumab), Mirati Therapeutics (sitravatinib + nivolumab) and Merck (vibostolimab alone and in combination wi</w:t>
      </w:r>
      <w:r>
        <w:rPr>
          <w:sz w:val="20"/>
          <w:szCs w:val="20"/>
        </w:rPr>
        <w:t>th pembrolizumab). The studies for these NSCLC therapies are in various stages of the clinical pipeline, including several in Phase 3 trials.</w:t>
      </w:r>
    </w:p>
    <w:p w:rsidR="00000000" w:rsidRDefault="00F22B2C">
      <w:pPr>
        <w:pStyle w:val="a3"/>
        <w:spacing w:before="0" w:beforeAutospacing="0" w:after="240" w:afterAutospacing="0"/>
        <w:ind w:firstLine="547"/>
        <w:divId w:val="1025407729"/>
        <w:rPr>
          <w:sz w:val="20"/>
          <w:szCs w:val="20"/>
        </w:rPr>
      </w:pPr>
      <w:r>
        <w:rPr>
          <w:sz w:val="20"/>
          <w:szCs w:val="20"/>
        </w:rPr>
        <w:t>While other types of cancer immunotherapies may potentially be used in combination with TIL, such as checkpoint in</w:t>
      </w:r>
      <w:r>
        <w:rPr>
          <w:sz w:val="20"/>
          <w:szCs w:val="20"/>
        </w:rPr>
        <w:t>hibitors, to enhance efficacy, we also expect substantial direct competition from other types of immunotherapies. We face competition from immunotherapy treatments offered by companies such as Amgen, AstraZeneca, Bristol-Myers Squibb, Merck, Pfizer, Regene</w:t>
      </w:r>
      <w:r>
        <w:rPr>
          <w:sz w:val="20"/>
          <w:szCs w:val="20"/>
        </w:rPr>
        <w:t>ron Pharmaceuticals, and Roche. Immunotherapies are also being pursued by several biotechnology companies as well as by large pharmaceutical companies. We cannot predict whether other types of immunotherapies may be enhanced and show greater efficacy. As a</w:t>
      </w:r>
      <w:r>
        <w:rPr>
          <w:sz w:val="20"/>
          <w:szCs w:val="20"/>
        </w:rPr>
        <w:t xml:space="preserve"> result, we may have direct and substantial competition from such immunotherapies in the future.</w:t>
      </w:r>
    </w:p>
    <w:p w:rsidR="00000000" w:rsidRDefault="00F22B2C">
      <w:pPr>
        <w:pStyle w:val="a3"/>
        <w:spacing w:before="0" w:beforeAutospacing="0" w:after="240" w:afterAutospacing="0"/>
        <w:ind w:firstLine="547"/>
        <w:divId w:val="1025407729"/>
        <w:rPr>
          <w:sz w:val="20"/>
          <w:szCs w:val="20"/>
        </w:rPr>
      </w:pPr>
      <w:r>
        <w:rPr>
          <w:sz w:val="20"/>
          <w:szCs w:val="20"/>
        </w:rPr>
        <w:t>Many potential competitors, either alone or with their strategic partners, have substantially greater financial, technical and human resources than we do. Acco</w:t>
      </w:r>
      <w:r>
        <w:rPr>
          <w:sz w:val="20"/>
          <w:szCs w:val="20"/>
        </w:rPr>
        <w:t>rdingly, our competitors may be more successful than us in obtaining approval for treatments and achieving widespread market acceptance and may render our treatments obsolete or non-competitive. Mergers and acquisitions in the biotechnology and pharmaceuti</w:t>
      </w:r>
      <w:r>
        <w:rPr>
          <w:sz w:val="20"/>
          <w:szCs w:val="20"/>
        </w:rPr>
        <w:t xml:space="preserve">cal industries may result in even more resources being concentrated among a smaller number of our competitors. These competitors also compete with us in recruiting and retaining qualified scientific and management personnel and establishing clinical study </w:t>
      </w:r>
      <w:r>
        <w:rPr>
          <w:sz w:val="20"/>
          <w:szCs w:val="20"/>
        </w:rPr>
        <w:t>sites and patient registration for clinical studies, as well as in acquiring technologies complementary to, or necessary for, our programs. Smaller or early-stage companies may also prove to be significant competitors, particularly through collaborative ar</w:t>
      </w:r>
      <w:r>
        <w:rPr>
          <w:sz w:val="20"/>
          <w:szCs w:val="20"/>
        </w:rPr>
        <w:t>rangements with large and established companies</w:t>
      </w:r>
      <w:r>
        <w:rPr>
          <w:sz w:val="20"/>
          <w:szCs w:val="20"/>
        </w:rPr>
        <w:t>.</w:t>
      </w:r>
    </w:p>
    <w:p w:rsidR="00000000" w:rsidRDefault="00F22B2C">
      <w:pPr>
        <w:pStyle w:val="a3"/>
        <w:spacing w:before="0" w:beforeAutospacing="0" w:after="240" w:afterAutospacing="0"/>
        <w:ind w:firstLine="547"/>
        <w:divId w:val="1025407729"/>
        <w:rPr>
          <w:sz w:val="20"/>
          <w:szCs w:val="20"/>
        </w:rPr>
      </w:pPr>
      <w:r>
        <w:rPr>
          <w:sz w:val="20"/>
          <w:szCs w:val="20"/>
        </w:rPr>
        <w:t>Our commercial success may depend in part on our ability to obtain and maintain patent and other proprietary protection for commercially important technology, inventions and know-how related to our business;</w:t>
      </w:r>
      <w:r>
        <w:rPr>
          <w:sz w:val="20"/>
          <w:szCs w:val="20"/>
        </w:rPr>
        <w:t xml:space="preserve"> defend and enforce our patents; preserve the confidentiality of our trade secrets; and operate without infringing the valid enforceable patents and proprietary rights of third parties. Our ability to stop third parties from making, using, selling, offerin</w:t>
      </w:r>
      <w:r>
        <w:rPr>
          <w:sz w:val="20"/>
          <w:szCs w:val="20"/>
        </w:rPr>
        <w:t xml:space="preserve">g to sell or importing our products may depend on the extent to which we have rights under valid and enforceable patents or trade secrets that cover these activities. With respect to both licensed and company-owned intellectual property, we cannot be sure </w:t>
      </w:r>
      <w:r>
        <w:rPr>
          <w:sz w:val="20"/>
          <w:szCs w:val="20"/>
        </w:rPr>
        <w:t>that patents will be granted with respect to any of our pending patent applications or with respect to any patent applications filed by us in the future, nor can we be sure that any of our existing patents or any patents that may be granted to us in the fu</w:t>
      </w:r>
      <w:r>
        <w:rPr>
          <w:sz w:val="20"/>
          <w:szCs w:val="20"/>
        </w:rPr>
        <w:t>ture will be commercially useful in protecting our commercial products and methods of manufacturing the same. We may rely, in some circumstances, on trade secrets to protect our technology. However, trade secrets can be difficult to protect</w:t>
      </w:r>
      <w:r>
        <w:rPr>
          <w:sz w:val="20"/>
          <w:szCs w:val="20"/>
        </w:rPr>
        <w:t>.</w:t>
      </w:r>
    </w:p>
    <w:p w:rsidR="00000000" w:rsidRDefault="00F22B2C">
      <w:pPr>
        <w:pStyle w:val="a3"/>
        <w:spacing w:before="0" w:beforeAutospacing="0" w:after="0" w:afterAutospacing="0"/>
        <w:ind w:firstLine="547"/>
        <w:divId w:val="1025407729"/>
        <w:rPr>
          <w:sz w:val="20"/>
          <w:szCs w:val="20"/>
        </w:rPr>
      </w:pPr>
      <w:r>
        <w:rPr>
          <w:sz w:val="20"/>
          <w:szCs w:val="20"/>
        </w:rPr>
        <w:t>We seek to pro</w:t>
      </w:r>
      <w:r>
        <w:rPr>
          <w:sz w:val="20"/>
          <w:szCs w:val="20"/>
        </w:rPr>
        <w:t xml:space="preserve">tect our proprietary technology and processes, in part, by entering into confidentiality agreements with our employees, consultants, scientific advisors and contractors. We also seek to preserve the integrity and confidentiality of our data and </w:t>
      </w:r>
    </w:p>
    <w:p w:rsidR="00000000" w:rsidRDefault="00F22B2C">
      <w:pPr>
        <w:pStyle w:val="a3"/>
        <w:spacing w:before="480" w:beforeAutospacing="0" w:after="0" w:afterAutospacing="0"/>
        <w:jc w:val="center"/>
        <w:divId w:val="179205225"/>
        <w:rPr>
          <w:sz w:val="20"/>
          <w:szCs w:val="20"/>
        </w:rPr>
      </w:pPr>
      <w:r>
        <w:rPr>
          <w:sz w:val="20"/>
          <w:szCs w:val="20"/>
        </w:rPr>
        <w:t>24</w:t>
      </w:r>
    </w:p>
    <w:p w:rsidR="00000000" w:rsidRDefault="00F22B2C">
      <w:pPr>
        <w:pStyle w:val="a3"/>
        <w:spacing w:before="0" w:beforeAutospacing="0" w:after="600" w:afterAutospacing="0"/>
        <w:divId w:val="1172915923"/>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860049028"/>
        <w:rPr>
          <w:sz w:val="20"/>
          <w:szCs w:val="20"/>
        </w:rPr>
      </w:pPr>
      <w:r>
        <w:rPr>
          <w:sz w:val="20"/>
          <w:szCs w:val="20"/>
        </w:rPr>
        <w:t>trade secrets by maintaining physical security of our premises and physical and electronic security of our information technology systems. While we have confidence in these individuals, organizations and systems, agreem</w:t>
      </w:r>
      <w:r>
        <w:rPr>
          <w:sz w:val="20"/>
          <w:szCs w:val="20"/>
        </w:rPr>
        <w:t>ents or security measures may be breached, and we may not have adequate remedies for any breach. In addition, our trade secrets may otherwise become known or be independently discovered by competitors. To the extent that our consultants, contractors or col</w:t>
      </w:r>
      <w:r>
        <w:rPr>
          <w:sz w:val="20"/>
          <w:szCs w:val="20"/>
        </w:rPr>
        <w:t>laborators use intellectual property owned by others in their work for us, disputes may arise as to the rights in related or resulting know-how and inventions.</w:t>
      </w:r>
    </w:p>
    <w:p w:rsidR="00000000" w:rsidRDefault="00F22B2C">
      <w:pPr>
        <w:pStyle w:val="a3"/>
        <w:spacing w:before="0" w:beforeAutospacing="0" w:after="240" w:afterAutospacing="0"/>
        <w:divId w:val="860049028"/>
        <w:rPr>
          <w:sz w:val="20"/>
          <w:szCs w:val="20"/>
        </w:rPr>
      </w:pPr>
      <w:r>
        <w:rPr>
          <w:b/>
          <w:bCs/>
          <w:sz w:val="20"/>
          <w:szCs w:val="20"/>
        </w:rPr>
        <w:t>Government Regulations</w:t>
      </w:r>
    </w:p>
    <w:p w:rsidR="00000000" w:rsidRDefault="00F22B2C">
      <w:pPr>
        <w:pStyle w:val="a3"/>
        <w:spacing w:before="0" w:beforeAutospacing="0" w:after="240" w:afterAutospacing="0"/>
        <w:ind w:firstLine="547"/>
        <w:divId w:val="860049028"/>
        <w:rPr>
          <w:sz w:val="20"/>
          <w:szCs w:val="20"/>
        </w:rPr>
      </w:pPr>
      <w:r>
        <w:rPr>
          <w:sz w:val="20"/>
          <w:szCs w:val="20"/>
        </w:rPr>
        <w:t>The FDA and other regulatory authorities at federal, state, and local lev</w:t>
      </w:r>
      <w:r>
        <w:rPr>
          <w:sz w:val="20"/>
          <w:szCs w:val="20"/>
        </w:rPr>
        <w:t>els, as well as in foreign countries, extensively regulate, among other things, the research, development, testing, manufacture, quality control, import, export, safety, effectiveness, labeling, packaging, storage, distribution, record keeping, approval, a</w:t>
      </w:r>
      <w:r>
        <w:rPr>
          <w:sz w:val="20"/>
          <w:szCs w:val="20"/>
        </w:rPr>
        <w:t xml:space="preserve">dvertising, promotion, marketing, post-approval monitoring, and post-approval reporting of biologics such as those we are developing. We, along with our third-party contractors, will be required to navigate the various preclinical, clinical and commercial </w:t>
      </w:r>
      <w:r>
        <w:rPr>
          <w:sz w:val="20"/>
          <w:szCs w:val="20"/>
        </w:rPr>
        <w:t>approval and post-approval requirements of the governing regulatory agencies of the countries in which we wish to conduct studies or seek approval or licensure of our product candidates. The process of obtaining regulatory approvals and the subsequent comp</w:t>
      </w:r>
      <w:r>
        <w:rPr>
          <w:sz w:val="20"/>
          <w:szCs w:val="20"/>
        </w:rPr>
        <w:t>liance with appropriate federal, state, local, and foreign statutes and regulations require the expenditure of substantial time and financial resources.</w:t>
      </w:r>
    </w:p>
    <w:p w:rsidR="00000000" w:rsidRDefault="00F22B2C">
      <w:pPr>
        <w:pStyle w:val="a3"/>
        <w:spacing w:before="0" w:beforeAutospacing="0" w:after="240" w:afterAutospacing="0"/>
        <w:ind w:firstLine="547"/>
        <w:divId w:val="860049028"/>
        <w:rPr>
          <w:sz w:val="20"/>
          <w:szCs w:val="20"/>
        </w:rPr>
      </w:pPr>
      <w:r>
        <w:rPr>
          <w:sz w:val="20"/>
          <w:szCs w:val="20"/>
        </w:rPr>
        <w:t xml:space="preserve">Biologic products are regulated by the FDA under a combination of the federal Food, Drug, and Cosmetic </w:t>
      </w:r>
      <w:r>
        <w:rPr>
          <w:sz w:val="20"/>
          <w:szCs w:val="20"/>
        </w:rPr>
        <w:t>Act, or FDCA, and Public Health Services Act, or PHSA, and the FDA’s implementing regulations. Failure to comply with regulatory requirements may result in significant regulatory actions. Such actions may include refusal to approve pending applications, li</w:t>
      </w:r>
      <w:r>
        <w:rPr>
          <w:sz w:val="20"/>
          <w:szCs w:val="20"/>
        </w:rPr>
        <w:t>cense suspension or revocation, withdrawal of an approval, imposition of a clinical hold or termination of clinical trials, warning letters, untitled letters, modification of promotional materials or labeling, provision of corrective information, impositio</w:t>
      </w:r>
      <w:r>
        <w:rPr>
          <w:sz w:val="20"/>
          <w:szCs w:val="20"/>
        </w:rPr>
        <w:t>n of post-market requirements including the need for additional testing, imposition of distribution or other restrictions under a Risk Evaluation and Mitigation Strategy, or REMS, product recalls, product seizures or detentions, refusal to allow imports or</w:t>
      </w:r>
      <w:r>
        <w:rPr>
          <w:sz w:val="20"/>
          <w:szCs w:val="20"/>
        </w:rPr>
        <w:t xml:space="preserve"> exports, total or partial suspension of production or distribution, FDA debarment, injunctions, fines, consent decrees, corporate integrity agreements, debarment from receiving government contracts and new orders under existing contracts, exclusion from p</w:t>
      </w:r>
      <w:r>
        <w:rPr>
          <w:sz w:val="20"/>
          <w:szCs w:val="20"/>
        </w:rPr>
        <w:t>articipation in federal and state healthcare programs, restitution, disgorgement, or civil or criminal penalties, including fines and imprisonment, and adverse publicity, among other adverse consequences</w:t>
      </w:r>
      <w:r>
        <w:rPr>
          <w:sz w:val="20"/>
          <w:szCs w:val="20"/>
        </w:rPr>
        <w:t>.</w:t>
      </w:r>
    </w:p>
    <w:p w:rsidR="00000000" w:rsidRDefault="00F22B2C">
      <w:pPr>
        <w:pStyle w:val="a3"/>
        <w:spacing w:before="0" w:beforeAutospacing="0" w:after="240" w:afterAutospacing="0"/>
        <w:ind w:firstLine="547"/>
        <w:divId w:val="860049028"/>
        <w:rPr>
          <w:sz w:val="20"/>
          <w:szCs w:val="20"/>
        </w:rPr>
      </w:pPr>
      <w:r>
        <w:rPr>
          <w:sz w:val="20"/>
          <w:szCs w:val="20"/>
        </w:rPr>
        <w:t>The process required by the FDA before biologic pro</w:t>
      </w:r>
      <w:r>
        <w:rPr>
          <w:sz w:val="20"/>
          <w:szCs w:val="20"/>
        </w:rPr>
        <w:t>duct candidates may be marketed in the U.S. generally involves the following:</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60049028"/>
        </w:trPr>
        <w:tc>
          <w:tcPr>
            <w:tcW w:w="54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completion of preclinical laboratory tests and animal studies performed in accordance with the FDA’s current Good Laboratory Practices, or GLP, regulation, as well as manufact</w:t>
            </w:r>
            <w:r>
              <w:rPr>
                <w:rFonts w:eastAsia="Times New Roman"/>
                <w:sz w:val="20"/>
                <w:szCs w:val="20"/>
              </w:rPr>
              <w:t>uring development and formulation studies;</w:t>
            </w:r>
          </w:p>
        </w:tc>
      </w:tr>
    </w:tbl>
    <w:p w:rsidR="00000000" w:rsidRDefault="00F22B2C">
      <w:pPr>
        <w:divId w:val="860049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60049028"/>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submission to the FDA of an investigational new drug application, or IND, which must become effective before clinical trials may begin and must be updated annually or when significant changes are made;</w:t>
            </w:r>
          </w:p>
        </w:tc>
      </w:tr>
    </w:tbl>
    <w:p w:rsidR="00000000" w:rsidRDefault="00F22B2C">
      <w:pPr>
        <w:divId w:val="860049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60049028"/>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approval by an independent Institutional Review B</w:t>
            </w:r>
            <w:r>
              <w:rPr>
                <w:rFonts w:eastAsia="Times New Roman"/>
                <w:sz w:val="20"/>
                <w:szCs w:val="20"/>
              </w:rPr>
              <w:t>oard, or IRB, or ethics committee at each clinical site or centrally, before the trial is begun;</w:t>
            </w:r>
          </w:p>
        </w:tc>
      </w:tr>
    </w:tbl>
    <w:p w:rsidR="00000000" w:rsidRDefault="00F22B2C">
      <w:pPr>
        <w:divId w:val="860049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60049028"/>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performance of adequate and well-controlled human clinical trials to establish the safety, and efficacy of the proposed biologic product candidate for its</w:t>
            </w:r>
            <w:r>
              <w:rPr>
                <w:rFonts w:eastAsia="Times New Roman"/>
                <w:sz w:val="20"/>
                <w:szCs w:val="20"/>
              </w:rPr>
              <w:t xml:space="preserve"> intended purpose;</w:t>
            </w:r>
          </w:p>
        </w:tc>
      </w:tr>
    </w:tbl>
    <w:p w:rsidR="00000000" w:rsidRDefault="00F22B2C">
      <w:pPr>
        <w:divId w:val="860049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60049028"/>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preparation of and submission to the FDA of a BLA, after completion of pivotal clinical trial(s);</w:t>
            </w:r>
          </w:p>
        </w:tc>
      </w:tr>
    </w:tbl>
    <w:p w:rsidR="00000000" w:rsidRDefault="00F22B2C">
      <w:pPr>
        <w:divId w:val="860049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60049028"/>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satisfactory completion of an FDA Advisory Committee review, if applicable;</w:t>
            </w:r>
          </w:p>
        </w:tc>
      </w:tr>
    </w:tbl>
    <w:p w:rsidR="00000000" w:rsidRDefault="00F22B2C">
      <w:pPr>
        <w:divId w:val="860049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60049028"/>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a determination by the FDA within 60 days of its receipt of a BLA to file the application for review;</w:t>
            </w:r>
          </w:p>
        </w:tc>
      </w:tr>
    </w:tbl>
    <w:p w:rsidR="00000000" w:rsidRDefault="00F22B2C">
      <w:pPr>
        <w:divId w:val="860049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60049028"/>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satisfactory completion of an FDA pre-approval inspection of the manufacturing facility or facilities at which the proposed product is produced to as</w:t>
            </w:r>
            <w:r>
              <w:rPr>
                <w:rFonts w:eastAsia="Times New Roman"/>
                <w:sz w:val="20"/>
                <w:szCs w:val="20"/>
              </w:rPr>
              <w:t>sess compliance with cGMP, and to assure that the facilities, methods and controls are adequate to preserve the biological product’s continued safety, purity and potency, and of selected clinical sites to assess compliance with current Good Clinical Practi</w:t>
            </w:r>
            <w:r>
              <w:rPr>
                <w:rFonts w:eastAsia="Times New Roman"/>
                <w:sz w:val="20"/>
                <w:szCs w:val="20"/>
              </w:rPr>
              <w:t>ces, or cGCPs; and</w:t>
            </w:r>
          </w:p>
        </w:tc>
      </w:tr>
    </w:tbl>
    <w:p w:rsidR="00000000" w:rsidRDefault="00F22B2C">
      <w:pPr>
        <w:divId w:val="860049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60049028"/>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FDA review and approval of the BLA to permit commercial marketing of the product for particular indications for use in the U.S., which must be updated periodically when changes are made.</w:t>
            </w:r>
          </w:p>
        </w:tc>
      </w:tr>
    </w:tbl>
    <w:p w:rsidR="00000000" w:rsidRDefault="00F22B2C">
      <w:pPr>
        <w:pStyle w:val="a3"/>
        <w:spacing w:before="0" w:beforeAutospacing="0" w:after="0" w:afterAutospacing="0"/>
        <w:ind w:firstLine="547"/>
        <w:divId w:val="860049028"/>
        <w:rPr>
          <w:sz w:val="20"/>
          <w:szCs w:val="20"/>
        </w:rPr>
      </w:pPr>
      <w:r>
        <w:rPr>
          <w:sz w:val="20"/>
          <w:szCs w:val="20"/>
        </w:rPr>
        <w:t>The testing and approval process requires su</w:t>
      </w:r>
      <w:r>
        <w:rPr>
          <w:sz w:val="20"/>
          <w:szCs w:val="20"/>
        </w:rPr>
        <w:t>bstantial time, effort and financial resources, and we cannot be certain that any approvals for our product candidates will be granted on a timely basis, if at all. Prior to beginning the first clinical trial with a new product candidate, we must submit an</w:t>
      </w:r>
      <w:r>
        <w:rPr>
          <w:sz w:val="20"/>
          <w:szCs w:val="20"/>
        </w:rPr>
        <w:t xml:space="preserve"> IND to the FDA. An IND is a request for authorization from the FDA to administer an investigational new drug product to humans. The central focus of an IND submission is on the general investigational plan and the protocol(s) for clinical studies. The IND</w:t>
      </w:r>
      <w:r>
        <w:rPr>
          <w:sz w:val="20"/>
          <w:szCs w:val="20"/>
        </w:rPr>
        <w:t xml:space="preserve"> also includes results of animal and in vitro studies assessing the toxicology,</w:t>
      </w:r>
      <w:r>
        <w:rPr>
          <w:sz w:val="20"/>
          <w:szCs w:val="20"/>
        </w:rPr>
        <w:t xml:space="preserve"> </w:t>
      </w:r>
    </w:p>
    <w:p w:rsidR="00000000" w:rsidRDefault="00F22B2C">
      <w:pPr>
        <w:pStyle w:val="a3"/>
        <w:spacing w:before="480" w:beforeAutospacing="0" w:after="0" w:afterAutospacing="0"/>
        <w:jc w:val="center"/>
        <w:divId w:val="1008871361"/>
        <w:rPr>
          <w:sz w:val="20"/>
          <w:szCs w:val="20"/>
        </w:rPr>
      </w:pPr>
      <w:r>
        <w:rPr>
          <w:sz w:val="20"/>
          <w:szCs w:val="20"/>
        </w:rPr>
        <w:t>25</w:t>
      </w:r>
    </w:p>
    <w:p w:rsidR="00000000" w:rsidRDefault="00F22B2C">
      <w:pPr>
        <w:pStyle w:val="a3"/>
        <w:spacing w:before="0" w:beforeAutospacing="0" w:after="600" w:afterAutospacing="0"/>
        <w:divId w:val="1728912863"/>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469834258"/>
        <w:rPr>
          <w:sz w:val="20"/>
          <w:szCs w:val="20"/>
        </w:rPr>
      </w:pPr>
      <w:r>
        <w:rPr>
          <w:sz w:val="20"/>
          <w:szCs w:val="20"/>
        </w:rPr>
        <w:t>pharmacokinetics, pharmacology, and pharmacodynamic characteristics of the product; chemistry, manufacturing, and controls infor</w:t>
      </w:r>
      <w:r>
        <w:rPr>
          <w:sz w:val="20"/>
          <w:szCs w:val="20"/>
        </w:rPr>
        <w:t xml:space="preserve">mation; and any available human data or literature to support the use of the investigational product. An IND must become effective before human clinical trials may begin. The IND automatically becomes effective 30 days after receipt by the FDA, unless the </w:t>
      </w:r>
      <w:r>
        <w:rPr>
          <w:sz w:val="20"/>
          <w:szCs w:val="20"/>
        </w:rPr>
        <w:t>FDA, within the 30-day time period, raises concerns or questions about the proposed clinical trial. In such a case, the IND may be placed on clinical hold and the IND sponsor and the FDA must resolve any outstanding concerns or questions before the clinica</w:t>
      </w:r>
      <w:r>
        <w:rPr>
          <w:sz w:val="20"/>
          <w:szCs w:val="20"/>
        </w:rPr>
        <w:t>l trial can begin. Clinical holds also may be imposed by the FDA at any time before or during trials due to safety concerns or non-compliance. Submission of an IND therefore may or may not result in FDA authorization to begin a clinical trial</w:t>
      </w:r>
      <w:r>
        <w:rPr>
          <w:sz w:val="20"/>
          <w:szCs w:val="20"/>
        </w:rPr>
        <w:t>.</w:t>
      </w:r>
    </w:p>
    <w:p w:rsidR="00000000" w:rsidRDefault="00F22B2C">
      <w:pPr>
        <w:pStyle w:val="a3"/>
        <w:spacing w:before="0" w:beforeAutospacing="0" w:after="240" w:afterAutospacing="0"/>
        <w:ind w:firstLine="547"/>
        <w:divId w:val="469834258"/>
        <w:rPr>
          <w:sz w:val="20"/>
          <w:szCs w:val="20"/>
        </w:rPr>
      </w:pPr>
      <w:r>
        <w:rPr>
          <w:sz w:val="20"/>
          <w:szCs w:val="20"/>
        </w:rPr>
        <w:t>Human immunotherapy products are a new category of therapeutics. Because this is a relatively new and expanding area of novel therapeutic interventions, there can be no assurance as to the length of the trial period, the number of patients the FDA will req</w:t>
      </w:r>
      <w:r>
        <w:rPr>
          <w:sz w:val="20"/>
          <w:szCs w:val="20"/>
        </w:rPr>
        <w:t>uire to be enrolled in the trials in order to establish the safety, efficacy, purity and potency of immunotherapy products, or that the data generated in these trials will be acceptable to the FDA to support marketing approval.</w:t>
      </w:r>
    </w:p>
    <w:p w:rsidR="00000000" w:rsidRDefault="00F22B2C">
      <w:pPr>
        <w:pStyle w:val="a3"/>
        <w:spacing w:before="0" w:beforeAutospacing="0" w:after="240" w:afterAutospacing="0"/>
        <w:ind w:firstLine="547"/>
        <w:divId w:val="469834258"/>
        <w:rPr>
          <w:sz w:val="20"/>
          <w:szCs w:val="20"/>
        </w:rPr>
      </w:pPr>
      <w:r>
        <w:rPr>
          <w:sz w:val="20"/>
          <w:szCs w:val="20"/>
        </w:rPr>
        <w:t xml:space="preserve">Clinical trials involve the </w:t>
      </w:r>
      <w:r>
        <w:rPr>
          <w:sz w:val="20"/>
          <w:szCs w:val="20"/>
        </w:rPr>
        <w:t>administration of the investigational product to human subjects under the supervision of qualified investigators in accordance with cGCPs, which include the requirement that all research subjects provide their informed consent for their participation in an</w:t>
      </w:r>
      <w:r>
        <w:rPr>
          <w:sz w:val="20"/>
          <w:szCs w:val="20"/>
        </w:rPr>
        <w:t>y clinical study. Clinical trials are conducted under protocols detailing, among other things, the objectives of the study, the parameters to be used in monitoring safety and the effectiveness criteria to be evaluated, and a statistical analysis plan. A se</w:t>
      </w:r>
      <w:r>
        <w:rPr>
          <w:sz w:val="20"/>
          <w:szCs w:val="20"/>
        </w:rPr>
        <w:t>parate submission to the existing IND must be made for each successive clinical trial conducted during product development and for any subsequent protocol amendments. Investigators must also provide certain information to the clinical trial sponsors to all</w:t>
      </w:r>
      <w:r>
        <w:rPr>
          <w:sz w:val="20"/>
          <w:szCs w:val="20"/>
        </w:rPr>
        <w:t xml:space="preserve">ow the sponsors to make certain financial disclosures to the FDA. </w:t>
      </w:r>
    </w:p>
    <w:p w:rsidR="00000000" w:rsidRDefault="00F22B2C">
      <w:pPr>
        <w:pStyle w:val="a3"/>
        <w:spacing w:before="0" w:beforeAutospacing="0" w:after="240" w:afterAutospacing="0"/>
        <w:ind w:firstLine="547"/>
        <w:divId w:val="469834258"/>
        <w:rPr>
          <w:sz w:val="20"/>
          <w:szCs w:val="20"/>
        </w:rPr>
      </w:pPr>
      <w:r>
        <w:rPr>
          <w:sz w:val="20"/>
          <w:szCs w:val="20"/>
        </w:rPr>
        <w:t>Furthermore, an independent IRB for each site proposing to conduct the clinical trial or centrally must review and approve the plan for any clinical trial, its informed consent form and any</w:t>
      </w:r>
      <w:r>
        <w:rPr>
          <w:sz w:val="20"/>
          <w:szCs w:val="20"/>
        </w:rPr>
        <w:t xml:space="preserve"> subject communications, before the clinical trial begins at that site, and upon amendment of the trial, and must monitor the study until completed. An IRB considers, among other things, whether the risks to individuals participating in the trials are mini</w:t>
      </w:r>
      <w:r>
        <w:rPr>
          <w:sz w:val="20"/>
          <w:szCs w:val="20"/>
        </w:rPr>
        <w:t>mized and are reasonable in relation to anticipated benefits and whether the planned human subject protections are adequate. Informed consent must be received from each study subject prior to participation in a clinical study. Progress reports detailing th</w:t>
      </w:r>
      <w:r>
        <w:rPr>
          <w:sz w:val="20"/>
          <w:szCs w:val="20"/>
        </w:rPr>
        <w:t>e results of the clinical trials must also be submitted at least annually to the FDA and the IRB and more frequently if serious adverse events or other significant safety information is found.</w:t>
      </w:r>
    </w:p>
    <w:p w:rsidR="00000000" w:rsidRDefault="00F22B2C">
      <w:pPr>
        <w:pStyle w:val="a3"/>
        <w:spacing w:before="0" w:beforeAutospacing="0" w:after="240" w:afterAutospacing="0"/>
        <w:ind w:firstLine="547"/>
        <w:divId w:val="469834258"/>
        <w:rPr>
          <w:sz w:val="20"/>
          <w:szCs w:val="20"/>
        </w:rPr>
      </w:pPr>
      <w:r>
        <w:rPr>
          <w:sz w:val="20"/>
          <w:szCs w:val="20"/>
        </w:rPr>
        <w:t>Regulatory authorities, the IRB, or the sponsor may suspend a c</w:t>
      </w:r>
      <w:r>
        <w:rPr>
          <w:sz w:val="20"/>
          <w:szCs w:val="20"/>
        </w:rPr>
        <w:t xml:space="preserve">linical trial at any time on various grounds, including a finding that the subjects are being exposed to an unacceptable health risk, that the trial is not being conducted in accordance with regulatory or IRB requirements, or that the trial is unlikely to </w:t>
      </w:r>
      <w:r>
        <w:rPr>
          <w:sz w:val="20"/>
          <w:szCs w:val="20"/>
        </w:rPr>
        <w:t>meet its stated objectives. Sponsors may also discontinue studies or development programs for many reasons, including changing business objectives. Some studies also include oversight by an independent group of qualified experts organized by the clinical s</w:t>
      </w:r>
      <w:r>
        <w:rPr>
          <w:sz w:val="20"/>
          <w:szCs w:val="20"/>
        </w:rPr>
        <w:t>tudy sponsor, known as a data safety monitoring board, or DSMB, which provides recommendations and assessments for whether or not a study should move forward at designated check points based on access to certain data from the study. Following a review by a</w:t>
      </w:r>
      <w:r>
        <w:rPr>
          <w:sz w:val="20"/>
          <w:szCs w:val="20"/>
        </w:rPr>
        <w:t xml:space="preserve"> DSMB, the study may be halted if there is an unacceptable safety risk for subjects or on other grounds, such as failure to demonstrate efficacy. There are also requirements governing the reporting of ongoing clinical studies and clinical study results to </w:t>
      </w:r>
      <w:r>
        <w:rPr>
          <w:sz w:val="20"/>
          <w:szCs w:val="20"/>
        </w:rPr>
        <w:t>public registries. For instance, we are required to register certain clinical trials and post the results of certain completed clinical trials on a government-sponsored database, ClinicalTrials.gov, within specified timeframes, and also to certify to FDA o</w:t>
      </w:r>
      <w:r>
        <w:rPr>
          <w:sz w:val="20"/>
          <w:szCs w:val="20"/>
        </w:rPr>
        <w:t>ur compliance with these requirements when we make FDA submissions. Failure to make required ClinicalTrials.gov submissions, submitting false or misleading information to ClinicalTrials.gov, or making false certifications to FDA could result in enforcement</w:t>
      </w:r>
      <w:r>
        <w:rPr>
          <w:sz w:val="20"/>
          <w:szCs w:val="20"/>
        </w:rPr>
        <w:t xml:space="preserve"> actions, including civil money penalties and adverse publicity.</w:t>
      </w:r>
    </w:p>
    <w:p w:rsidR="00000000" w:rsidRDefault="00F22B2C">
      <w:pPr>
        <w:pStyle w:val="a3"/>
        <w:spacing w:before="0" w:beforeAutospacing="0" w:after="240" w:afterAutospacing="0"/>
        <w:ind w:firstLine="547"/>
        <w:divId w:val="469834258"/>
        <w:rPr>
          <w:sz w:val="20"/>
          <w:szCs w:val="20"/>
        </w:rPr>
      </w:pPr>
      <w:r>
        <w:rPr>
          <w:sz w:val="20"/>
          <w:szCs w:val="20"/>
        </w:rPr>
        <w:t>For purposes of BLA approval, human clinical trials are typically conducted in three sequential phases that may overlap. Although these are the typical phases for progression, and characteris</w:t>
      </w:r>
      <w:r>
        <w:rPr>
          <w:sz w:val="20"/>
          <w:szCs w:val="20"/>
        </w:rPr>
        <w:t>tics of the phases of a clinical development program, certain expedited programs allow for variations that could support a marketing application based on surrogate endpoints, intermediate clinical endpoints, or single-arm as opposed to comparative or place</w:t>
      </w:r>
      <w:r>
        <w:rPr>
          <w:sz w:val="20"/>
          <w:szCs w:val="20"/>
        </w:rPr>
        <w:t>bo-controlled studies.</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469834258"/>
        </w:trPr>
        <w:tc>
          <w:tcPr>
            <w:tcW w:w="54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Phase 1 - The investigational product is initially introduced into healthy human subjects or patients with the target disease or condition. These studies are designed to test the safety, dosage tolerance, absorption, metabolism an</w:t>
            </w:r>
            <w:r>
              <w:rPr>
                <w:rFonts w:eastAsia="Times New Roman"/>
                <w:sz w:val="20"/>
                <w:szCs w:val="20"/>
              </w:rPr>
              <w:t>d distribution of the investigational product in humans, the side effects associated with increasing doses, and, if possible, to gain early evidence on effectiveness.</w:t>
            </w:r>
          </w:p>
        </w:tc>
      </w:tr>
    </w:tbl>
    <w:p w:rsidR="00000000" w:rsidRDefault="00F22B2C">
      <w:pPr>
        <w:divId w:val="4698342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469834258"/>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Phase 2 - The investigational product is administered to a limited patient populatio</w:t>
            </w:r>
            <w:r>
              <w:rPr>
                <w:rFonts w:eastAsia="Times New Roman"/>
                <w:sz w:val="20"/>
                <w:szCs w:val="20"/>
              </w:rPr>
              <w:t xml:space="preserve">n with a specified disease or condition to evaluate the preliminary efficacy, optimal dosages and dosing schedule and to identify possible adverse side effects and </w:t>
            </w:r>
          </w:p>
        </w:tc>
      </w:tr>
    </w:tbl>
    <w:p w:rsidR="00000000" w:rsidRDefault="00F22B2C">
      <w:pPr>
        <w:pStyle w:val="a3"/>
        <w:spacing w:before="480" w:beforeAutospacing="0" w:after="0" w:afterAutospacing="0"/>
        <w:jc w:val="center"/>
        <w:divId w:val="598827894"/>
        <w:rPr>
          <w:sz w:val="20"/>
          <w:szCs w:val="20"/>
        </w:rPr>
      </w:pPr>
      <w:r>
        <w:rPr>
          <w:sz w:val="20"/>
          <w:szCs w:val="20"/>
        </w:rPr>
        <w:t>26</w:t>
      </w:r>
    </w:p>
    <w:p w:rsidR="00000000" w:rsidRDefault="00F22B2C">
      <w:pPr>
        <w:pStyle w:val="a3"/>
        <w:spacing w:before="0" w:beforeAutospacing="0" w:after="600" w:afterAutospacing="0"/>
        <w:divId w:val="45036989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0"/>
        <w:gridCol w:w="368"/>
        <w:gridCol w:w="7398"/>
      </w:tblGrid>
      <w:tr w:rsidR="00000000">
        <w:trPr>
          <w:divId w:val="575436813"/>
        </w:trPr>
        <w:tc>
          <w:tcPr>
            <w:tcW w:w="54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safety risks. Multiple Phase 2 clinical t</w:t>
            </w:r>
            <w:r>
              <w:rPr>
                <w:rFonts w:eastAsia="Times New Roman"/>
                <w:sz w:val="20"/>
                <w:szCs w:val="20"/>
              </w:rPr>
              <w:t>rials may be conducted to obtain information prior to beginning larger and more expensive Phase 3 clinical trials.</w:t>
            </w:r>
          </w:p>
        </w:tc>
      </w:tr>
    </w:tbl>
    <w:p w:rsidR="00000000" w:rsidRDefault="00F22B2C">
      <w:pPr>
        <w:divId w:val="5754368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575436813"/>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Phase 3 - The investigational product is administered to an expanded patient population in adequate and well-controlled studies to further evaluate dosage, to provide statistically significant evidence of clinical efficacy and to further test for safety, g</w:t>
            </w:r>
            <w:r>
              <w:rPr>
                <w:rFonts w:eastAsia="Times New Roman"/>
                <w:sz w:val="20"/>
                <w:szCs w:val="20"/>
              </w:rPr>
              <w:t>enerally at multiple geographically dispersed clinical trial sites. These clinical trials are intended to establish the overall risk/benefit relationship of the investigational product and to provide an adequate basis for product approval. Typically, two P</w:t>
            </w:r>
            <w:r>
              <w:rPr>
                <w:rFonts w:eastAsia="Times New Roman"/>
                <w:sz w:val="20"/>
                <w:szCs w:val="20"/>
              </w:rPr>
              <w:t>hase 3 studies are required by the FDA for product approval.</w:t>
            </w:r>
          </w:p>
        </w:tc>
      </w:tr>
    </w:tbl>
    <w:p w:rsidR="00000000" w:rsidRDefault="00F22B2C">
      <w:pPr>
        <w:divId w:val="5754368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575436813"/>
        </w:trPr>
        <w:tc>
          <w:tcPr>
            <w:tcW w:w="54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Phase 4 - In some cases, the FDA may require, or companies may voluntarily pursue, additional clinical trials after a product is approved to gain more information about the product. These so</w:t>
            </w:r>
            <w:r>
              <w:rPr>
                <w:rFonts w:eastAsia="Times New Roman"/>
                <w:sz w:val="20"/>
                <w:szCs w:val="20"/>
              </w:rPr>
              <w:t>-called Phase 4 studies may be made a condition to approval of the BLA.</w:t>
            </w:r>
          </w:p>
        </w:tc>
      </w:tr>
    </w:tbl>
    <w:p w:rsidR="00000000" w:rsidRDefault="00F22B2C">
      <w:pPr>
        <w:pStyle w:val="a3"/>
        <w:spacing w:before="0" w:beforeAutospacing="0" w:after="240" w:afterAutospacing="0"/>
        <w:ind w:firstLine="547"/>
        <w:divId w:val="575436813"/>
        <w:rPr>
          <w:sz w:val="20"/>
          <w:szCs w:val="20"/>
        </w:rPr>
      </w:pPr>
      <w:r>
        <w:rPr>
          <w:sz w:val="20"/>
          <w:szCs w:val="20"/>
        </w:rPr>
        <w:t>Additional types of data may also help to support a BLA, such as real-world evidence and patient experience data. Phase 1, Phase 2 and Phase 3, and Phase 4 testing, if applicable, may</w:t>
      </w:r>
      <w:r>
        <w:rPr>
          <w:sz w:val="20"/>
          <w:szCs w:val="20"/>
        </w:rPr>
        <w:t xml:space="preserve"> not be completed successfully within a specified period, if at all, and there can be no assurance that the data collected will support FDA approval or licensure of the product. Concurrent with clinical trials, companies may complete additional animal stud</w:t>
      </w:r>
      <w:r>
        <w:rPr>
          <w:sz w:val="20"/>
          <w:szCs w:val="20"/>
        </w:rPr>
        <w:t xml:space="preserve">ies and develop additional information about the biological characteristics of the product candidate and must finalize a process for manufacturing the product in commercial quantities in accordance with cGMP requirements. The manufacturing process must be </w:t>
      </w:r>
      <w:r>
        <w:rPr>
          <w:sz w:val="20"/>
          <w:szCs w:val="20"/>
        </w:rPr>
        <w:t>capable of consistently producing quality batches of the product candidate and, among other things, must develop methods for testing the identity, strength, quality and purity of the final product, or for biologics, the safety, purity and potency. Addition</w:t>
      </w:r>
      <w:r>
        <w:rPr>
          <w:sz w:val="20"/>
          <w:szCs w:val="20"/>
        </w:rPr>
        <w:t>ally, appropriate packaging must be selected and tested, and stability studies must be conducted to demonstrate that the product candidate does not undergo unacceptable deterioration over its shelf life and manufacturing processes must be validated.</w:t>
      </w:r>
    </w:p>
    <w:p w:rsidR="00000000" w:rsidRDefault="00F22B2C">
      <w:pPr>
        <w:pStyle w:val="a3"/>
        <w:spacing w:before="0" w:beforeAutospacing="0" w:after="240" w:afterAutospacing="0"/>
        <w:ind w:firstLine="547"/>
        <w:divId w:val="575436813"/>
        <w:rPr>
          <w:sz w:val="20"/>
          <w:szCs w:val="20"/>
        </w:rPr>
      </w:pPr>
      <w:r>
        <w:rPr>
          <w:sz w:val="20"/>
          <w:szCs w:val="20"/>
        </w:rPr>
        <w:t>The ma</w:t>
      </w:r>
      <w:r>
        <w:rPr>
          <w:sz w:val="20"/>
          <w:szCs w:val="20"/>
        </w:rPr>
        <w:t>nufacture of investigational biologics for the conduct of human clinical trials is subject to cGMP requirements. Investigational biologics and active ingredients imported into the U.S. are also subject to regulation by the FDA relating to their labeling an</w:t>
      </w:r>
      <w:r>
        <w:rPr>
          <w:sz w:val="20"/>
          <w:szCs w:val="20"/>
        </w:rPr>
        <w:t>d distribution. Further, the export of investigational products outside of the U.S. is subject to regulatory requirements of the importing country as well as U.S. export requirements under the FDCA. Additional U.S. and foreign laws and regulations may also</w:t>
      </w:r>
      <w:r>
        <w:rPr>
          <w:sz w:val="20"/>
          <w:szCs w:val="20"/>
        </w:rPr>
        <w:t xml:space="preserve"> be applicable to the handling, import, export, and transportation of biological materials, including tissue samples.</w:t>
      </w:r>
    </w:p>
    <w:p w:rsidR="00000000" w:rsidRDefault="00F22B2C">
      <w:pPr>
        <w:pStyle w:val="a3"/>
        <w:spacing w:before="0" w:beforeAutospacing="0" w:after="240" w:afterAutospacing="0"/>
        <w:ind w:firstLine="547"/>
        <w:divId w:val="575436813"/>
        <w:rPr>
          <w:sz w:val="20"/>
          <w:szCs w:val="20"/>
        </w:rPr>
      </w:pPr>
      <w:r>
        <w:rPr>
          <w:sz w:val="20"/>
          <w:szCs w:val="20"/>
        </w:rPr>
        <w:t xml:space="preserve">During the development of a new therapeutic, a sponsor may be able to request a Special Protocol Assessment, or SPA, the purpose of which </w:t>
      </w:r>
      <w:r>
        <w:rPr>
          <w:sz w:val="20"/>
          <w:szCs w:val="20"/>
        </w:rPr>
        <w:t>is to reach an agreement with the FDA on the Phase 3 clinical trial protocol design and analysis that will form the primary basis of product approval and an efficacy claim, as well as preclinical carcinogenicity trials and stability studies. An SPA may onl</w:t>
      </w:r>
      <w:r>
        <w:rPr>
          <w:sz w:val="20"/>
          <w:szCs w:val="20"/>
        </w:rPr>
        <w:t>y be modified with the agreement of the FDA and the trial sponsor, or if the director of the FDA reviewing division determines that a substantial scientific issue essential to determining the safety or efficacy of the product was identified after the testi</w:t>
      </w:r>
      <w:r>
        <w:rPr>
          <w:sz w:val="20"/>
          <w:szCs w:val="20"/>
        </w:rPr>
        <w:t xml:space="preserve">ng began. An SPA is intended to provide assurance that, in the case of clinical trials, if the agreed upon clinical trial protocol is followed, the clinical trial endpoints are achieved, and there is a favorable risk-benefit profile, the data may serve as </w:t>
      </w:r>
      <w:r>
        <w:rPr>
          <w:sz w:val="20"/>
          <w:szCs w:val="20"/>
        </w:rPr>
        <w:t>the primary basis for an efficacy claim in support of a BLA. However, SPA agreements are not a guarantee of approval of a product candidate or any permissible claims about the product candidate. In particular, SPAs are not binding on the FDA if, among othe</w:t>
      </w:r>
      <w:r>
        <w:rPr>
          <w:sz w:val="20"/>
          <w:szCs w:val="20"/>
        </w:rPr>
        <w:t>r reasons, previously unrecognized public health concerns arise during the performance of the clinical trial, other new scientific concerns regarding the product candidate’s safety or efficacy arise, or if the sponsoring company fails to comply with the ag</w:t>
      </w:r>
      <w:r>
        <w:rPr>
          <w:sz w:val="20"/>
          <w:szCs w:val="20"/>
        </w:rPr>
        <w:t>reed upon clinical trial protocol.</w:t>
      </w:r>
    </w:p>
    <w:p w:rsidR="00000000" w:rsidRDefault="00F22B2C">
      <w:pPr>
        <w:pStyle w:val="a3"/>
        <w:spacing w:before="0" w:beforeAutospacing="0" w:after="240" w:afterAutospacing="0"/>
        <w:ind w:firstLine="547"/>
        <w:divId w:val="575436813"/>
        <w:rPr>
          <w:sz w:val="20"/>
          <w:szCs w:val="20"/>
        </w:rPr>
      </w:pPr>
      <w:r>
        <w:rPr>
          <w:sz w:val="20"/>
          <w:szCs w:val="20"/>
        </w:rPr>
        <w:t>In addition, under the Pediatric Research Equity Act, or PREA, a BLA or supplement to a BLA for a new active ingredient, indication, dosage form, dosage regimen, or route of administration, must contain data that are adeq</w:t>
      </w:r>
      <w:r>
        <w:rPr>
          <w:sz w:val="20"/>
          <w:szCs w:val="20"/>
        </w:rPr>
        <w:t>uate to assess the safety and effectiveness of the product for the claimed indications in all relevant pediatric subpopulations, and to support dosing and administration for each pediatric subpopulation for which the product is safe and effective. Also, un</w:t>
      </w:r>
      <w:r>
        <w:rPr>
          <w:sz w:val="20"/>
          <w:szCs w:val="20"/>
        </w:rPr>
        <w:t>der the FDA Reauthorization Act of 2017, beginning in 2020, sponsors submitting applications for product candidates intended for the treatment of adult cancer which are directed at molecular targets that the FDA determines to be substantially relevant to t</w:t>
      </w:r>
      <w:r>
        <w:rPr>
          <w:sz w:val="20"/>
          <w:szCs w:val="20"/>
        </w:rPr>
        <w:t>he growth or progression of pediatric cancer must submit, with the application, reports from molecularly targeted pediatric cancer investigations designed to yield clinically meaningful pediatric study data, using appropriate formulations, to inform potent</w:t>
      </w:r>
      <w:r>
        <w:rPr>
          <w:sz w:val="20"/>
          <w:szCs w:val="20"/>
        </w:rPr>
        <w:t>ial pediatric labeling. The FDA may, on its own initiative or at the request of the applicant, grant deferrals for submission of some or all pediatric data until after approval of the product for use in adults, or full or partial waivers from the pediatric</w:t>
      </w:r>
      <w:r>
        <w:rPr>
          <w:sz w:val="20"/>
          <w:szCs w:val="20"/>
        </w:rPr>
        <w:t xml:space="preserve"> data requirements. Orphan products are also exempt from PREA requirements.</w:t>
      </w:r>
    </w:p>
    <w:p w:rsidR="00000000" w:rsidRDefault="00F22B2C">
      <w:pPr>
        <w:pStyle w:val="a3"/>
        <w:spacing w:before="0" w:beforeAutospacing="0" w:after="0" w:afterAutospacing="0"/>
        <w:ind w:firstLine="547"/>
        <w:divId w:val="575436813"/>
        <w:rPr>
          <w:sz w:val="20"/>
          <w:szCs w:val="20"/>
        </w:rPr>
      </w:pPr>
      <w:r>
        <w:rPr>
          <w:sz w:val="20"/>
          <w:szCs w:val="20"/>
        </w:rPr>
        <w:t xml:space="preserve">The FDA also may require submission of REMS, to ensure that the benefits of the biologic outweigh the risks. The REMS plan could include medication guides, physician communication </w:t>
      </w:r>
      <w:r>
        <w:rPr>
          <w:sz w:val="20"/>
          <w:szCs w:val="20"/>
        </w:rPr>
        <w:t xml:space="preserve">plans, and elements to assure safe use, such as restricted distribution methods, patient registries, or other risk minimization tools. An assessment of the REMS must also be conducted at set intervals. </w:t>
      </w:r>
    </w:p>
    <w:p w:rsidR="00000000" w:rsidRDefault="00F22B2C">
      <w:pPr>
        <w:pStyle w:val="a3"/>
        <w:spacing w:before="480" w:beforeAutospacing="0" w:after="0" w:afterAutospacing="0"/>
        <w:jc w:val="center"/>
        <w:divId w:val="745105884"/>
        <w:rPr>
          <w:sz w:val="20"/>
          <w:szCs w:val="20"/>
        </w:rPr>
      </w:pPr>
      <w:r>
        <w:rPr>
          <w:sz w:val="20"/>
          <w:szCs w:val="20"/>
        </w:rPr>
        <w:t>27</w:t>
      </w:r>
    </w:p>
    <w:p w:rsidR="00000000" w:rsidRDefault="00F22B2C">
      <w:pPr>
        <w:pStyle w:val="a3"/>
        <w:spacing w:before="0" w:beforeAutospacing="0" w:after="600" w:afterAutospacing="0"/>
        <w:divId w:val="1445075681"/>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929509259"/>
        <w:rPr>
          <w:sz w:val="20"/>
          <w:szCs w:val="20"/>
        </w:rPr>
      </w:pPr>
      <w:r>
        <w:rPr>
          <w:sz w:val="20"/>
          <w:szCs w:val="20"/>
        </w:rPr>
        <w:t>Follow</w:t>
      </w:r>
      <w:r>
        <w:rPr>
          <w:sz w:val="20"/>
          <w:szCs w:val="20"/>
        </w:rPr>
        <w:t>ing product approval, a REMS may also be required by the FDA if new safety information is discovered and the FDA determines that a REMS is necessary to ensure that the benefits of the biologic outweigh the risks.</w:t>
      </w:r>
    </w:p>
    <w:p w:rsidR="00000000" w:rsidRDefault="00F22B2C">
      <w:pPr>
        <w:pStyle w:val="a3"/>
        <w:spacing w:before="0" w:beforeAutospacing="0" w:after="240" w:afterAutospacing="0"/>
        <w:divId w:val="929509259"/>
        <w:rPr>
          <w:sz w:val="20"/>
          <w:szCs w:val="20"/>
        </w:rPr>
      </w:pPr>
      <w:r>
        <w:rPr>
          <w:b/>
          <w:bCs/>
          <w:i/>
          <w:iCs/>
          <w:sz w:val="20"/>
          <w:szCs w:val="20"/>
        </w:rPr>
        <w:t>BLA Submission and Review by the FDA</w:t>
      </w:r>
    </w:p>
    <w:p w:rsidR="00000000" w:rsidRDefault="00F22B2C">
      <w:pPr>
        <w:pStyle w:val="a3"/>
        <w:spacing w:before="0" w:beforeAutospacing="0" w:after="240" w:afterAutospacing="0"/>
        <w:ind w:firstLine="547"/>
        <w:divId w:val="929509259"/>
        <w:rPr>
          <w:sz w:val="20"/>
          <w:szCs w:val="20"/>
        </w:rPr>
      </w:pPr>
      <w:r>
        <w:rPr>
          <w:sz w:val="20"/>
          <w:szCs w:val="20"/>
        </w:rPr>
        <w:t>Assuming successful completion of all required testing in accordance with all applicable regulatory requirements, the results of product development, nonclinical studies and clinical trials are submitted to the FDA as p</w:t>
      </w:r>
      <w:r>
        <w:rPr>
          <w:sz w:val="20"/>
          <w:szCs w:val="20"/>
        </w:rPr>
        <w:t>art of a BLA requesting approval to market the product for one or more indications. The BLA must include all relevant data available from pertinent preclinical and clinical studies, including negative or ambiguous results as well as positive findings, toge</w:t>
      </w:r>
      <w:r>
        <w:rPr>
          <w:sz w:val="20"/>
          <w:szCs w:val="20"/>
        </w:rPr>
        <w:t>ther with detailed information relating to the product’s chemistry, manufacturing, controls, and proposed labeling, among other things. Data can come from company-sponsored clinical studies intended to test the safety and effectiveness of a use of the prod</w:t>
      </w:r>
      <w:r>
        <w:rPr>
          <w:sz w:val="20"/>
          <w:szCs w:val="20"/>
        </w:rPr>
        <w:t xml:space="preserve">uct, or from a number of alternative sources, including studies initiated by investigators. The submission of a BLA requires payment of a substantial user fee to the FDA, under the Prescription Drug User Fee Act, and the sponsor of an approved BLA is also </w:t>
      </w:r>
      <w:r>
        <w:rPr>
          <w:sz w:val="20"/>
          <w:szCs w:val="20"/>
        </w:rPr>
        <w:t>subject to annual program fees. These fees are typically increased annually. A waiver of user fees may be obtained under certain limited circumstances.</w:t>
      </w:r>
    </w:p>
    <w:p w:rsidR="00000000" w:rsidRDefault="00F22B2C">
      <w:pPr>
        <w:pStyle w:val="a3"/>
        <w:spacing w:before="0" w:beforeAutospacing="0" w:after="240" w:afterAutospacing="0"/>
        <w:ind w:firstLine="547"/>
        <w:divId w:val="929509259"/>
        <w:rPr>
          <w:sz w:val="20"/>
          <w:szCs w:val="20"/>
        </w:rPr>
      </w:pPr>
      <w:r>
        <w:rPr>
          <w:sz w:val="20"/>
          <w:szCs w:val="20"/>
        </w:rPr>
        <w:t>Once a BLA has been submitted, the FDA has sixty days to determine whether it will accept the applicatio</w:t>
      </w:r>
      <w:r>
        <w:rPr>
          <w:sz w:val="20"/>
          <w:szCs w:val="20"/>
        </w:rPr>
        <w:t>n for filing. The FDA accepts applications for filing if it determines that the application is substantially complete to permit a substantive review. The FDA may request additional information rather than accept a BLA for filing. In this event, the applica</w:t>
      </w:r>
      <w:r>
        <w:rPr>
          <w:sz w:val="20"/>
          <w:szCs w:val="20"/>
        </w:rPr>
        <w:t>tion must be resubmitted with the additional information. The resubmitted application is also subject to review before the FDA accepts it for filing. Once the submission is accepted for filing, the FDA begins an in-depth substantive review.</w:t>
      </w:r>
    </w:p>
    <w:p w:rsidR="00000000" w:rsidRDefault="00F22B2C">
      <w:pPr>
        <w:pStyle w:val="a3"/>
        <w:spacing w:before="0" w:beforeAutospacing="0" w:after="240" w:afterAutospacing="0"/>
        <w:ind w:firstLine="547"/>
        <w:divId w:val="929509259"/>
        <w:rPr>
          <w:sz w:val="20"/>
          <w:szCs w:val="20"/>
        </w:rPr>
      </w:pPr>
      <w:r>
        <w:rPr>
          <w:sz w:val="20"/>
          <w:szCs w:val="20"/>
        </w:rPr>
        <w:t xml:space="preserve">The FDA’s goal </w:t>
      </w:r>
      <w:r>
        <w:rPr>
          <w:sz w:val="20"/>
          <w:szCs w:val="20"/>
        </w:rPr>
        <w:t>is to review the application within ten months after it accepts the application for filing, or, if the application relates to a serious or life-threatening indication and, if approved, the product would provide a significant improvement in safety and effic</w:t>
      </w:r>
      <w:r>
        <w:rPr>
          <w:sz w:val="20"/>
          <w:szCs w:val="20"/>
        </w:rPr>
        <w:t>acy, six months after the FDA accepts the application for filing, which is referred to as Priority Review. The review process is often significantly extended if the FDA requests additional information or clarification. The FDA reviews a BLA to determine, a</w:t>
      </w:r>
      <w:r>
        <w:rPr>
          <w:sz w:val="20"/>
          <w:szCs w:val="20"/>
        </w:rPr>
        <w:t>mong other things, whether a product is safe, pure and potent and the facility in which it is manufactured, processed, packed, or held meets standards designed to assure the product’s continued safety, purity and potency. There are numerous FDA personnel a</w:t>
      </w:r>
      <w:r>
        <w:rPr>
          <w:sz w:val="20"/>
          <w:szCs w:val="20"/>
        </w:rPr>
        <w:t>ssigned to review different aspects of a BLA, and uncertainties can be presented by their ability to exercise judgment and discretion during the review process. The development and provision of additional data and information requested by FDA during review</w:t>
      </w:r>
      <w:r>
        <w:rPr>
          <w:sz w:val="20"/>
          <w:szCs w:val="20"/>
        </w:rPr>
        <w:t xml:space="preserve"> of a BLA may be time consuming and expensive.</w:t>
      </w:r>
    </w:p>
    <w:p w:rsidR="00000000" w:rsidRDefault="00F22B2C">
      <w:pPr>
        <w:pStyle w:val="a3"/>
        <w:spacing w:before="0" w:beforeAutospacing="0" w:after="240" w:afterAutospacing="0"/>
        <w:ind w:firstLine="547"/>
        <w:divId w:val="929509259"/>
        <w:rPr>
          <w:sz w:val="20"/>
          <w:szCs w:val="20"/>
        </w:rPr>
      </w:pPr>
      <w:r>
        <w:rPr>
          <w:sz w:val="20"/>
          <w:szCs w:val="20"/>
        </w:rPr>
        <w:t>The FDA may convene an advisory committee to provide clinical insight on application review questions. Before approving a novel biologic, the FDA must either refer that biologic to an external advisory committ</w:t>
      </w:r>
      <w:r>
        <w:rPr>
          <w:sz w:val="20"/>
          <w:szCs w:val="20"/>
        </w:rPr>
        <w:t xml:space="preserve">ee or provide in an action letter, a summary of the reasons why the FDA did not refer the product candidate to an advisory committee. An advisory committee is typically a panel that includes clinicians and other experts, which review, evaluate, and make a </w:t>
      </w:r>
      <w:r>
        <w:rPr>
          <w:sz w:val="20"/>
          <w:szCs w:val="20"/>
        </w:rPr>
        <w:t>recommendation as to whether the application should be approved and under what conditions. The FDA is not bound by the recommendations of an advisory committee, but it considers such recommendations carefully when making decisions.</w:t>
      </w:r>
    </w:p>
    <w:p w:rsidR="00000000" w:rsidRDefault="00F22B2C">
      <w:pPr>
        <w:pStyle w:val="a3"/>
        <w:spacing w:before="0" w:beforeAutospacing="0" w:after="240" w:afterAutospacing="0"/>
        <w:ind w:firstLine="547"/>
        <w:divId w:val="929509259"/>
        <w:rPr>
          <w:sz w:val="20"/>
          <w:szCs w:val="20"/>
        </w:rPr>
      </w:pPr>
      <w:r>
        <w:rPr>
          <w:sz w:val="20"/>
          <w:szCs w:val="20"/>
        </w:rPr>
        <w:t xml:space="preserve">Before approving a BLA, </w:t>
      </w:r>
      <w:r>
        <w:rPr>
          <w:sz w:val="20"/>
          <w:szCs w:val="20"/>
        </w:rPr>
        <w:t xml:space="preserve">the FDA will typically inspect the facility or facilities where the product is manufactured. The FDA will not approve an application unless it determines that the manufacturing processes and facilities are in compliance with cGMP requirements and adequate </w:t>
      </w:r>
      <w:r>
        <w:rPr>
          <w:sz w:val="20"/>
          <w:szCs w:val="20"/>
        </w:rPr>
        <w:t xml:space="preserve">to assure consistent commercial production of the product within required specifications. Additionally, before approving a BLA, the FDA will typically inspect one or more clinical sites to assure compliance with cGCP. </w:t>
      </w:r>
    </w:p>
    <w:p w:rsidR="00000000" w:rsidRDefault="00F22B2C">
      <w:pPr>
        <w:pStyle w:val="a3"/>
        <w:spacing w:before="0" w:beforeAutospacing="0" w:after="240" w:afterAutospacing="0"/>
        <w:ind w:firstLine="547"/>
        <w:divId w:val="929509259"/>
        <w:rPr>
          <w:sz w:val="20"/>
          <w:szCs w:val="20"/>
        </w:rPr>
      </w:pPr>
      <w:r>
        <w:rPr>
          <w:sz w:val="20"/>
          <w:szCs w:val="20"/>
        </w:rPr>
        <w:t>If the FDA determines that the applic</w:t>
      </w:r>
      <w:r>
        <w:rPr>
          <w:sz w:val="20"/>
          <w:szCs w:val="20"/>
        </w:rPr>
        <w:t>ation, manufacturing process or manufacturing facilities are not acceptable, it will outline the deficiencies in the submission and often will request additional testing, clinical studies, application modifications, or information in a complete response le</w:t>
      </w:r>
      <w:r>
        <w:rPr>
          <w:sz w:val="20"/>
          <w:szCs w:val="20"/>
        </w:rPr>
        <w:t>tter, or CRL. A CRL indicates that the review cycle for the application is complete and that the application is not ready for approval. If a CRL is issued, the applicant may either: resubmit the BLA, addressing all the deficiencies identified in the letter</w:t>
      </w:r>
      <w:r>
        <w:rPr>
          <w:sz w:val="20"/>
          <w:szCs w:val="20"/>
        </w:rPr>
        <w:t>; withdraw the application; or request an opportunity for a hearing. Notwithstanding the submission of any requested additional information, the FDA ultimately may decide that the application does not satisfy the regulatory criteria for approval. Data obta</w:t>
      </w:r>
      <w:r>
        <w:rPr>
          <w:sz w:val="20"/>
          <w:szCs w:val="20"/>
        </w:rPr>
        <w:t>ined from clinical trials are not always conclusive and the FDA may interpret data differently than an applicant interprets the same data.</w:t>
      </w:r>
    </w:p>
    <w:p w:rsidR="00000000" w:rsidRDefault="00F22B2C">
      <w:pPr>
        <w:pStyle w:val="a3"/>
        <w:spacing w:before="0" w:beforeAutospacing="0" w:after="0" w:afterAutospacing="0"/>
        <w:ind w:firstLine="547"/>
        <w:divId w:val="929509259"/>
        <w:rPr>
          <w:sz w:val="20"/>
          <w:szCs w:val="20"/>
        </w:rPr>
      </w:pPr>
      <w:r>
        <w:rPr>
          <w:sz w:val="20"/>
          <w:szCs w:val="20"/>
        </w:rPr>
        <w:t>If the FDA finds that a BLA is approvable, the FDA may issue an approval letter. An approval letter authorizes commer</w:t>
      </w:r>
      <w:r>
        <w:rPr>
          <w:sz w:val="20"/>
          <w:szCs w:val="20"/>
        </w:rPr>
        <w:t>cial marketing of the product with specific prescribing information for specific indications. However, even if the FDA approves a product, it may limit the approved indications for use of the product, require that contraindications, warnings, or precaution</w:t>
      </w:r>
      <w:r>
        <w:rPr>
          <w:sz w:val="20"/>
          <w:szCs w:val="20"/>
        </w:rPr>
        <w:t xml:space="preserve">s be included in the product labeling, including a boxed warning, require that post-approval studies, including Phase 4 clinical trials, be conducted to </w:t>
      </w:r>
    </w:p>
    <w:p w:rsidR="00000000" w:rsidRDefault="00F22B2C">
      <w:pPr>
        <w:pStyle w:val="a3"/>
        <w:spacing w:before="480" w:beforeAutospacing="0" w:after="0" w:afterAutospacing="0"/>
        <w:jc w:val="center"/>
        <w:divId w:val="2081323037"/>
        <w:rPr>
          <w:sz w:val="20"/>
          <w:szCs w:val="20"/>
        </w:rPr>
      </w:pPr>
      <w:r>
        <w:rPr>
          <w:sz w:val="20"/>
          <w:szCs w:val="20"/>
        </w:rPr>
        <w:t>28</w:t>
      </w:r>
    </w:p>
    <w:p w:rsidR="00000000" w:rsidRDefault="00F22B2C">
      <w:pPr>
        <w:pStyle w:val="a3"/>
        <w:spacing w:before="0" w:beforeAutospacing="0" w:after="600" w:afterAutospacing="0"/>
        <w:divId w:val="298149859"/>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503252861"/>
        <w:rPr>
          <w:sz w:val="20"/>
          <w:szCs w:val="20"/>
        </w:rPr>
      </w:pPr>
      <w:r>
        <w:rPr>
          <w:sz w:val="20"/>
          <w:szCs w:val="20"/>
        </w:rPr>
        <w:t>further assess a product’s safety and efficacy after ap</w:t>
      </w:r>
      <w:r>
        <w:rPr>
          <w:sz w:val="20"/>
          <w:szCs w:val="20"/>
        </w:rPr>
        <w:t>proval, require testing and surveillance programs to monitor the product after commercialization, or impose other conditions, including distribution restrictions or other risk management mechanisms under a REMS which can materially affect the potential mar</w:t>
      </w:r>
      <w:r>
        <w:rPr>
          <w:sz w:val="20"/>
          <w:szCs w:val="20"/>
        </w:rPr>
        <w:t>ket and profitability of the product. The FDA may also not approve label statements that are necessary for successful commercialization and marketing.</w:t>
      </w:r>
    </w:p>
    <w:p w:rsidR="00000000" w:rsidRDefault="00F22B2C">
      <w:pPr>
        <w:pStyle w:val="a3"/>
        <w:spacing w:before="0" w:beforeAutospacing="0" w:after="240" w:afterAutospacing="0"/>
        <w:ind w:firstLine="547"/>
        <w:divId w:val="503252861"/>
        <w:rPr>
          <w:sz w:val="20"/>
          <w:szCs w:val="20"/>
        </w:rPr>
      </w:pPr>
      <w:r>
        <w:rPr>
          <w:sz w:val="20"/>
          <w:szCs w:val="20"/>
        </w:rPr>
        <w:t>If compliance with the pre-and post-marketing regulatory standards are not maintained or if problems occu</w:t>
      </w:r>
      <w:r>
        <w:rPr>
          <w:sz w:val="20"/>
          <w:szCs w:val="20"/>
        </w:rPr>
        <w:t>r after the product reaches the marketplace, the FDA may also withdraw the product approval. Further, should new safety information arise, additional testing, product labeling, or FDA notification may be required.</w:t>
      </w:r>
    </w:p>
    <w:p w:rsidR="00000000" w:rsidRDefault="00F22B2C">
      <w:pPr>
        <w:pStyle w:val="a3"/>
        <w:spacing w:before="0" w:beforeAutospacing="0" w:after="240" w:afterAutospacing="0"/>
        <w:ind w:firstLine="547"/>
        <w:divId w:val="503252861"/>
        <w:rPr>
          <w:sz w:val="20"/>
          <w:szCs w:val="20"/>
        </w:rPr>
      </w:pPr>
      <w:r>
        <w:rPr>
          <w:sz w:val="20"/>
          <w:szCs w:val="20"/>
        </w:rPr>
        <w:t>A sponsor may seek approval of its product</w:t>
      </w:r>
      <w:r>
        <w:rPr>
          <w:sz w:val="20"/>
          <w:szCs w:val="20"/>
        </w:rPr>
        <w:t xml:space="preserve"> candidate under programs designed to accelerate the FDA’s review and approval of new drugs and biological products that meet certain criteria. Specifically, new drugs and biological products are eligible for Fast Track designation if they are intended to </w:t>
      </w:r>
      <w:r>
        <w:rPr>
          <w:sz w:val="20"/>
          <w:szCs w:val="20"/>
        </w:rPr>
        <w:t>treat a serious or life-threatening condition and demonstrate the potential to address unmet medical needs for the condition. For a Fast Track designation, the FDA may consider sections of the BLA for review on a rolling basis before the complete applicati</w:t>
      </w:r>
      <w:r>
        <w:rPr>
          <w:sz w:val="20"/>
          <w:szCs w:val="20"/>
        </w:rPr>
        <w:t xml:space="preserve">on is submitted if relevant criteria are met. Fast Track-designated products are also eligible for more frequent FDA interactions. A Fast Track-designated product candidate may also qualify for Priority Review, under which the FDA sets the target date for </w:t>
      </w:r>
      <w:r>
        <w:rPr>
          <w:sz w:val="20"/>
          <w:szCs w:val="20"/>
        </w:rPr>
        <w:t>FDA action on the BLA at six months after the FDA accepts the application for filing. Priority Review is granted when there is evidence that the proposed product would be a significant improvement in the safety or effectiveness of the treatment, diagnosis,</w:t>
      </w:r>
      <w:r>
        <w:rPr>
          <w:sz w:val="20"/>
          <w:szCs w:val="20"/>
        </w:rPr>
        <w:t xml:space="preserve"> or prevention of a serious condition. If criteria are not met for Priority Review, the application is subject to the standard FDA review period of 10 months after the FDA accepts the application for filing. Priority Review designation does not change the </w:t>
      </w:r>
      <w:r>
        <w:rPr>
          <w:sz w:val="20"/>
          <w:szCs w:val="20"/>
        </w:rPr>
        <w:t>scientific/medical standard for approval or the quality of evidence necessary to support approval.</w:t>
      </w:r>
    </w:p>
    <w:p w:rsidR="00000000" w:rsidRDefault="00F22B2C">
      <w:pPr>
        <w:pStyle w:val="a3"/>
        <w:spacing w:before="0" w:beforeAutospacing="0" w:after="240" w:afterAutospacing="0"/>
        <w:ind w:firstLine="547"/>
        <w:divId w:val="503252861"/>
        <w:rPr>
          <w:sz w:val="20"/>
          <w:szCs w:val="20"/>
        </w:rPr>
      </w:pPr>
      <w:r>
        <w:rPr>
          <w:sz w:val="20"/>
          <w:szCs w:val="20"/>
        </w:rPr>
        <w:t>Under the Accelerated Approval Program, the FDA may approve a BLA on the basis of either a surrogate endpoint that is reasonably likely to predict clinical b</w:t>
      </w:r>
      <w:r>
        <w:rPr>
          <w:sz w:val="20"/>
          <w:szCs w:val="20"/>
        </w:rPr>
        <w:t>enefit, or on a clinical endpoint that can be measured earlier than irreversible morbidity or mortality, that is reasonably likely to predict an effect on irreversible morbidity or mortality or other clinical benefit, taking into account the severity, rari</w:t>
      </w:r>
      <w:r>
        <w:rPr>
          <w:sz w:val="20"/>
          <w:szCs w:val="20"/>
        </w:rPr>
        <w:t>ty, or prevalence of the condition and the availability or lack of alternative treatments. To qualify for Accelerated Approval, the product must be intended to treat a serious condition and must generally provide a meaningful advantage over available thera</w:t>
      </w:r>
      <w:r>
        <w:rPr>
          <w:sz w:val="20"/>
          <w:szCs w:val="20"/>
        </w:rPr>
        <w:t>pies. Post-marketing studies or completion of ongoing studies after marketing approval are required to verify the biologic’s clinical benefit in relationship to the surrogate endpoint or ultimate outcome in relationship to the clinical benefit. If this tri</w:t>
      </w:r>
      <w:r>
        <w:rPr>
          <w:sz w:val="20"/>
          <w:szCs w:val="20"/>
        </w:rPr>
        <w:t>al is not conducted, if it fails to verify the benefit, if other evidence demonstrates that the product is not safe, pure or potent, or if the applicant disseminates false or misleading promotional material, the FDA may withdraw approval of the application</w:t>
      </w:r>
      <w:r>
        <w:rPr>
          <w:sz w:val="20"/>
          <w:szCs w:val="20"/>
        </w:rPr>
        <w:t xml:space="preserve"> on an expedited basis. Sponsors of products under the Accelerated Approval Pathway must further submit promotional materials to the FDA before dissemination.</w:t>
      </w:r>
    </w:p>
    <w:p w:rsidR="00000000" w:rsidRDefault="00F22B2C">
      <w:pPr>
        <w:pStyle w:val="a3"/>
        <w:spacing w:before="0" w:beforeAutospacing="0" w:after="240" w:afterAutospacing="0"/>
        <w:ind w:firstLine="547"/>
        <w:divId w:val="503252861"/>
        <w:rPr>
          <w:sz w:val="20"/>
          <w:szCs w:val="20"/>
        </w:rPr>
      </w:pPr>
      <w:r>
        <w:rPr>
          <w:sz w:val="20"/>
          <w:szCs w:val="20"/>
        </w:rPr>
        <w:t>In addition, the Food and Drug Administration Safety and Innovation Act, or FDASIA, which was ena</w:t>
      </w:r>
      <w:r>
        <w:rPr>
          <w:sz w:val="20"/>
          <w:szCs w:val="20"/>
        </w:rPr>
        <w:t>cted and signed into law in 2012, established the new Breakthrough Therapy Designation. A sponsor may seek FDA designation of its product candidate as a Breakthrough Therapy if the product candidate is intended, alone or in combination with one or more oth</w:t>
      </w:r>
      <w:r>
        <w:rPr>
          <w:sz w:val="20"/>
          <w:szCs w:val="20"/>
        </w:rPr>
        <w:t>er drugs or biologics, to treat a serious or life-threatening disease or condition and preliminary clinical evidence indicates that the therapy may demonstrate substantial improvement over existing therapies on one or more clinically significant endpoints,</w:t>
      </w:r>
      <w:r>
        <w:rPr>
          <w:sz w:val="20"/>
          <w:szCs w:val="20"/>
        </w:rPr>
        <w:t xml:space="preserve"> such as substantial treatment effects observed early in clinical development. Sponsors may request the FDA to designate a Breakthrough Therapy at the time of or any time after the submission of an IND, but ideally before an end-of-Phase 2 meeting with the</w:t>
      </w:r>
      <w:r>
        <w:rPr>
          <w:sz w:val="20"/>
          <w:szCs w:val="20"/>
        </w:rPr>
        <w:t xml:space="preserve"> FDA. If the FDA designates a Breakthrough Therapy, it may take actions appropriate to expedite the development and review of the application, which may include holding meetings with the sponsor and the review team throughout the development of the therapy</w:t>
      </w:r>
      <w:r>
        <w:rPr>
          <w:sz w:val="20"/>
          <w:szCs w:val="20"/>
        </w:rPr>
        <w:t>; providing timely advice to, and interactive communication with, the sponsor regarding the development of the drug to ensure that the development program to gather the nonclinical and clinical data necessary for approval is as efficient as practicable; in</w:t>
      </w:r>
      <w:r>
        <w:rPr>
          <w:sz w:val="20"/>
          <w:szCs w:val="20"/>
        </w:rPr>
        <w:t>volving senior managers and experienced review staff, as appropriate, in a collaborative, cross-disciplinary review; assigning a cross-disciplinary project lead for the FDA review team to facilitate an efficient review of the development program and to ser</w:t>
      </w:r>
      <w:r>
        <w:rPr>
          <w:sz w:val="20"/>
          <w:szCs w:val="20"/>
        </w:rPr>
        <w:t>ve as a scientific liaison between the review team and the sponsor; and considering alternative clinical trial designs when scientifically appropriate, which may result in smaller trials or more efficient trials that require less time to complete and may m</w:t>
      </w:r>
      <w:r>
        <w:rPr>
          <w:sz w:val="20"/>
          <w:szCs w:val="20"/>
        </w:rPr>
        <w:t>inimize the number of patients exposed to a potentially less efficacious treatment. Breakthrough Therapy designation also allows the sponsor to file sections of the BLA for review on a rolling basis.</w:t>
      </w:r>
    </w:p>
    <w:p w:rsidR="00000000" w:rsidRDefault="00F22B2C">
      <w:pPr>
        <w:pStyle w:val="a3"/>
        <w:spacing w:before="0" w:beforeAutospacing="0" w:after="0" w:afterAutospacing="0"/>
        <w:ind w:firstLine="547"/>
        <w:divId w:val="503252861"/>
        <w:rPr>
          <w:sz w:val="20"/>
          <w:szCs w:val="20"/>
        </w:rPr>
      </w:pPr>
      <w:r>
        <w:rPr>
          <w:sz w:val="20"/>
          <w:szCs w:val="20"/>
        </w:rPr>
        <w:t>Through the 21st Century Cures Act, or Cures Act, Congre</w:t>
      </w:r>
      <w:r>
        <w:rPr>
          <w:sz w:val="20"/>
          <w:szCs w:val="20"/>
        </w:rPr>
        <w:t>ss also established another expedited program, called a RMAT designation. The Cures Act directs the FDA to facilitate an efficient development program for and expedite review of RMATs. To qualify for this program, the product must be a cell therapy, therap</w:t>
      </w:r>
      <w:r>
        <w:rPr>
          <w:sz w:val="20"/>
          <w:szCs w:val="20"/>
        </w:rPr>
        <w:t>eutic tissue engineering product, human cell and tissue product, or a combination of such products, and not a product solely regulated as a human cell and tissue product. The product must be intended to treat, modify, reverse, or cure a serious or life-thr</w:t>
      </w:r>
      <w:r>
        <w:rPr>
          <w:sz w:val="20"/>
          <w:szCs w:val="20"/>
        </w:rPr>
        <w:t xml:space="preserve">eatening disease or condition, and preliminary clinical evidence must indicate that </w:t>
      </w:r>
    </w:p>
    <w:p w:rsidR="00000000" w:rsidRDefault="00F22B2C">
      <w:pPr>
        <w:pStyle w:val="a3"/>
        <w:spacing w:before="480" w:beforeAutospacing="0" w:after="0" w:afterAutospacing="0"/>
        <w:jc w:val="center"/>
        <w:divId w:val="1270619977"/>
        <w:rPr>
          <w:sz w:val="20"/>
          <w:szCs w:val="20"/>
        </w:rPr>
      </w:pPr>
      <w:r>
        <w:rPr>
          <w:sz w:val="20"/>
          <w:szCs w:val="20"/>
        </w:rPr>
        <w:t>29</w:t>
      </w:r>
    </w:p>
    <w:p w:rsidR="00000000" w:rsidRDefault="00F22B2C">
      <w:pPr>
        <w:pStyle w:val="a3"/>
        <w:spacing w:before="0" w:beforeAutospacing="0" w:after="600" w:afterAutospacing="0"/>
        <w:divId w:val="1769739412"/>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923950934"/>
        <w:rPr>
          <w:sz w:val="20"/>
          <w:szCs w:val="20"/>
        </w:rPr>
      </w:pPr>
      <w:r>
        <w:rPr>
          <w:sz w:val="20"/>
          <w:szCs w:val="20"/>
        </w:rPr>
        <w:t>the product has the potential to address an unmet need for such disease or condition. Advantages of the RMAT designation inc</w:t>
      </w:r>
      <w:r>
        <w:rPr>
          <w:sz w:val="20"/>
          <w:szCs w:val="20"/>
        </w:rPr>
        <w:t>lude all the benefits of the Fast Track and breakthrough therapy designation programs, including early interactions with the FDA. These early interactions may be used to discuss potential surrogate or intermediate endpoints to support accelerated approval.</w:t>
      </w:r>
    </w:p>
    <w:p w:rsidR="00000000" w:rsidRDefault="00F22B2C">
      <w:pPr>
        <w:pStyle w:val="a3"/>
        <w:spacing w:before="0" w:beforeAutospacing="0" w:after="240" w:afterAutospacing="0"/>
        <w:divId w:val="1923950934"/>
        <w:rPr>
          <w:sz w:val="20"/>
          <w:szCs w:val="20"/>
        </w:rPr>
      </w:pPr>
      <w:r>
        <w:rPr>
          <w:b/>
          <w:bCs/>
          <w:i/>
          <w:iCs/>
          <w:sz w:val="20"/>
          <w:szCs w:val="20"/>
        </w:rPr>
        <w:t>Orphan Drugs</w:t>
      </w:r>
    </w:p>
    <w:p w:rsidR="00000000" w:rsidRDefault="00F22B2C">
      <w:pPr>
        <w:pStyle w:val="a3"/>
        <w:spacing w:before="0" w:beforeAutospacing="0" w:after="240" w:afterAutospacing="0"/>
        <w:ind w:firstLine="540"/>
        <w:divId w:val="1923950934"/>
        <w:rPr>
          <w:sz w:val="20"/>
          <w:szCs w:val="20"/>
        </w:rPr>
      </w:pPr>
      <w:r>
        <w:rPr>
          <w:sz w:val="20"/>
          <w:szCs w:val="20"/>
        </w:rPr>
        <w:t>Under the Orphan Drug Act, the FDA may grant ODD to a drug or biologic intended to treat a rare disease or condition, defined as a disease or condition with a patient population of fewer than 200,000 individuals in the U.S., or a patient popu</w:t>
      </w:r>
      <w:r>
        <w:rPr>
          <w:sz w:val="20"/>
          <w:szCs w:val="20"/>
        </w:rPr>
        <w:t>lation greater than 200,000 individuals in the U.S. and when there is no reasonable expectation that the cost of developing and making available the drug or biologic in the U.S. will be recovered from sales in the U.S. for that drug or biologic. Additional</w:t>
      </w:r>
      <w:r>
        <w:rPr>
          <w:sz w:val="20"/>
          <w:szCs w:val="20"/>
        </w:rPr>
        <w:t>ly, sponsors must present a plausible hypothesis for clinical superiority to obtain ODD if there is a product already approved by the FDA that is intended for the same indication and that is considered by the FDA to be the same product as the already appro</w:t>
      </w:r>
      <w:r>
        <w:rPr>
          <w:sz w:val="20"/>
          <w:szCs w:val="20"/>
        </w:rPr>
        <w:t>ved product. This hypothesis for clinical superiority must be demonstrated to obtain orphan exclusivity. ODD must be requested before submitting a BLA. After the FDA grants ODD, the generic identity of the therapeutic agent and its potential orphan use are</w:t>
      </w:r>
      <w:r>
        <w:rPr>
          <w:sz w:val="20"/>
          <w:szCs w:val="20"/>
        </w:rPr>
        <w:t xml:space="preserve"> disclosed publicly by the FDA.</w:t>
      </w:r>
    </w:p>
    <w:p w:rsidR="00000000" w:rsidRDefault="00F22B2C">
      <w:pPr>
        <w:pStyle w:val="a3"/>
        <w:spacing w:before="0" w:beforeAutospacing="0" w:after="240" w:afterAutospacing="0"/>
        <w:ind w:firstLine="547"/>
        <w:divId w:val="1923950934"/>
        <w:rPr>
          <w:sz w:val="20"/>
          <w:szCs w:val="20"/>
        </w:rPr>
      </w:pPr>
      <w:r>
        <w:rPr>
          <w:sz w:val="20"/>
          <w:szCs w:val="20"/>
        </w:rPr>
        <w:t>If a product that has ODD subsequently receives the first FDA approval for a particular active ingredient for the disease for which it has such designation, the product is entitled to orphan product exclusivity, which means that the FDA may not approve any</w:t>
      </w:r>
      <w:r>
        <w:rPr>
          <w:sz w:val="20"/>
          <w:szCs w:val="20"/>
        </w:rPr>
        <w:t xml:space="preserve"> other applications, including a full BLA, to market the same biologic, as sameness is defined in the FDA’s regulations, for the same indication for seven years, except in limited circumstances, such as a showing of clinical superiority to the product with</w:t>
      </w:r>
      <w:r>
        <w:rPr>
          <w:sz w:val="20"/>
          <w:szCs w:val="20"/>
        </w:rPr>
        <w:t xml:space="preserve"> orphan drug exclusivity or if the FDA finds that the holder of the orphan drug exclusivity has not shown that it can assure the availability of sufficient quantities of the orphan drug to meet the needs of patients with the disease or condition for which </w:t>
      </w:r>
      <w:r>
        <w:rPr>
          <w:sz w:val="20"/>
          <w:szCs w:val="20"/>
        </w:rPr>
        <w:t xml:space="preserve">the drug was designated. Orphan drug exclusivity does not prevent the FDA from approving a different drug or biologic for the same disease or condition, or the same drug or biologic for a different disease or condition. Among the other benefits of ODD are </w:t>
      </w:r>
      <w:r>
        <w:rPr>
          <w:sz w:val="20"/>
          <w:szCs w:val="20"/>
        </w:rPr>
        <w:t>tax credits for certain research, opportunities for certain research grant funding, and a waiver of the BLA application fees. The tax credit, however, was recently limited through Congress’s tax reform efforts. Despite these benefits, the ODD does not conv</w:t>
      </w:r>
      <w:r>
        <w:rPr>
          <w:sz w:val="20"/>
          <w:szCs w:val="20"/>
        </w:rPr>
        <w:t>ey any advantage in, or shorten the duration of, the regulatory review or approval process.</w:t>
      </w:r>
    </w:p>
    <w:p w:rsidR="00000000" w:rsidRDefault="00F22B2C">
      <w:pPr>
        <w:pStyle w:val="a3"/>
        <w:spacing w:before="0" w:beforeAutospacing="0" w:after="240" w:afterAutospacing="0"/>
        <w:ind w:firstLine="547"/>
        <w:divId w:val="1923950934"/>
        <w:rPr>
          <w:sz w:val="20"/>
          <w:szCs w:val="20"/>
        </w:rPr>
      </w:pPr>
      <w:r>
        <w:rPr>
          <w:sz w:val="20"/>
          <w:szCs w:val="20"/>
        </w:rPr>
        <w:t>A designated orphan drug may not receive orphan drug exclusivity if it is approved for a use that is broader than the indication for which it received orphan design</w:t>
      </w:r>
      <w:r>
        <w:rPr>
          <w:sz w:val="20"/>
          <w:szCs w:val="20"/>
        </w:rPr>
        <w:t>ation. In addition, orphan drug exclusive marketing rights in the U.S. may be lost if the FDA later determines that the request for designation was materially defective or if the manufacturer is unable to assure sufficient quantities of the product to meet</w:t>
      </w:r>
      <w:r>
        <w:rPr>
          <w:sz w:val="20"/>
          <w:szCs w:val="20"/>
        </w:rPr>
        <w:t xml:space="preserve"> the needs of patients with the rare disease or condition. The FDA may also approve a product deemed to be the same as an approved orphan product for the same orphan indication, despite periods of exclusivity, if the new product is demonstrated to be clini</w:t>
      </w:r>
      <w:r>
        <w:rPr>
          <w:sz w:val="20"/>
          <w:szCs w:val="20"/>
        </w:rPr>
        <w:t>cally superior to the former product.</w:t>
      </w:r>
    </w:p>
    <w:p w:rsidR="00000000" w:rsidRDefault="00F22B2C">
      <w:pPr>
        <w:pStyle w:val="a3"/>
        <w:spacing w:before="0" w:beforeAutospacing="0" w:after="240" w:afterAutospacing="0"/>
        <w:ind w:firstLine="540"/>
        <w:divId w:val="1923950934"/>
        <w:rPr>
          <w:sz w:val="20"/>
          <w:szCs w:val="20"/>
        </w:rPr>
      </w:pPr>
      <w:r>
        <w:rPr>
          <w:sz w:val="20"/>
          <w:szCs w:val="20"/>
        </w:rPr>
        <w:t>We plan to seek ODD for some or all of our other product candidates in specific orphan indications in which there is a medically plausible basis for the use of such products.</w:t>
      </w:r>
    </w:p>
    <w:p w:rsidR="00000000" w:rsidRDefault="00F22B2C">
      <w:pPr>
        <w:pStyle w:val="a3"/>
        <w:spacing w:before="0" w:beforeAutospacing="0" w:after="240" w:afterAutospacing="0"/>
        <w:divId w:val="1923950934"/>
        <w:rPr>
          <w:sz w:val="20"/>
          <w:szCs w:val="20"/>
        </w:rPr>
      </w:pPr>
      <w:r>
        <w:rPr>
          <w:b/>
          <w:bCs/>
          <w:i/>
          <w:iCs/>
          <w:sz w:val="20"/>
          <w:szCs w:val="20"/>
        </w:rPr>
        <w:t>Market and Data Exclusivity and Biosimilars</w:t>
      </w:r>
    </w:p>
    <w:p w:rsidR="00000000" w:rsidRDefault="00F22B2C">
      <w:pPr>
        <w:pStyle w:val="a3"/>
        <w:spacing w:before="0" w:beforeAutospacing="0" w:after="240" w:afterAutospacing="0"/>
        <w:ind w:firstLine="547"/>
        <w:divId w:val="1923950934"/>
        <w:rPr>
          <w:sz w:val="20"/>
          <w:szCs w:val="20"/>
        </w:rPr>
      </w:pPr>
      <w:r>
        <w:rPr>
          <w:sz w:val="20"/>
          <w:szCs w:val="20"/>
        </w:rPr>
        <w:t>While under the Biologics Price Competition and Innovation Act of 2009, or BPCIA, the FDA may eventually license products, as further described below, that are biosimilar to any of our product candidates that are approved, our products may receive periods</w:t>
      </w:r>
      <w:r>
        <w:rPr>
          <w:sz w:val="20"/>
          <w:szCs w:val="20"/>
        </w:rPr>
        <w:t xml:space="preserve"> of regulatory exclusivity, in addition to orphan drug exclusivity for those products with ODDs, providing additional protection from certain forms of competition. For instance, our products may receive 12 years of reference product exclusivity that begins</w:t>
      </w:r>
      <w:r>
        <w:rPr>
          <w:sz w:val="20"/>
          <w:szCs w:val="20"/>
        </w:rPr>
        <w:t xml:space="preserve"> running at the time of first licensure. During this 12-year time period, the FDA may not make an approval of a biosimilar product effective and may not accept a biosimilar application until after four years from the date of first licensure. However, certa</w:t>
      </w:r>
      <w:r>
        <w:rPr>
          <w:sz w:val="20"/>
          <w:szCs w:val="20"/>
        </w:rPr>
        <w:t>in changes and supplements to an approved BLA, and subsequent applications filed by the same sponsor, manufacturer, licensor, predecessor in interest, or other related entity do not qualify for the exclusivity period. The PHSA also includes provisions gove</w:t>
      </w:r>
      <w:r>
        <w:rPr>
          <w:sz w:val="20"/>
          <w:szCs w:val="20"/>
        </w:rPr>
        <w:t xml:space="preserve">rning patent litigation over patents that are directed to the reference products. The biosimilar product sponsor and reference product sponsor may, but are not required to, exchange certain patent and product information for the purpose of negotiating and </w:t>
      </w:r>
      <w:r>
        <w:rPr>
          <w:sz w:val="20"/>
          <w:szCs w:val="20"/>
        </w:rPr>
        <w:t>determining the scope of patent litigation, including the patents to be asserted and challenged. Based on the outcome of negotiations surrounding the exchanged information, the reference product sponsor may bring a patent infringement suit and injunction p</w:t>
      </w:r>
      <w:r>
        <w:rPr>
          <w:sz w:val="20"/>
          <w:szCs w:val="20"/>
        </w:rPr>
        <w:t xml:space="preserve">roceedings against the biosimilar product sponsor. The biosimilar applicant may also be able to bring an action for declaratory judgment concerning the patent under certain circumstances. </w:t>
      </w:r>
    </w:p>
    <w:p w:rsidR="00000000" w:rsidRDefault="00F22B2C">
      <w:pPr>
        <w:pStyle w:val="a3"/>
        <w:spacing w:before="480" w:beforeAutospacing="0" w:after="0" w:afterAutospacing="0"/>
        <w:jc w:val="center"/>
        <w:divId w:val="1572078925"/>
        <w:rPr>
          <w:sz w:val="20"/>
          <w:szCs w:val="20"/>
        </w:rPr>
      </w:pPr>
      <w:r>
        <w:rPr>
          <w:sz w:val="20"/>
          <w:szCs w:val="20"/>
        </w:rPr>
        <w:t>30</w:t>
      </w:r>
    </w:p>
    <w:p w:rsidR="00000000" w:rsidRDefault="00F22B2C">
      <w:pPr>
        <w:pStyle w:val="a3"/>
        <w:spacing w:before="0" w:beforeAutospacing="0" w:after="600" w:afterAutospacing="0"/>
        <w:divId w:val="1974863892"/>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ind w:firstLine="547"/>
        <w:divId w:val="1952515311"/>
        <w:rPr>
          <w:sz w:val="20"/>
          <w:szCs w:val="20"/>
        </w:rPr>
      </w:pPr>
      <w:r>
        <w:rPr>
          <w:sz w:val="20"/>
          <w:szCs w:val="20"/>
        </w:rPr>
        <w:t xml:space="preserve">The BPCIA created an abbreviated approval pathway for biological products shown to be highly similar to or interchangeable with an FDA-licensed reference biological product. Accordingly, if we receive FDA licensure, we may face competition from biosimilar </w:t>
      </w:r>
      <w:r>
        <w:rPr>
          <w:sz w:val="20"/>
          <w:szCs w:val="20"/>
        </w:rPr>
        <w:t>products. Biosimilarity sufficient to reference a prior FDA-approved product requires a high similarity to the reference product notwithstanding minor differences in clinically inactive components, and no clinically meaningful differences between the biolo</w:t>
      </w:r>
      <w:r>
        <w:rPr>
          <w:sz w:val="20"/>
          <w:szCs w:val="20"/>
        </w:rPr>
        <w:t>gical product and the reference product in terms of safety, purity, and potency. Biosimilarity must be shown through analytical studies, animal studies, and at least one clinical trial, absent a waiver by the FDA. There must be no difference between the re</w:t>
      </w:r>
      <w:r>
        <w:rPr>
          <w:sz w:val="20"/>
          <w:szCs w:val="20"/>
        </w:rPr>
        <w:t>ference product and a biosimilar in conditions of use, route of administration, dosage form, and strength. A biosimilar product may be deemed interchangeable with a prior approved product if it meets the higher hurdle of demonstrating that it can be expect</w:t>
      </w:r>
      <w:r>
        <w:rPr>
          <w:sz w:val="20"/>
          <w:szCs w:val="20"/>
        </w:rPr>
        <w:t>ed to produce the same clinical results as the reference product and, for products administered multiple times, the biologic and the reference biologic may be switched after one has been previously administered without increasing safety risks or risks of d</w:t>
      </w:r>
      <w:r>
        <w:rPr>
          <w:sz w:val="20"/>
          <w:szCs w:val="20"/>
        </w:rPr>
        <w:t>iminished efficacy relative to exclusive use of the reference biologic.</w:t>
      </w:r>
    </w:p>
    <w:p w:rsidR="00000000" w:rsidRDefault="00F22B2C">
      <w:pPr>
        <w:pStyle w:val="a3"/>
        <w:spacing w:before="0" w:beforeAutospacing="0" w:after="240" w:afterAutospacing="0"/>
        <w:divId w:val="1952515311"/>
        <w:rPr>
          <w:sz w:val="20"/>
          <w:szCs w:val="20"/>
        </w:rPr>
      </w:pPr>
      <w:r>
        <w:rPr>
          <w:b/>
          <w:bCs/>
          <w:i/>
          <w:iCs/>
          <w:sz w:val="20"/>
          <w:szCs w:val="20"/>
        </w:rPr>
        <w:t>Pediatric Exclusivity and Patent Term Extension</w:t>
      </w:r>
    </w:p>
    <w:p w:rsidR="00000000" w:rsidRDefault="00F22B2C">
      <w:pPr>
        <w:pStyle w:val="a3"/>
        <w:spacing w:before="0" w:beforeAutospacing="0" w:after="240" w:afterAutospacing="0"/>
        <w:ind w:firstLine="547"/>
        <w:divId w:val="1952515311"/>
        <w:rPr>
          <w:sz w:val="20"/>
          <w:szCs w:val="20"/>
        </w:rPr>
      </w:pPr>
      <w:r>
        <w:rPr>
          <w:sz w:val="20"/>
          <w:szCs w:val="20"/>
        </w:rPr>
        <w:t>Pediatric exclusivity is another type of non-patent marketing exclusivity in the U.S. and, if granted, provides for the attachment of an</w:t>
      </w:r>
      <w:r>
        <w:rPr>
          <w:sz w:val="20"/>
          <w:szCs w:val="20"/>
        </w:rPr>
        <w:t xml:space="preserve"> additional six months of marketing protection to the term of any existing regulatory exclusivity. Under the Best Pharmaceuticals for Children Act, a six-month exclusivity may be granted if a sponsor submits pediatric data that fairly respond to a written </w:t>
      </w:r>
      <w:r>
        <w:rPr>
          <w:sz w:val="20"/>
          <w:szCs w:val="20"/>
        </w:rPr>
        <w:t>request from the FDA for such data. The data do not need to show the product to be effective in the pediatric population studied; rather, if the clinical trial is deemed to fairly respond to the FDA’s request, the additional protection is granted. If repor</w:t>
      </w:r>
      <w:r>
        <w:rPr>
          <w:sz w:val="20"/>
          <w:szCs w:val="20"/>
        </w:rPr>
        <w:t>ts of requested pediatric studies are submitted to and accepted by the FDA, whatever regulatory periods of exclusivity that already cover the product are extended by six months.</w:t>
      </w:r>
      <w:r>
        <w:rPr>
          <w:sz w:val="20"/>
          <w:szCs w:val="20"/>
        </w:rPr>
        <w:t xml:space="preserve"> </w:t>
      </w:r>
      <w:r>
        <w:rPr>
          <w:sz w:val="20"/>
          <w:szCs w:val="20"/>
        </w:rPr>
        <w:t>Pediatric exclusivity is thus an “add-on” exclusivity and is unique in this re</w:t>
      </w:r>
      <w:r>
        <w:rPr>
          <w:sz w:val="20"/>
          <w:szCs w:val="20"/>
        </w:rPr>
        <w:t>gard among the various regulatory exclusivities provided by FDA. The FDA can also require pediatric studies of a drug submitted in a new drug application if the FDA determines that the product is likely to be used in a substantial number of pediatric patie</w:t>
      </w:r>
      <w:r>
        <w:rPr>
          <w:sz w:val="20"/>
          <w:szCs w:val="20"/>
        </w:rPr>
        <w:t>nts, or if the product would provide a meaningful benefit in the pediatric population over existing treatments. This requirement may be waived in certain circumstances, for example, where the indication does not occur or is not highly prevent in the pediat</w:t>
      </w:r>
      <w:r>
        <w:rPr>
          <w:sz w:val="20"/>
          <w:szCs w:val="20"/>
        </w:rPr>
        <w:t>ric population</w:t>
      </w:r>
      <w:r>
        <w:rPr>
          <w:sz w:val="20"/>
          <w:szCs w:val="20"/>
        </w:rPr>
        <w:t>.</w:t>
      </w:r>
    </w:p>
    <w:p w:rsidR="00000000" w:rsidRDefault="00F22B2C">
      <w:pPr>
        <w:pStyle w:val="a3"/>
        <w:spacing w:before="0" w:beforeAutospacing="0" w:after="240" w:afterAutospacing="0"/>
        <w:ind w:firstLine="547"/>
        <w:divId w:val="1952515311"/>
        <w:rPr>
          <w:sz w:val="20"/>
          <w:szCs w:val="20"/>
        </w:rPr>
      </w:pPr>
      <w:r>
        <w:rPr>
          <w:sz w:val="20"/>
          <w:szCs w:val="20"/>
        </w:rPr>
        <w:t>If approved, biologics may also be eligible for periods of U.S. patent term restoration. If granted, patent term restoration extends the patent life of a single unexpired patent that has not previously been extended, for a maximum of five y</w:t>
      </w:r>
      <w:r>
        <w:rPr>
          <w:sz w:val="20"/>
          <w:szCs w:val="20"/>
        </w:rPr>
        <w:t>ears. The total patent life of the product with the extension also cannot exceed fourteen years from the product’s approval date. Subject to the prior limitations, the period of the extension is calculated by adding half of the time from the effective date</w:t>
      </w:r>
      <w:r>
        <w:rPr>
          <w:sz w:val="20"/>
          <w:szCs w:val="20"/>
        </w:rPr>
        <w:t xml:space="preserve"> of an IND to the initial submission of a marketing application, and all the time between the submission of the marketing application and its approval. This period may also be reduced by any time that the applicant did not act with due diligence. Whether a</w:t>
      </w:r>
      <w:r>
        <w:rPr>
          <w:sz w:val="20"/>
          <w:szCs w:val="20"/>
        </w:rPr>
        <w:t>ny of our product candidates will be eligible for patent term restoration is currently unknown. Even if any of our product candidates are found to be eligible for patent term protection, the applicable authorities may subsequently determine that we are not</w:t>
      </w:r>
      <w:r>
        <w:rPr>
          <w:sz w:val="20"/>
          <w:szCs w:val="20"/>
        </w:rPr>
        <w:t xml:space="preserve"> eligible for such restoration periods.</w:t>
      </w:r>
    </w:p>
    <w:p w:rsidR="00000000" w:rsidRDefault="00F22B2C">
      <w:pPr>
        <w:pStyle w:val="a3"/>
        <w:spacing w:before="0" w:beforeAutospacing="0" w:after="240" w:afterAutospacing="0"/>
        <w:divId w:val="1952515311"/>
        <w:rPr>
          <w:sz w:val="20"/>
          <w:szCs w:val="20"/>
        </w:rPr>
      </w:pPr>
      <w:r>
        <w:rPr>
          <w:b/>
          <w:bCs/>
          <w:i/>
          <w:iCs/>
          <w:sz w:val="20"/>
          <w:szCs w:val="20"/>
        </w:rPr>
        <w:t>Post-Approval Requirements</w:t>
      </w:r>
    </w:p>
    <w:p w:rsidR="00000000" w:rsidRDefault="00F22B2C">
      <w:pPr>
        <w:pStyle w:val="a3"/>
        <w:spacing w:before="0" w:beforeAutospacing="0" w:after="240" w:afterAutospacing="0"/>
        <w:ind w:firstLine="547"/>
        <w:divId w:val="1952515311"/>
        <w:rPr>
          <w:sz w:val="20"/>
          <w:szCs w:val="20"/>
        </w:rPr>
      </w:pPr>
      <w:r>
        <w:rPr>
          <w:sz w:val="20"/>
          <w:szCs w:val="20"/>
        </w:rPr>
        <w:t>Any products for which we receive FDA approvals are subject to continuing regulation by the FDA, including, among other things, record-keeping requirements, reporting of adverse experiences</w:t>
      </w:r>
      <w:r>
        <w:rPr>
          <w:sz w:val="20"/>
          <w:szCs w:val="20"/>
        </w:rPr>
        <w:t xml:space="preserve"> with the product and deviations, annual reporting and monitoring and providing the FDA with updated safety and efficacy information, product sampling and distribution requirements, certain electronic records and signature requirements, fulfilling post-mar</w:t>
      </w:r>
      <w:r>
        <w:rPr>
          <w:sz w:val="20"/>
          <w:szCs w:val="20"/>
        </w:rPr>
        <w:t>keting study and REMS commitments, and complying with FDA promotion and advertising requirements, which include, among other things, standards for direct-to-consumer advertising, restrictions on promoting products for uses or in patient populations that ar</w:t>
      </w:r>
      <w:r>
        <w:rPr>
          <w:sz w:val="20"/>
          <w:szCs w:val="20"/>
        </w:rPr>
        <w:t xml:space="preserve">e not described in the product’s approved uses or otherwise consistent with the FDA-approved product labeling (known as “off-label use”), limitations on industry-sponsored scientific and educational activities, rules regarding communication of health care </w:t>
      </w:r>
      <w:r>
        <w:rPr>
          <w:sz w:val="20"/>
          <w:szCs w:val="20"/>
        </w:rPr>
        <w:t>economic information regarding biopharmaceutical products to payors and formularies, and requirements for promotional activities involving the internet. Although physicians may prescribe legally available products for off-label use, if they deem such use t</w:t>
      </w:r>
      <w:r>
        <w:rPr>
          <w:sz w:val="20"/>
          <w:szCs w:val="20"/>
        </w:rPr>
        <w:t>o be appropriate in their professional medical judgment, manufacturers may not market or promote such off-label uses. In the past several years, certain court decisions have impacted FDA’s enforcement activity regarding off-label promotion in light of Firs</w:t>
      </w:r>
      <w:r>
        <w:rPr>
          <w:sz w:val="20"/>
          <w:szCs w:val="20"/>
        </w:rPr>
        <w:t>t Amendment considerations; however, there are still significant risks in this area, in part due to the potential for False Claims Act exposure.</w:t>
      </w:r>
    </w:p>
    <w:p w:rsidR="00000000" w:rsidRDefault="00F22B2C">
      <w:pPr>
        <w:pStyle w:val="a3"/>
        <w:spacing w:before="0" w:beforeAutospacing="0" w:after="0" w:afterAutospacing="0"/>
        <w:ind w:firstLine="547"/>
        <w:divId w:val="1952515311"/>
        <w:rPr>
          <w:sz w:val="20"/>
          <w:szCs w:val="20"/>
        </w:rPr>
      </w:pPr>
      <w:r>
        <w:rPr>
          <w:sz w:val="20"/>
          <w:szCs w:val="20"/>
        </w:rPr>
        <w:t xml:space="preserve">In addition, quality control and manufacturing procedures must continue to conform to applicable manufacturing </w:t>
      </w:r>
      <w:r>
        <w:rPr>
          <w:sz w:val="20"/>
          <w:szCs w:val="20"/>
        </w:rPr>
        <w:t>requirements after approval to ensure the long-term stability of the product. cGMP regulations require among other things, quality control and quality assurance as well as the corresponding maintenance of records and documentation and the obligation to inv</w:t>
      </w:r>
      <w:r>
        <w:rPr>
          <w:sz w:val="20"/>
          <w:szCs w:val="20"/>
        </w:rPr>
        <w:t xml:space="preserve">estigate and correct any deviations from cGMP. Manufacturers and other entities involved in the manufacture and distribution of approved products are </w:t>
      </w:r>
    </w:p>
    <w:p w:rsidR="00000000" w:rsidRDefault="00F22B2C">
      <w:pPr>
        <w:pStyle w:val="a3"/>
        <w:spacing w:before="480" w:beforeAutospacing="0" w:after="0" w:afterAutospacing="0"/>
        <w:jc w:val="center"/>
        <w:divId w:val="1116607851"/>
        <w:rPr>
          <w:sz w:val="20"/>
          <w:szCs w:val="20"/>
        </w:rPr>
      </w:pPr>
      <w:r>
        <w:rPr>
          <w:sz w:val="20"/>
          <w:szCs w:val="20"/>
        </w:rPr>
        <w:t>31</w:t>
      </w:r>
    </w:p>
    <w:p w:rsidR="00000000" w:rsidRDefault="00F22B2C">
      <w:pPr>
        <w:pStyle w:val="a3"/>
        <w:spacing w:before="0" w:beforeAutospacing="0" w:after="600" w:afterAutospacing="0"/>
        <w:divId w:val="327051861"/>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970894637"/>
        <w:rPr>
          <w:sz w:val="20"/>
          <w:szCs w:val="20"/>
        </w:rPr>
      </w:pPr>
      <w:r>
        <w:rPr>
          <w:sz w:val="20"/>
          <w:szCs w:val="20"/>
        </w:rPr>
        <w:t>required to register their establishments and list their p</w:t>
      </w:r>
      <w:r>
        <w:rPr>
          <w:sz w:val="20"/>
          <w:szCs w:val="20"/>
        </w:rPr>
        <w:t>roducts with the FDA and certain state agencies, and are subject to periodic unannounced inspections by the FDA and certain state agencies for compliance with cGMP and other applicable laws. Accordingly, manufacturers must continue to expend time, money, a</w:t>
      </w:r>
      <w:r>
        <w:rPr>
          <w:sz w:val="20"/>
          <w:szCs w:val="20"/>
        </w:rPr>
        <w:t>nd effort in the areas of production and quality control to maintain cGMP compliance. Discovery of problems with a product after approval may result in restrictions on a product, manufacturer, or holder of an approved BLA, including, among other things, wi</w:t>
      </w:r>
      <w:r>
        <w:rPr>
          <w:sz w:val="20"/>
          <w:szCs w:val="20"/>
        </w:rPr>
        <w:t>thdrawal of approval, recall or withdrawal of the product from the market. In addition, changes to the manufacturing process are strictly regulated, and depending on the significance of the change, may require prior FDA approval or notification before bein</w:t>
      </w:r>
      <w:r>
        <w:rPr>
          <w:sz w:val="20"/>
          <w:szCs w:val="20"/>
        </w:rPr>
        <w:t>g implemented. Other types of changes to the approved product, such as adding new indications and claims to the product labeling, are also subject to further FDA review and approval.</w:t>
      </w:r>
    </w:p>
    <w:p w:rsidR="00000000" w:rsidRDefault="00F22B2C">
      <w:pPr>
        <w:pStyle w:val="a3"/>
        <w:spacing w:before="0" w:beforeAutospacing="0" w:after="240" w:afterAutospacing="0"/>
        <w:ind w:firstLine="547"/>
        <w:divId w:val="1970894637"/>
        <w:rPr>
          <w:sz w:val="20"/>
          <w:szCs w:val="20"/>
        </w:rPr>
      </w:pPr>
      <w:r>
        <w:rPr>
          <w:sz w:val="20"/>
          <w:szCs w:val="20"/>
        </w:rPr>
        <w:t>Commercial products must meet the requirements of the Drug Supply Chain S</w:t>
      </w:r>
      <w:r>
        <w:rPr>
          <w:sz w:val="20"/>
          <w:szCs w:val="20"/>
        </w:rPr>
        <w:t>ecurity Act, or DSCSA, which imposes obligations on manufacturers of prescription biopharmaceutical products for commercial distribution, regulating the distribution of the products at the federal level, and sets certain standards for federal or state regi</w:t>
      </w:r>
      <w:r>
        <w:rPr>
          <w:sz w:val="20"/>
          <w:szCs w:val="20"/>
        </w:rPr>
        <w:t>stration and compliance of entities in the supply chain, including manufacturers and repackagers, wholesale distributors, third-party logistics providers, and dispensers. The DSCSA preempts previously enacted state laws and the pedigree requirements of the</w:t>
      </w:r>
      <w:r>
        <w:rPr>
          <w:sz w:val="20"/>
          <w:szCs w:val="20"/>
        </w:rPr>
        <w:t xml:space="preserve"> Prescription Drug Marketing Act, or PDMA. Trading partners within the drug supply chain must now ensure certain product tracing requirements are met that they are doing business with other authorized trading partners; and they are required to exchange tra</w:t>
      </w:r>
      <w:r>
        <w:rPr>
          <w:sz w:val="20"/>
          <w:szCs w:val="20"/>
        </w:rPr>
        <w:t xml:space="preserve">nsaction information, transaction history, and transaction statements. Product identifier information, an aspect of the product tracing scheme, is required. The DSCSA requirements, development of standards, and the system for product tracing have been and </w:t>
      </w:r>
      <w:r>
        <w:rPr>
          <w:sz w:val="20"/>
          <w:szCs w:val="20"/>
        </w:rPr>
        <w:t>will continue to be phased in over a period of years, with the FDA indicating that it would permit certain exemptions and exclusions, and exercise enforcement discretion on certain aspects of the law due to the COVID-19 pandemic, although this situation ma</w:t>
      </w:r>
      <w:r>
        <w:rPr>
          <w:sz w:val="20"/>
          <w:szCs w:val="20"/>
        </w:rPr>
        <w:t>y continue to evolve. The distribution of product samples continues to be regulated under the PDMA, and some states also impose regulations on drug sample distribution.</w:t>
      </w:r>
    </w:p>
    <w:p w:rsidR="00000000" w:rsidRDefault="00F22B2C">
      <w:pPr>
        <w:pStyle w:val="a3"/>
        <w:spacing w:before="0" w:beforeAutospacing="0" w:after="240" w:afterAutospacing="0"/>
        <w:ind w:firstLine="547"/>
        <w:divId w:val="1970894637"/>
        <w:rPr>
          <w:sz w:val="20"/>
          <w:szCs w:val="20"/>
        </w:rPr>
      </w:pPr>
      <w:r>
        <w:rPr>
          <w:sz w:val="20"/>
          <w:szCs w:val="20"/>
        </w:rPr>
        <w:t>As previously mentioned, the FDA may also require Phase 4 testing and surveillance to m</w:t>
      </w:r>
      <w:r>
        <w:rPr>
          <w:sz w:val="20"/>
          <w:szCs w:val="20"/>
        </w:rPr>
        <w:t>onitor the effects of an approved product. Discovery of previously unknown problems with a product or the failure to comply with applicable FDA requirements can have negative consequences, including adverse publicity, judicial or administrative enforcement</w:t>
      </w:r>
      <w:r>
        <w:rPr>
          <w:sz w:val="20"/>
          <w:szCs w:val="20"/>
        </w:rPr>
        <w:t xml:space="preserve">, warning letters from the FDA, mandated corrective advertising or communications with doctors, and civil or criminal penalties, among others. Newly discovered or developed safety or effectiveness data may require changes to a product’s approved labeling, </w:t>
      </w:r>
      <w:r>
        <w:rPr>
          <w:sz w:val="20"/>
          <w:szCs w:val="20"/>
        </w:rPr>
        <w:t>including the addition of new warnings and contraindications, and may require the implementation of other risk management measures. Also, new government requirements, including those resulting from new legislation, may be established, or the FDA’s policies</w:t>
      </w:r>
      <w:r>
        <w:rPr>
          <w:sz w:val="20"/>
          <w:szCs w:val="20"/>
        </w:rPr>
        <w:t xml:space="preserve"> may change, which could delay or prevent regulatory approval of our products under development.</w:t>
      </w:r>
    </w:p>
    <w:p w:rsidR="00000000" w:rsidRDefault="00F22B2C">
      <w:pPr>
        <w:pStyle w:val="a3"/>
        <w:spacing w:before="0" w:beforeAutospacing="0" w:after="240" w:afterAutospacing="0"/>
        <w:divId w:val="1970894637"/>
        <w:rPr>
          <w:sz w:val="20"/>
          <w:szCs w:val="20"/>
        </w:rPr>
      </w:pPr>
      <w:r>
        <w:rPr>
          <w:b/>
          <w:bCs/>
          <w:i/>
          <w:iCs/>
          <w:sz w:val="20"/>
          <w:szCs w:val="20"/>
        </w:rPr>
        <w:t>Additional Biologic Requirements</w:t>
      </w:r>
    </w:p>
    <w:p w:rsidR="00000000" w:rsidRDefault="00F22B2C">
      <w:pPr>
        <w:pStyle w:val="a3"/>
        <w:spacing w:before="0" w:beforeAutospacing="0" w:after="240" w:afterAutospacing="0"/>
        <w:ind w:firstLine="547"/>
        <w:divId w:val="1970894637"/>
        <w:rPr>
          <w:sz w:val="20"/>
          <w:szCs w:val="20"/>
        </w:rPr>
      </w:pPr>
      <w:r>
        <w:rPr>
          <w:sz w:val="20"/>
          <w:szCs w:val="20"/>
        </w:rPr>
        <w:t>To help reduce the increased risk of the introduction of adventitious agents, the PHSA emphasizes the importance of manufactur</w:t>
      </w:r>
      <w:r>
        <w:rPr>
          <w:sz w:val="20"/>
          <w:szCs w:val="20"/>
        </w:rPr>
        <w:t>ing controls for products whose attributes cannot be precisely defined. The PHSA also provides authority to the FDA to immediately suspend licenses in situations where there exists a danger to public health, to prepare or procure products in the event of s</w:t>
      </w:r>
      <w:r>
        <w:rPr>
          <w:sz w:val="20"/>
          <w:szCs w:val="20"/>
        </w:rPr>
        <w:t>hortages and critical public health needs, and to authorize the creation and enforcement of regulations to prevent the introduction or spread of communicable diseases in the U.S. and between states.</w:t>
      </w:r>
    </w:p>
    <w:p w:rsidR="00000000" w:rsidRDefault="00F22B2C">
      <w:pPr>
        <w:pStyle w:val="a3"/>
        <w:spacing w:before="0" w:beforeAutospacing="0" w:after="240" w:afterAutospacing="0"/>
        <w:ind w:firstLine="547"/>
        <w:divId w:val="1970894637"/>
        <w:rPr>
          <w:sz w:val="20"/>
          <w:szCs w:val="20"/>
        </w:rPr>
      </w:pPr>
      <w:r>
        <w:rPr>
          <w:sz w:val="20"/>
          <w:szCs w:val="20"/>
        </w:rPr>
        <w:t>After a BLA is approved, the product may also be subject to official lot release as a condition of approval. As part of the manufacturing process, the manufacturer is required to perform certain tests on each lot of the product before it is released for di</w:t>
      </w:r>
      <w:r>
        <w:rPr>
          <w:sz w:val="20"/>
          <w:szCs w:val="20"/>
        </w:rPr>
        <w:t>stribution. If the product is subject to official release by the FDA, the manufacturer submits samples of each lot of product to the FDA, together with a release protocol showing the results of all the manufacturer's tests performed on the lot. The FDA may</w:t>
      </w:r>
      <w:r>
        <w:rPr>
          <w:sz w:val="20"/>
          <w:szCs w:val="20"/>
        </w:rPr>
        <w:t xml:space="preserve"> also perform certain confirmatory tests on lots of some products before releasing the lots for distribution by the manufacturer.</w:t>
      </w:r>
    </w:p>
    <w:p w:rsidR="00000000" w:rsidRDefault="00F22B2C">
      <w:pPr>
        <w:pStyle w:val="a3"/>
        <w:spacing w:before="0" w:beforeAutospacing="0" w:after="240" w:afterAutospacing="0"/>
        <w:ind w:firstLine="547"/>
        <w:divId w:val="1970894637"/>
        <w:rPr>
          <w:sz w:val="20"/>
          <w:szCs w:val="20"/>
        </w:rPr>
      </w:pPr>
      <w:r>
        <w:rPr>
          <w:sz w:val="20"/>
          <w:szCs w:val="20"/>
        </w:rPr>
        <w:t>In addition, the FDA conducts laboratory research related to the regulatory standards on the safety, purity, potency, and effe</w:t>
      </w:r>
      <w:r>
        <w:rPr>
          <w:sz w:val="20"/>
          <w:szCs w:val="20"/>
        </w:rPr>
        <w:t>ctiveness of biological products. After approval of biologics, manufacturers must address any safety issues that arise, are subject to recalls or a halt in manufacturing, and are subject to periodic inspection after approval.</w:t>
      </w:r>
    </w:p>
    <w:p w:rsidR="00000000" w:rsidRDefault="00F22B2C">
      <w:pPr>
        <w:pStyle w:val="a3"/>
        <w:spacing w:before="0" w:beforeAutospacing="0" w:after="240" w:afterAutospacing="0"/>
        <w:divId w:val="1970894637"/>
        <w:rPr>
          <w:sz w:val="20"/>
          <w:szCs w:val="20"/>
        </w:rPr>
      </w:pPr>
      <w:r>
        <w:rPr>
          <w:b/>
          <w:bCs/>
          <w:i/>
          <w:iCs/>
          <w:sz w:val="20"/>
          <w:szCs w:val="20"/>
        </w:rPr>
        <w:t>Other Healthcare Laws and Comp</w:t>
      </w:r>
      <w:r>
        <w:rPr>
          <w:b/>
          <w:bCs/>
          <w:i/>
          <w:iCs/>
          <w:sz w:val="20"/>
          <w:szCs w:val="20"/>
        </w:rPr>
        <w:t>liance Requirements</w:t>
      </w:r>
    </w:p>
    <w:p w:rsidR="00000000" w:rsidRDefault="00F22B2C">
      <w:pPr>
        <w:pStyle w:val="a3"/>
        <w:spacing w:before="0" w:beforeAutospacing="0" w:after="0" w:afterAutospacing="0"/>
        <w:ind w:firstLine="547"/>
        <w:divId w:val="1970894637"/>
        <w:rPr>
          <w:sz w:val="20"/>
          <w:szCs w:val="20"/>
        </w:rPr>
      </w:pPr>
      <w:r>
        <w:rPr>
          <w:sz w:val="20"/>
          <w:szCs w:val="20"/>
        </w:rPr>
        <w:t>Our sales, promotion, medical education and other activities following product approval will be subject to regulation by numerous regulatory and law enforcement authorities in the U.S., and in addition to the FDA, these entities may inc</w:t>
      </w:r>
      <w:r>
        <w:rPr>
          <w:sz w:val="20"/>
          <w:szCs w:val="20"/>
        </w:rPr>
        <w:t xml:space="preserve">lude the Federal Trade Commission, the Department of Justice, the Centers for Medicare &amp; Medicaid Services, other divisions of the Department of Health and Human Services and state and local governments. Our promotional and scientific/educational programs </w:t>
      </w:r>
      <w:r>
        <w:rPr>
          <w:sz w:val="20"/>
          <w:szCs w:val="20"/>
        </w:rPr>
        <w:t xml:space="preserve">must comply with </w:t>
      </w:r>
    </w:p>
    <w:p w:rsidR="00000000" w:rsidRDefault="00F22B2C">
      <w:pPr>
        <w:pStyle w:val="a3"/>
        <w:spacing w:before="480" w:beforeAutospacing="0" w:after="0" w:afterAutospacing="0"/>
        <w:jc w:val="center"/>
        <w:divId w:val="855653309"/>
        <w:rPr>
          <w:sz w:val="20"/>
          <w:szCs w:val="20"/>
        </w:rPr>
      </w:pPr>
      <w:r>
        <w:rPr>
          <w:sz w:val="20"/>
          <w:szCs w:val="20"/>
        </w:rPr>
        <w:t>32</w:t>
      </w:r>
    </w:p>
    <w:p w:rsidR="00000000" w:rsidRDefault="00F22B2C">
      <w:pPr>
        <w:pStyle w:val="a3"/>
        <w:spacing w:before="0" w:beforeAutospacing="0" w:after="600" w:afterAutospacing="0"/>
        <w:divId w:val="1101146496"/>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852497601"/>
        <w:rPr>
          <w:sz w:val="20"/>
          <w:szCs w:val="20"/>
        </w:rPr>
      </w:pPr>
      <w:r>
        <w:rPr>
          <w:sz w:val="20"/>
          <w:szCs w:val="20"/>
        </w:rPr>
        <w:t>the federal Anti-Kickback Statute, or AKS, the Foreign Corrupt Practices Act, or FCPA, the False Claims Act, or FCA, the Veterans Health Care Act, physician payment transparency laws, privacy</w:t>
      </w:r>
      <w:r>
        <w:rPr>
          <w:sz w:val="20"/>
          <w:szCs w:val="20"/>
        </w:rPr>
        <w:t xml:space="preserve"> laws, security laws, and additional state laws similar to the foregoing.</w:t>
      </w:r>
    </w:p>
    <w:p w:rsidR="00000000" w:rsidRDefault="00F22B2C">
      <w:pPr>
        <w:pStyle w:val="a3"/>
        <w:spacing w:before="0" w:beforeAutospacing="0" w:after="240" w:afterAutospacing="0"/>
        <w:ind w:firstLine="547"/>
        <w:divId w:val="852497601"/>
        <w:rPr>
          <w:sz w:val="20"/>
          <w:szCs w:val="20"/>
        </w:rPr>
      </w:pPr>
      <w:r>
        <w:rPr>
          <w:sz w:val="20"/>
          <w:szCs w:val="20"/>
        </w:rPr>
        <w:t xml:space="preserve">The federal AKS prohibits, among other things, any person or entity, from knowingly and willfully offering, paying, soliciting or receiving any remuneration, directly or indirectly, </w:t>
      </w:r>
      <w:r>
        <w:rPr>
          <w:sz w:val="20"/>
          <w:szCs w:val="20"/>
        </w:rPr>
        <w:t>overtly or covertly, in cash or in kind, to induce or in return for purchasing, leasing, ordering or arranging for the purchase, lease or order of any item or service reimbursable under Medicare, Medicaid or other federal healthcare programs, in whole or i</w:t>
      </w:r>
      <w:r>
        <w:rPr>
          <w:sz w:val="20"/>
          <w:szCs w:val="20"/>
        </w:rPr>
        <w:t>n part. The term remuneration has been interpreted broadly to include anything of value. The federal AKS has been interpreted broadly to apply to arrangements between pharmaceutical manufacturers on the one hand and prescribers, purchasers, and formulary m</w:t>
      </w:r>
      <w:r>
        <w:rPr>
          <w:sz w:val="20"/>
          <w:szCs w:val="20"/>
        </w:rPr>
        <w:t xml:space="preserve">anagers on the other. The term "remuneration" includes kickbacks, bribes or rebates and also has been broadly interpreted to include anything of value, including, for example, gifts, discounts, waivers of payment, ownership interest and providing anything </w:t>
      </w:r>
      <w:r>
        <w:rPr>
          <w:sz w:val="20"/>
          <w:szCs w:val="20"/>
        </w:rPr>
        <w:t>at less than its fair market value. Additionally, the intent standard under the federal AKS provides that a person or entity need not have actual knowledge of the statute or specific intent to violate it in order to have committed a violation. In addition,</w:t>
      </w:r>
      <w:r>
        <w:rPr>
          <w:sz w:val="20"/>
          <w:szCs w:val="20"/>
        </w:rPr>
        <w:t xml:space="preserve"> a claim including items or services resulting from a violation of the federal AKS constitutes a false or fraudulent claim for purposes of the federal civil False Claims Act. There are a number of statutory exceptions and regulatory safe harbors protecting</w:t>
      </w:r>
      <w:r>
        <w:rPr>
          <w:sz w:val="20"/>
          <w:szCs w:val="20"/>
        </w:rPr>
        <w:t xml:space="preserve"> some common activities from prosecution or other regulatory sanctions. The exceptions and safe harbors are drawn narrowly and practices that involve remuneration that may be alleged to be intended to induce prescribing, purchasing or recommending may be s</w:t>
      </w:r>
      <w:r>
        <w:rPr>
          <w:sz w:val="20"/>
          <w:szCs w:val="20"/>
        </w:rPr>
        <w:t>ubject to scrutiny if they do not qualify for an exception or safe harbor. Failure to meet all the requirements of a particular applicable statutory exception or regulatory safe harbor does not make the conduct per se illegal under the AKS. Instead, the le</w:t>
      </w:r>
      <w:r>
        <w:rPr>
          <w:sz w:val="20"/>
          <w:szCs w:val="20"/>
        </w:rPr>
        <w:t>gality of the arrangement will be evaluated on a case-by-case basis based on a cumulative review of all its facts and circumstances. Our practices may not in all cases meet all the criteria for protection under a statutory exception or regulatory safe harb</w:t>
      </w:r>
      <w:r>
        <w:rPr>
          <w:sz w:val="20"/>
          <w:szCs w:val="20"/>
        </w:rPr>
        <w:t>or. The safe harbors are subject to change through legislative and regulatory action, and we may decide to adjust our business practices or be subject to heightened scrutiny as a result.</w:t>
      </w:r>
    </w:p>
    <w:p w:rsidR="00000000" w:rsidRDefault="00F22B2C">
      <w:pPr>
        <w:pStyle w:val="a3"/>
        <w:spacing w:before="0" w:beforeAutospacing="0" w:after="240" w:afterAutospacing="0"/>
        <w:ind w:firstLine="547"/>
        <w:divId w:val="852497601"/>
        <w:rPr>
          <w:sz w:val="20"/>
          <w:szCs w:val="20"/>
        </w:rPr>
      </w:pPr>
      <w:r>
        <w:rPr>
          <w:sz w:val="20"/>
          <w:szCs w:val="20"/>
        </w:rPr>
        <w:t>The civil monetary penalties statute imposes penalties against any pe</w:t>
      </w:r>
      <w:r>
        <w:rPr>
          <w:sz w:val="20"/>
          <w:szCs w:val="20"/>
        </w:rPr>
        <w:t>rson or entity who, among other things, is determined to have presented or caused to be presented a claim for payment, or approval to a federal healthcare program that the person knows or should know is for an item or service that was not provided as claim</w:t>
      </w:r>
      <w:r>
        <w:rPr>
          <w:sz w:val="20"/>
          <w:szCs w:val="20"/>
        </w:rPr>
        <w:t>ed or is false or fraudulent.</w:t>
      </w:r>
    </w:p>
    <w:p w:rsidR="00000000" w:rsidRDefault="00F22B2C">
      <w:pPr>
        <w:pStyle w:val="a3"/>
        <w:spacing w:before="0" w:beforeAutospacing="0" w:after="240" w:afterAutospacing="0"/>
        <w:ind w:firstLine="547"/>
        <w:divId w:val="852497601"/>
        <w:rPr>
          <w:sz w:val="20"/>
          <w:szCs w:val="20"/>
        </w:rPr>
      </w:pPr>
      <w:r>
        <w:rPr>
          <w:sz w:val="20"/>
          <w:szCs w:val="20"/>
        </w:rPr>
        <w:t>The FCA imposes liability on persons who, among other things, knowingly present or cause to be presented false or fraudulent claims for payment to, or approval by the federal government knowingly making or using, or causing to</w:t>
      </w:r>
      <w:r>
        <w:rPr>
          <w:sz w:val="20"/>
          <w:szCs w:val="20"/>
        </w:rPr>
        <w:t xml:space="preserve"> be made or used a false statement or record material to a claim to the federal government, or avoiding, decreasing or concealing an obligation to pay money to the federal government. A claim includes "any request or demand" for money or property presented</w:t>
      </w:r>
      <w:r>
        <w:rPr>
          <w:sz w:val="20"/>
          <w:szCs w:val="20"/>
        </w:rPr>
        <w:t xml:space="preserve"> directly or indirectly to the federal government. The civil FCA has been or can be used to assert liability on the basis of kickbacks and other improper referrals, improperly reported government pricing metrics such as Best Price and Average Manufacturer </w:t>
      </w:r>
      <w:r>
        <w:rPr>
          <w:sz w:val="20"/>
          <w:szCs w:val="20"/>
        </w:rPr>
        <w:t>Price, improper promotion of uses not expressly approved by the FDA in a drug’s label, false statements associated with government grants, and allegations of misrepresentations with respect to services rendered, as well as claims for payment that are inacc</w:t>
      </w:r>
      <w:r>
        <w:rPr>
          <w:sz w:val="20"/>
          <w:szCs w:val="20"/>
        </w:rPr>
        <w:t>urate or fraudulent, that are for services not provided as claimed, or for services that are not medically necessary. FCA claims may be based on noncompliance with regulatory requirements under an implied certification theory if material to the government’</w:t>
      </w:r>
      <w:r>
        <w:rPr>
          <w:sz w:val="20"/>
          <w:szCs w:val="20"/>
        </w:rPr>
        <w:t>s decision to buy or pay for a drug. Intent to deceive is not required to establish liability under the civil FCA. Civil FCA liability may also be imposed for Medicare or Medicaid overpayments caused by understated rebate amounts that are not refunded with</w:t>
      </w:r>
      <w:r>
        <w:rPr>
          <w:sz w:val="20"/>
          <w:szCs w:val="20"/>
        </w:rPr>
        <w:t>in 60 days of discovering the overpayment, even if the overpayment was not caused by a false or fraudulent act. Actions under the FCA may be brought by the government or as a qui tam action by a private individual in the name of the government. If the gove</w:t>
      </w:r>
      <w:r>
        <w:rPr>
          <w:sz w:val="20"/>
          <w:szCs w:val="20"/>
        </w:rPr>
        <w:t>rnment intervenes in a qui tam action, and prevails, the qui tam plaintiff will share in the proceeds from damages and fines or settlement funds. If the government declines to intervene, the qui tam plaintiff may pursue the case alone. Violations of the FC</w:t>
      </w:r>
      <w:r>
        <w:rPr>
          <w:sz w:val="20"/>
          <w:szCs w:val="20"/>
        </w:rPr>
        <w:t>A can result in significant monetary penalties and treble damages. The government may further prosecute conduct under the criminal FCA, which prohibits the making or presenting of a claim to the government knowing the claim to be false, fictitious or fraud</w:t>
      </w:r>
      <w:r>
        <w:rPr>
          <w:sz w:val="20"/>
          <w:szCs w:val="20"/>
        </w:rPr>
        <w:t>ulent. Unlike the civil FCA, conviction requires proof of intent to submit a false claim. In addition, federal AKS violations (which may be alleged based on certain marketing practices, including allegations of off-label promotion) implicate the FCA.</w:t>
      </w:r>
    </w:p>
    <w:p w:rsidR="00000000" w:rsidRDefault="00F22B2C">
      <w:pPr>
        <w:pStyle w:val="a3"/>
        <w:spacing w:before="0" w:beforeAutospacing="0" w:after="240" w:afterAutospacing="0"/>
        <w:ind w:firstLine="547"/>
        <w:divId w:val="852497601"/>
        <w:rPr>
          <w:sz w:val="20"/>
          <w:szCs w:val="20"/>
        </w:rPr>
      </w:pPr>
      <w:r>
        <w:rPr>
          <w:sz w:val="20"/>
          <w:szCs w:val="20"/>
        </w:rPr>
        <w:t>The c</w:t>
      </w:r>
      <w:r>
        <w:rPr>
          <w:sz w:val="20"/>
          <w:szCs w:val="20"/>
        </w:rPr>
        <w:t>ompliance and enforcement landscape, and related risk, is informed by government litigation and settlement precedent, Advisory Opinions, and Special Fraud Alerts.  Our approach to compliance may evolve over time in light of these types of developments.</w:t>
      </w:r>
    </w:p>
    <w:p w:rsidR="00000000" w:rsidRDefault="00F22B2C">
      <w:pPr>
        <w:pStyle w:val="a3"/>
        <w:spacing w:before="0" w:beforeAutospacing="0" w:after="0" w:afterAutospacing="0"/>
        <w:ind w:firstLine="547"/>
        <w:divId w:val="852497601"/>
        <w:rPr>
          <w:sz w:val="20"/>
          <w:szCs w:val="20"/>
        </w:rPr>
      </w:pPr>
      <w:r>
        <w:rPr>
          <w:sz w:val="20"/>
          <w:szCs w:val="20"/>
        </w:rPr>
        <w:t>Add</w:t>
      </w:r>
      <w:r>
        <w:rPr>
          <w:sz w:val="20"/>
          <w:szCs w:val="20"/>
        </w:rPr>
        <w:t>itionally, the FCPA, and similar worldwide anti-bribery laws, generally prohibit companies and their intermediaries from making, offering or authorizing improper payments or other items of value, directly or indirectly, to foreign officials, political part</w:t>
      </w:r>
      <w:r>
        <w:rPr>
          <w:sz w:val="20"/>
          <w:szCs w:val="20"/>
        </w:rPr>
        <w:t xml:space="preserve">ies, or candidates for the purpose of obtaining or retaining business. The FCPA also obligates companies whose securities are listed in the </w:t>
      </w:r>
    </w:p>
    <w:p w:rsidR="00000000" w:rsidRDefault="00F22B2C">
      <w:pPr>
        <w:pStyle w:val="a3"/>
        <w:spacing w:before="480" w:beforeAutospacing="0" w:after="0" w:afterAutospacing="0"/>
        <w:jc w:val="center"/>
        <w:divId w:val="1293825070"/>
        <w:rPr>
          <w:sz w:val="20"/>
          <w:szCs w:val="20"/>
        </w:rPr>
      </w:pPr>
      <w:r>
        <w:rPr>
          <w:sz w:val="20"/>
          <w:szCs w:val="20"/>
        </w:rPr>
        <w:t>33</w:t>
      </w:r>
    </w:p>
    <w:p w:rsidR="00000000" w:rsidRDefault="00F22B2C">
      <w:pPr>
        <w:pStyle w:val="a3"/>
        <w:spacing w:before="0" w:beforeAutospacing="0" w:after="600" w:afterAutospacing="0"/>
        <w:divId w:val="1366909629"/>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09710267"/>
        <w:rPr>
          <w:sz w:val="20"/>
          <w:szCs w:val="20"/>
        </w:rPr>
      </w:pPr>
      <w:r>
        <w:rPr>
          <w:sz w:val="20"/>
          <w:szCs w:val="20"/>
        </w:rPr>
        <w:t>U.S. to comply with accounting provisions requiring us to maintain b</w:t>
      </w:r>
      <w:r>
        <w:rPr>
          <w:sz w:val="20"/>
          <w:szCs w:val="20"/>
        </w:rPr>
        <w:t>ooks and records that accurately and fairly reflect all transactions of the corporation, including international subsidiaries, and to devise and maintain an adequate system of internal accounting controls for international operations. Activities that viola</w:t>
      </w:r>
      <w:r>
        <w:rPr>
          <w:sz w:val="20"/>
          <w:szCs w:val="20"/>
        </w:rPr>
        <w:t>te the FCPA, even if they occur wholly outside the U.S., can result in criminal and civil fines, imprisonment, disgorgement, oversight, and debarment from securing government contracts. We cannot assure you that our internal control policies and procedures</w:t>
      </w:r>
      <w:r>
        <w:rPr>
          <w:sz w:val="20"/>
          <w:szCs w:val="20"/>
        </w:rPr>
        <w:t xml:space="preserve"> will protect us from reckless or negligent acts committed by our employees, future distributors, partners, collaborators or agents. Violations of these laws, or allegations of such violations, could result in fines, penalties or prosecution and have a neg</w:t>
      </w:r>
      <w:r>
        <w:rPr>
          <w:sz w:val="20"/>
          <w:szCs w:val="20"/>
        </w:rPr>
        <w:t>ative impact on our business, results of operations and reputation.</w:t>
      </w:r>
    </w:p>
    <w:p w:rsidR="00000000" w:rsidRDefault="00F22B2C">
      <w:pPr>
        <w:pStyle w:val="a3"/>
        <w:spacing w:before="0" w:beforeAutospacing="0" w:after="240" w:afterAutospacing="0"/>
        <w:ind w:firstLine="547"/>
        <w:divId w:val="109710267"/>
        <w:rPr>
          <w:sz w:val="20"/>
          <w:szCs w:val="20"/>
        </w:rPr>
      </w:pPr>
      <w:r>
        <w:rPr>
          <w:sz w:val="20"/>
          <w:szCs w:val="20"/>
        </w:rPr>
        <w:t>Payment or reimbursement of prescription drugs by Medicaid or Medicare requires manufacturers of the drugs to submit pricing information to the Centers for Medicare &amp; Medicaid Services, or</w:t>
      </w:r>
      <w:r>
        <w:rPr>
          <w:sz w:val="20"/>
          <w:szCs w:val="20"/>
        </w:rPr>
        <w:t xml:space="preserve"> CMS. The Medicaid Drug Rebate statute requires manufacturers to calculate and report price points, which are used to determine Medicaid rebate payments shared between the states and the federal government and Medicaid payment rates for the drug. For drugs</w:t>
      </w:r>
      <w:r>
        <w:rPr>
          <w:sz w:val="20"/>
          <w:szCs w:val="20"/>
        </w:rPr>
        <w:t xml:space="preserve"> paid under Medicare Part B, manufacturers must also calculate and report their Average Sales Price or ASP, which is used to determine the Medicare Part B payment rate for the drug. Drugs that are approved under a BLA or a New Drug Application, or NDA, inc</w:t>
      </w:r>
      <w:r>
        <w:rPr>
          <w:sz w:val="20"/>
          <w:szCs w:val="20"/>
        </w:rPr>
        <w:t>luding 505(b)(2) drugs, are subject to an additional inflation penalty which can substantially increase rebate payments. In addition, for BLA and NDA drugs, the Veterans Health Care Act, or VHCA, requires manufacturers to calculate and report to the Vetera</w:t>
      </w:r>
      <w:r>
        <w:rPr>
          <w:sz w:val="20"/>
          <w:szCs w:val="20"/>
        </w:rPr>
        <w:t>ns Administration, or VA, a different price called the Non</w:t>
      </w:r>
      <w:r>
        <w:rPr>
          <w:sz w:val="20"/>
          <w:szCs w:val="20"/>
        </w:rPr>
        <w:noBreakHyphen/>
        <w:t>Federal Average Manufacturing Price, which is used to determine the maximum price that can be charged to certain federal agencies, referred to as the Federal Ceiling Price, or FCP. Like the Medicai</w:t>
      </w:r>
      <w:r>
        <w:rPr>
          <w:sz w:val="20"/>
          <w:szCs w:val="20"/>
        </w:rPr>
        <w:t>d rebate amount, the FCP includes an inflation penalty. A Department of Defense regulation requires manufacturers to provide this discount on drugs dispensed by retail pharmacies when paid by the TRICARE Program. All these price reporting requirements crea</w:t>
      </w:r>
      <w:r>
        <w:rPr>
          <w:sz w:val="20"/>
          <w:szCs w:val="20"/>
        </w:rPr>
        <w:t>te risk of submitting false information to the government, and potential FCA liability.</w:t>
      </w:r>
    </w:p>
    <w:p w:rsidR="00000000" w:rsidRDefault="00F22B2C">
      <w:pPr>
        <w:pStyle w:val="a3"/>
        <w:spacing w:before="0" w:beforeAutospacing="0" w:after="240" w:afterAutospacing="0"/>
        <w:ind w:firstLine="547"/>
        <w:divId w:val="109710267"/>
        <w:rPr>
          <w:sz w:val="20"/>
          <w:szCs w:val="20"/>
        </w:rPr>
      </w:pPr>
      <w:r>
        <w:rPr>
          <w:sz w:val="20"/>
          <w:szCs w:val="20"/>
        </w:rPr>
        <w:t>The VHCA also requires manufacturers of covered drugs participating in the Medicaid program to enter into Federal Supply Schedule contracts with the VA through which th</w:t>
      </w:r>
      <w:r>
        <w:rPr>
          <w:sz w:val="20"/>
          <w:szCs w:val="20"/>
        </w:rPr>
        <w:t>eir covered drugs must be sold to certain federal agencies at FCP and to report pricing information. This necessitates compliance with applicable federal procurement laws and regulations and subjects us to contractual remedies as well as administrative, ci</w:t>
      </w:r>
      <w:r>
        <w:rPr>
          <w:sz w:val="20"/>
          <w:szCs w:val="20"/>
        </w:rPr>
        <w:t>vil, and criminal sanctions. In addition, the VHCA requires manufacturers participating in Medicaid to agree to provide different mandatory discounts to certain Public Health Service grantees and other safety net hospitals and clinics.</w:t>
      </w:r>
    </w:p>
    <w:p w:rsidR="00000000" w:rsidRDefault="00F22B2C">
      <w:pPr>
        <w:pStyle w:val="a3"/>
        <w:spacing w:before="0" w:beforeAutospacing="0" w:after="240" w:afterAutospacing="0"/>
        <w:ind w:firstLine="547"/>
        <w:divId w:val="109710267"/>
        <w:rPr>
          <w:sz w:val="20"/>
          <w:szCs w:val="20"/>
        </w:rPr>
      </w:pPr>
      <w:r>
        <w:rPr>
          <w:sz w:val="20"/>
          <w:szCs w:val="20"/>
        </w:rPr>
        <w:t>The federal Health I</w:t>
      </w:r>
      <w:r>
        <w:rPr>
          <w:sz w:val="20"/>
          <w:szCs w:val="20"/>
        </w:rPr>
        <w:t>nsurance Portability and Accountability Act of 1996, or HIPAA, which imposes criminal and civil penalties prohibits, among other actions, knowingly and willfully executing, or attempting to execute, a scheme to defraud or to obtain, by means of false or fr</w:t>
      </w:r>
      <w:r>
        <w:rPr>
          <w:sz w:val="20"/>
          <w:szCs w:val="20"/>
        </w:rPr>
        <w:t>audulent pretenses, representations, or promises, any of the money or property owned by, or under the custody or control of, any healthcare benefit program, regardless of whether the payor is public or private third-party, knowingly and willfully embezzlin</w:t>
      </w:r>
      <w:r>
        <w:rPr>
          <w:sz w:val="20"/>
          <w:szCs w:val="20"/>
        </w:rPr>
        <w:t>g or stealing from a health care benefit program, willfully obstructing a criminal investigation of a health care offense, and knowingly and willfully falsifying, concealing, or covering up by any trick or device a material fact or making any materially fa</w:t>
      </w:r>
      <w:r>
        <w:rPr>
          <w:sz w:val="20"/>
          <w:szCs w:val="20"/>
        </w:rPr>
        <w:t>lse statements in connection with the delivery of, or payment for, healthcare benefits, items, or services relating to healthcare matters. A person or entity does not need to have actual knowledge of the statute, or the specific intent to violate it, to ha</w:t>
      </w:r>
      <w:r>
        <w:rPr>
          <w:sz w:val="20"/>
          <w:szCs w:val="20"/>
        </w:rPr>
        <w:t>ve committed a violation.</w:t>
      </w:r>
    </w:p>
    <w:p w:rsidR="00000000" w:rsidRDefault="00F22B2C">
      <w:pPr>
        <w:pStyle w:val="a3"/>
        <w:spacing w:before="0" w:beforeAutospacing="0" w:after="240" w:afterAutospacing="0"/>
        <w:ind w:firstLine="547"/>
        <w:divId w:val="109710267"/>
        <w:rPr>
          <w:sz w:val="20"/>
          <w:szCs w:val="20"/>
        </w:rPr>
      </w:pPr>
      <w:r>
        <w:rPr>
          <w:sz w:val="20"/>
          <w:szCs w:val="20"/>
        </w:rPr>
        <w:t>We may also be subject to data privacy and security laws and regulation by both the federal government and the states in which we conduct our business. HIPAA, as amended by the Health Information Technology and Clinical Health Act</w:t>
      </w:r>
      <w:r>
        <w:rPr>
          <w:sz w:val="20"/>
          <w:szCs w:val="20"/>
        </w:rPr>
        <w:t>, or HITECH, and their respective implementing regulations, including the final omnibus rule published on January 25, 2013, imposes specific requirements relating to the privacy, security and transmission of individually identifiable health information hel</w:t>
      </w:r>
      <w:r>
        <w:rPr>
          <w:sz w:val="20"/>
          <w:szCs w:val="20"/>
        </w:rPr>
        <w:t xml:space="preserve">d by covered entities and their business associates. While we would not be a “covered entity” under HIPAA, it is possible that we may enter into a service or business arrangement that would cause us to serve as a “business associates,” defined as a person </w:t>
      </w:r>
      <w:r>
        <w:rPr>
          <w:sz w:val="20"/>
          <w:szCs w:val="20"/>
        </w:rPr>
        <w:t>or entity that performs certain functions or activities that involve the use or disclosure of protected health information in connection with providing a service for or on behalf of, or provide services to, a covered entity. HITECH also increased the civil</w:t>
      </w:r>
      <w:r>
        <w:rPr>
          <w:sz w:val="20"/>
          <w:szCs w:val="20"/>
        </w:rPr>
        <w:t xml:space="preserve"> and criminal penalties that may be imposed against covered entities, business associates and possibly other persons, and gave state attorneys general new authority to file civil actions for damages or injunctions in federal courts to enforce the federal H</w:t>
      </w:r>
      <w:r>
        <w:rPr>
          <w:sz w:val="20"/>
          <w:szCs w:val="20"/>
        </w:rPr>
        <w:t>IPAA laws and seek attorney’s fees and costs associated with pursuing federal civil actions. In addition, state laws govern the privacy and security of health information in certain circumstances, many of which differ from each other in significant ways an</w:t>
      </w:r>
      <w:r>
        <w:rPr>
          <w:sz w:val="20"/>
          <w:szCs w:val="20"/>
        </w:rPr>
        <w:t xml:space="preserve">d may not have the same effect. The Department of Health and Human Services Office of Civil Rights, or the OCR, has increased its focus on compliance and continues to train state attorneys general for enforcement purposes. </w:t>
      </w:r>
    </w:p>
    <w:p w:rsidR="00000000" w:rsidRDefault="00F22B2C">
      <w:pPr>
        <w:pStyle w:val="a3"/>
        <w:spacing w:before="480" w:beforeAutospacing="0" w:after="0" w:afterAutospacing="0"/>
        <w:jc w:val="center"/>
        <w:divId w:val="286936082"/>
        <w:rPr>
          <w:sz w:val="20"/>
          <w:szCs w:val="20"/>
        </w:rPr>
      </w:pPr>
      <w:r>
        <w:rPr>
          <w:sz w:val="20"/>
          <w:szCs w:val="20"/>
        </w:rPr>
        <w:t>34</w:t>
      </w:r>
    </w:p>
    <w:p w:rsidR="00000000" w:rsidRDefault="00F22B2C">
      <w:pPr>
        <w:pStyle w:val="a3"/>
        <w:spacing w:before="0" w:beforeAutospacing="0" w:after="600" w:afterAutospacing="0"/>
        <w:divId w:val="1459912417"/>
        <w:rPr>
          <w:sz w:val="20"/>
          <w:szCs w:val="20"/>
        </w:rPr>
      </w:pPr>
      <w:hyperlink w:anchor="TOC" w:history="1">
        <w:r>
          <w:rPr>
            <w:rStyle w:val="a4"/>
            <w:sz w:val="20"/>
            <w:szCs w:val="20"/>
          </w:rPr>
          <w:t>Tab</w:t>
        </w:r>
        <w:r>
          <w:rPr>
            <w:rStyle w:val="a4"/>
            <w:sz w:val="20"/>
            <w:szCs w:val="20"/>
          </w:rPr>
          <w:t>le of Contents</w:t>
        </w:r>
      </w:hyperlink>
    </w:p>
    <w:p w:rsidR="00000000" w:rsidRDefault="00F22B2C">
      <w:pPr>
        <w:pStyle w:val="a3"/>
        <w:spacing w:before="0" w:beforeAutospacing="0" w:after="240" w:afterAutospacing="0"/>
        <w:ind w:firstLine="547"/>
        <w:divId w:val="952830960"/>
        <w:rPr>
          <w:sz w:val="20"/>
          <w:szCs w:val="20"/>
        </w:rPr>
      </w:pPr>
      <w:r>
        <w:rPr>
          <w:sz w:val="20"/>
          <w:szCs w:val="20"/>
        </w:rPr>
        <w:t>Even for entities that are not deemed “covered entities” or “business associates” under HIPAA, according to the U.S. Federal Trade Commission, or the FTC, failing to take appropriate steps to keep consumers’ personal information secure const</w:t>
      </w:r>
      <w:r>
        <w:rPr>
          <w:sz w:val="20"/>
          <w:szCs w:val="20"/>
        </w:rPr>
        <w:t>itutes unfair acts or practices in or affecting commerce in violation of Section 5(a) of the Federal Trade Commission Act, or the FTCA, 15 USC § 45(a). The FTC expects a company's data security measures to be reasonable and appropriate in light of the sens</w:t>
      </w:r>
      <w:r>
        <w:rPr>
          <w:sz w:val="20"/>
          <w:szCs w:val="20"/>
        </w:rPr>
        <w:t>itivity and volume of consumer information it holds, the size and complexity of its business, and the cost of available tools to improve security and reduce vulnerabilities. Medical data is considered sensitive data that merits stronger safeguards. The FTC</w:t>
      </w:r>
      <w:r>
        <w:rPr>
          <w:sz w:val="20"/>
          <w:szCs w:val="20"/>
        </w:rPr>
        <w:t>'s guidance for appropriately securing consumers' personal information is similar to what is required by the HIPAA Security Rule.</w:t>
      </w:r>
    </w:p>
    <w:p w:rsidR="00000000" w:rsidRDefault="00F22B2C">
      <w:pPr>
        <w:pStyle w:val="a3"/>
        <w:spacing w:before="0" w:beforeAutospacing="0" w:after="240" w:afterAutospacing="0"/>
        <w:ind w:firstLine="547"/>
        <w:divId w:val="952830960"/>
        <w:rPr>
          <w:sz w:val="20"/>
          <w:szCs w:val="20"/>
        </w:rPr>
      </w:pPr>
      <w:r>
        <w:rPr>
          <w:sz w:val="20"/>
          <w:szCs w:val="20"/>
        </w:rPr>
        <w:t>In addition to the laws discussed above, we may see more stringent state and federal privacy legislation in 2021 and beyond, a</w:t>
      </w:r>
      <w:r>
        <w:rPr>
          <w:sz w:val="20"/>
          <w:szCs w:val="20"/>
        </w:rPr>
        <w:t>s the increased cyber-attacks during the pandemic have heightened attention data privacy and security in the U.S. and other jurisdictions. We cannot predict where new legislation might arise, the scope of such legislation, or the potential impact to our bu</w:t>
      </w:r>
      <w:r>
        <w:rPr>
          <w:sz w:val="20"/>
          <w:szCs w:val="20"/>
        </w:rPr>
        <w:t>siness and operations.</w:t>
      </w:r>
    </w:p>
    <w:p w:rsidR="00000000" w:rsidRDefault="00F22B2C">
      <w:pPr>
        <w:pStyle w:val="a3"/>
        <w:spacing w:before="0" w:beforeAutospacing="0" w:after="240" w:afterAutospacing="0"/>
        <w:ind w:firstLine="547"/>
        <w:divId w:val="952830960"/>
        <w:rPr>
          <w:sz w:val="20"/>
          <w:szCs w:val="20"/>
        </w:rPr>
      </w:pPr>
      <w:r>
        <w:rPr>
          <w:sz w:val="20"/>
          <w:szCs w:val="20"/>
        </w:rPr>
        <w:t xml:space="preserve">Payments made to physicians and other healthcare providers, and other financial interests, have been the subject of a range of federal and state laws. The federal physician payment transparency requirements, sometimes referred to as the Physician Payments </w:t>
      </w:r>
      <w:r>
        <w:rPr>
          <w:sz w:val="20"/>
          <w:szCs w:val="20"/>
        </w:rPr>
        <w:t xml:space="preserve">Sunshine Act, or the Sunshine Act, was created under the ACA. The Sunshine Act, among other things, imposes reporting requirements on drug manufacturers for payments or other transfers of value made by them to physicians and teaching hospitals, as well as </w:t>
      </w:r>
      <w:r>
        <w:rPr>
          <w:sz w:val="20"/>
          <w:szCs w:val="20"/>
        </w:rPr>
        <w:t>ownership and investment interests held by physicians, other healthcare providers, and their immediate family members. Failure to submit required information may result in civil monetary penalties of up to an aggregate of $150,000 per year and up to an add</w:t>
      </w:r>
      <w:r>
        <w:rPr>
          <w:sz w:val="20"/>
          <w:szCs w:val="20"/>
        </w:rPr>
        <w:t>itional aggregate of $1 million per year for “knowing failures,” for all payments, transfers of value or ownership or investment interests that are not timely, accurately and completely reported in an annual submission. The Sunshine Act was amended requiri</w:t>
      </w:r>
      <w:r>
        <w:rPr>
          <w:sz w:val="20"/>
          <w:szCs w:val="20"/>
        </w:rPr>
        <w:t>ng applicable manufacturers, in 2021, to begin tracking payments and transfers of value to physician assistants, nurse practitioners, and other mid-level HCPs as well as physicians, with reporting relative to these mid-level practitioners first due in 2022</w:t>
      </w:r>
      <w:r>
        <w:rPr>
          <w:sz w:val="20"/>
          <w:szCs w:val="20"/>
        </w:rPr>
        <w:t>. Additionally, certain states also mandate implementation of commercial compliance programs, impose restrictions on drug manufacturer marketing practices and/or require the tracking and reporting of gifts, compensation and other remuneration to physicians</w:t>
      </w:r>
      <w:r>
        <w:rPr>
          <w:sz w:val="20"/>
          <w:szCs w:val="20"/>
        </w:rPr>
        <w:t xml:space="preserve"> and other HCPs.</w:t>
      </w:r>
    </w:p>
    <w:p w:rsidR="00000000" w:rsidRDefault="00F22B2C">
      <w:pPr>
        <w:pStyle w:val="a3"/>
        <w:spacing w:before="0" w:beforeAutospacing="0" w:after="240" w:afterAutospacing="0"/>
        <w:ind w:firstLine="547"/>
        <w:divId w:val="952830960"/>
        <w:rPr>
          <w:sz w:val="20"/>
          <w:szCs w:val="20"/>
        </w:rPr>
      </w:pPr>
      <w:r>
        <w:rPr>
          <w:sz w:val="20"/>
          <w:szCs w:val="20"/>
        </w:rPr>
        <w:t>Analogous state laws and regulations, such as state anti-kickback and false claims laws, and other state laws addressing the pharmaceutical and healthcare industries, which may apply to items or services reimbursed by any third-party payor</w:t>
      </w:r>
      <w:r>
        <w:rPr>
          <w:sz w:val="20"/>
          <w:szCs w:val="20"/>
        </w:rPr>
        <w:t>, including commercial insurers, and in some cases may apply regardless of payor, i.e., even if reimbursement is not available. Some state laws require pharmaceutical companies to comply with the pharmaceutical industry's voluntary compliance guidelines, k</w:t>
      </w:r>
      <w:r>
        <w:rPr>
          <w:sz w:val="20"/>
          <w:szCs w:val="20"/>
        </w:rPr>
        <w:t>nown as the PhRMA Code, and the relevant compliance program guidance promulgated by the federal government in addition to requiring drug manufacturers to report pricing and marketing information, including, among other things, information related to gifts,</w:t>
      </w:r>
      <w:r>
        <w:rPr>
          <w:sz w:val="20"/>
          <w:szCs w:val="20"/>
        </w:rPr>
        <w:t xml:space="preserve"> payments, or other remuneration to physicians and other healthcare providers or marketing expenditures, state and local laws that require the registration of pharmaceutical sales representatives, and state laws governing the privacy and security of health</w:t>
      </w:r>
      <w:r>
        <w:rPr>
          <w:sz w:val="20"/>
          <w:szCs w:val="20"/>
        </w:rPr>
        <w:t xml:space="preserve"> information and the use of prescriber-identifiable data in certain circumstances, many of which differ from each other in significant ways and may not have the same effect, thus complicating compliance efforts. For example, California enacted the Californ</w:t>
      </w:r>
      <w:r>
        <w:rPr>
          <w:sz w:val="20"/>
          <w:szCs w:val="20"/>
        </w:rPr>
        <w:t>ia Consumer Privacy Act, or CCPA, which went into effect on January 1, 2020 and</w:t>
      </w:r>
      <w:r>
        <w:rPr>
          <w:sz w:val="22"/>
          <w:szCs w:val="22"/>
        </w:rPr>
        <w:t xml:space="preserve"> </w:t>
      </w:r>
      <w:r>
        <w:rPr>
          <w:sz w:val="20"/>
          <w:szCs w:val="20"/>
        </w:rPr>
        <w:t>was recently amended and expanded by the California Privacy Rights Act, or CPRA, passed on November 3, 2020. While the majority of the CPRA’s substantive provisions will not ta</w:t>
      </w:r>
      <w:r>
        <w:rPr>
          <w:sz w:val="20"/>
          <w:szCs w:val="20"/>
        </w:rPr>
        <w:t xml:space="preserve">ke effect until January 1, 2023, the CPRA’s expansion of the “Right to Know” impacts personal information collected on or after January 1, 2022. Companies must still comply with the CCPA during the ramp up period before CPRA goes into effect. The CCPA and </w:t>
      </w:r>
      <w:r>
        <w:rPr>
          <w:sz w:val="20"/>
          <w:szCs w:val="20"/>
        </w:rPr>
        <w:t>CPRA, among other things, create new data privacy obligations for covered companies and provides new privacy rights to California residents, including the right to opt out of certain disclosures of their information. The CCPA also created a private right o</w:t>
      </w:r>
      <w:r>
        <w:rPr>
          <w:sz w:val="20"/>
          <w:szCs w:val="20"/>
        </w:rPr>
        <w:t>f action with statutory damages for certain data breaches, thereby potentially increasing risks associated with a data breach. It remains unclear what, if any, additional modifications will be made to the CPRA by the California legislature or how it will b</w:t>
      </w:r>
      <w:r>
        <w:rPr>
          <w:sz w:val="20"/>
          <w:szCs w:val="20"/>
        </w:rPr>
        <w:t>e interpreted. Therefore, the effects of the CCPA and CPRA are significant and will likely require us to modify our data processing practices, and may cause us to incur substantial costs and expenses to comply.</w:t>
      </w:r>
    </w:p>
    <w:p w:rsidR="00000000" w:rsidRDefault="00F22B2C">
      <w:pPr>
        <w:pStyle w:val="a3"/>
        <w:spacing w:before="0" w:beforeAutospacing="0" w:after="240" w:afterAutospacing="0"/>
        <w:ind w:firstLine="547"/>
        <w:divId w:val="952830960"/>
        <w:rPr>
          <w:sz w:val="20"/>
          <w:szCs w:val="20"/>
        </w:rPr>
      </w:pPr>
      <w:r>
        <w:rPr>
          <w:sz w:val="20"/>
          <w:szCs w:val="20"/>
        </w:rPr>
        <w:t>To the extent that any of our products are so</w:t>
      </w:r>
      <w:r>
        <w:rPr>
          <w:sz w:val="20"/>
          <w:szCs w:val="20"/>
        </w:rPr>
        <w:t>ld in a foreign country, we may be subject to similar foreign laws and regulations, which may include, for instance, applicable post-marketing requirements, including safety surveillance, anti</w:t>
      </w:r>
      <w:r>
        <w:rPr>
          <w:sz w:val="20"/>
          <w:szCs w:val="20"/>
        </w:rPr>
        <w:noBreakHyphen/>
        <w:t>fraud and abuse laws, and implementation of corporate complianc</w:t>
      </w:r>
      <w:r>
        <w:rPr>
          <w:sz w:val="20"/>
          <w:szCs w:val="20"/>
        </w:rPr>
        <w:t>e programs and reporting of payments or transfers of value to HCPs.</w:t>
      </w:r>
    </w:p>
    <w:p w:rsidR="00000000" w:rsidRDefault="00F22B2C">
      <w:pPr>
        <w:pStyle w:val="a3"/>
        <w:spacing w:before="0" w:beforeAutospacing="0" w:after="0" w:afterAutospacing="0"/>
        <w:ind w:firstLine="547"/>
        <w:divId w:val="952830960"/>
        <w:rPr>
          <w:sz w:val="20"/>
          <w:szCs w:val="20"/>
        </w:rPr>
      </w:pPr>
      <w:r>
        <w:rPr>
          <w:sz w:val="20"/>
          <w:szCs w:val="20"/>
        </w:rPr>
        <w:t>Because of the breadth of these laws and the narrowness of the statutory exceptions and safe harbors available under such laws, it is possible that certain business activities could be sub</w:t>
      </w:r>
      <w:r>
        <w:rPr>
          <w:sz w:val="20"/>
          <w:szCs w:val="20"/>
        </w:rPr>
        <w:t>ject to challenge under one or more of such laws. The scope and enforcement of each of these laws is uncertain and subject to rapid change in the current environment of healthcare reform, especially in light of the lack of applicable precedent and regulati</w:t>
      </w:r>
      <w:r>
        <w:rPr>
          <w:sz w:val="20"/>
          <w:szCs w:val="20"/>
        </w:rPr>
        <w:t xml:space="preserve">ons. Federal and state enforcement bodies have recently increased their scrutiny of </w:t>
      </w:r>
    </w:p>
    <w:p w:rsidR="00000000" w:rsidRDefault="00F22B2C">
      <w:pPr>
        <w:pStyle w:val="a3"/>
        <w:spacing w:before="480" w:beforeAutospacing="0" w:after="0" w:afterAutospacing="0"/>
        <w:jc w:val="center"/>
        <w:divId w:val="2116555805"/>
        <w:rPr>
          <w:sz w:val="20"/>
          <w:szCs w:val="20"/>
        </w:rPr>
      </w:pPr>
      <w:r>
        <w:rPr>
          <w:sz w:val="20"/>
          <w:szCs w:val="20"/>
        </w:rPr>
        <w:t>35</w:t>
      </w:r>
    </w:p>
    <w:p w:rsidR="00000000" w:rsidRDefault="00F22B2C">
      <w:pPr>
        <w:pStyle w:val="a3"/>
        <w:spacing w:before="0" w:beforeAutospacing="0" w:after="600" w:afterAutospacing="0"/>
        <w:divId w:val="613631861"/>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929384745"/>
        <w:rPr>
          <w:sz w:val="20"/>
          <w:szCs w:val="20"/>
        </w:rPr>
      </w:pPr>
      <w:r>
        <w:rPr>
          <w:sz w:val="20"/>
          <w:szCs w:val="20"/>
        </w:rPr>
        <w:t>interactions between healthcare companies and healthcare providers, which has led to a number of investigations, prosecution</w:t>
      </w:r>
      <w:r>
        <w:rPr>
          <w:sz w:val="20"/>
          <w:szCs w:val="20"/>
        </w:rPr>
        <w:t>s, convictions and settlements in the healthcare industry. Ensuring that business arrangements with third parties comply with applicable healthcare laws, as well as responding to possible investigations by government authorities, can be time- and resource-</w:t>
      </w:r>
      <w:r>
        <w:rPr>
          <w:sz w:val="20"/>
          <w:szCs w:val="20"/>
        </w:rPr>
        <w:t>consuming and can divert management's attention from the business.</w:t>
      </w:r>
    </w:p>
    <w:p w:rsidR="00000000" w:rsidRDefault="00F22B2C">
      <w:pPr>
        <w:pStyle w:val="a3"/>
        <w:spacing w:before="0" w:beforeAutospacing="0" w:after="240" w:afterAutospacing="0"/>
        <w:ind w:firstLine="547"/>
        <w:divId w:val="1929384745"/>
        <w:rPr>
          <w:sz w:val="20"/>
          <w:szCs w:val="20"/>
        </w:rPr>
      </w:pPr>
      <w:r>
        <w:rPr>
          <w:sz w:val="20"/>
          <w:szCs w:val="20"/>
        </w:rPr>
        <w:t>If our operations are found to be in violation of any of such health regulatory laws described above or any other governmental laws and regulations that apply to us, we may be subject to pe</w:t>
      </w:r>
      <w:r>
        <w:rPr>
          <w:sz w:val="20"/>
          <w:szCs w:val="20"/>
        </w:rPr>
        <w:t>nalties, including, without limitation, civil, administrative, and criminal penalties, damages, fines, disgorgement, the curtailment or restructuring of our operations, exclusion from participation in federal and state healthcare programs and individual im</w:t>
      </w:r>
      <w:r>
        <w:rPr>
          <w:sz w:val="20"/>
          <w:szCs w:val="20"/>
        </w:rPr>
        <w:t>prisonment, injunctions, private qui tam actions brought by individual whistleblowers in the name of the government, as well as additional reporting obligations and oversight if we become subject to a corporate integrity agreement or other agreement to res</w:t>
      </w:r>
      <w:r>
        <w:rPr>
          <w:sz w:val="20"/>
          <w:szCs w:val="20"/>
        </w:rPr>
        <w:t>olve allegations of non-compliance with these laws, any of which could adversely affect our ability to operate our business and our financial results.</w:t>
      </w:r>
    </w:p>
    <w:p w:rsidR="00000000" w:rsidRDefault="00F22B2C">
      <w:pPr>
        <w:pStyle w:val="a3"/>
        <w:spacing w:before="0" w:beforeAutospacing="0" w:after="240" w:afterAutospacing="0"/>
        <w:divId w:val="1929384745"/>
        <w:rPr>
          <w:sz w:val="20"/>
          <w:szCs w:val="20"/>
        </w:rPr>
      </w:pPr>
      <w:r>
        <w:rPr>
          <w:b/>
          <w:bCs/>
          <w:i/>
          <w:iCs/>
          <w:sz w:val="20"/>
          <w:szCs w:val="20"/>
        </w:rPr>
        <w:t>Coverage and Reimbursement</w:t>
      </w:r>
    </w:p>
    <w:p w:rsidR="00000000" w:rsidRDefault="00F22B2C">
      <w:pPr>
        <w:pStyle w:val="a3"/>
        <w:spacing w:before="0" w:beforeAutospacing="0" w:after="240" w:afterAutospacing="0"/>
        <w:ind w:firstLine="547"/>
        <w:divId w:val="1929384745"/>
        <w:rPr>
          <w:sz w:val="20"/>
          <w:szCs w:val="20"/>
        </w:rPr>
      </w:pPr>
      <w:r>
        <w:rPr>
          <w:sz w:val="20"/>
          <w:szCs w:val="20"/>
        </w:rPr>
        <w:t>Sales of pharmaceutical products depend significantly on the availability of t</w:t>
      </w:r>
      <w:r>
        <w:rPr>
          <w:sz w:val="20"/>
          <w:szCs w:val="20"/>
        </w:rPr>
        <w:t>hird-party coverage and reimbursement. Third-party payors include Medicare, Medicaid, and other government programs at the federal and state level, managed care providers, private health insurers and other organizations. Third party payors decide which dru</w:t>
      </w:r>
      <w:r>
        <w:rPr>
          <w:sz w:val="20"/>
          <w:szCs w:val="20"/>
        </w:rPr>
        <w:t>gs they will pay for on behalf of their beneficiaries and establish reimbursement levels for health care. Although we currently believe that third-party payors will provide coverage and reimbursement for our product candidates, if approved, these third-par</w:t>
      </w:r>
      <w:r>
        <w:rPr>
          <w:sz w:val="20"/>
          <w:szCs w:val="20"/>
        </w:rPr>
        <w:t xml:space="preserve">ty payors are increasingly challenging the price and examining the cost-effectiveness of medical products and services, with a recent focus on prioritization of “equivalent,” less expensive alternatives when available. In addition, significant uncertainty </w:t>
      </w:r>
      <w:r>
        <w:rPr>
          <w:sz w:val="20"/>
          <w:szCs w:val="20"/>
        </w:rPr>
        <w:t>exists as to the reimbursement status of newly approved healthcare products. We may need to conduct expensive clinical studies to demonstrate the comparative cost-effectiveness of our products. The product candidates that we develop may not be considered c</w:t>
      </w:r>
      <w:r>
        <w:rPr>
          <w:sz w:val="20"/>
          <w:szCs w:val="20"/>
        </w:rPr>
        <w:t>ost-effective. It is time consuming and expensive for us to seek coverage and reimbursement from third-party payors. Moreover, a payor’s decision to provide coverage for a drug product does not imply that an adequate reimbursement rate will be approved, es</w:t>
      </w:r>
      <w:r>
        <w:rPr>
          <w:sz w:val="20"/>
          <w:szCs w:val="20"/>
        </w:rPr>
        <w:t>pecially for product candidates such as ours, which are used in the inpatient setting, usually resulting in no separate reimbursement for pharmaceuticals. There are additional pressures on pricing as a result of other, peripheral policies impacting reimbur</w:t>
      </w:r>
      <w:r>
        <w:rPr>
          <w:sz w:val="20"/>
          <w:szCs w:val="20"/>
        </w:rPr>
        <w:t>sement across both government and private payors. Non-health specific policies may impart downstream impacts on private insurance reimbursement decision-making. In consideration of these numerous factors, reimbursement may not be available or sufficient to</w:t>
      </w:r>
      <w:r>
        <w:rPr>
          <w:sz w:val="20"/>
          <w:szCs w:val="20"/>
        </w:rPr>
        <w:t xml:space="preserve"> allow us to sell our products on a competitive and profitable basis.</w:t>
      </w:r>
    </w:p>
    <w:p w:rsidR="00000000" w:rsidRDefault="00F22B2C">
      <w:pPr>
        <w:pStyle w:val="a3"/>
        <w:spacing w:before="0" w:beforeAutospacing="0" w:after="240" w:afterAutospacing="0"/>
        <w:ind w:firstLine="547"/>
        <w:divId w:val="1929384745"/>
        <w:rPr>
          <w:sz w:val="20"/>
          <w:szCs w:val="20"/>
        </w:rPr>
      </w:pPr>
      <w:r>
        <w:rPr>
          <w:sz w:val="20"/>
          <w:szCs w:val="20"/>
        </w:rPr>
        <w:t>Medicare is a federally-funded program managed by CMS through local contractors that administer coverage and reimbursement for certain healthcare items and services furnished to the elde</w:t>
      </w:r>
      <w:r>
        <w:rPr>
          <w:sz w:val="20"/>
          <w:szCs w:val="20"/>
        </w:rPr>
        <w:t>rly and disabled. Medicare Part A covers inpatient hospitalization and Medicare Part B covers outpatient medical services. Medicare coverage of drugs and biological products and payment rates to providers are established by federal law and regulations. Med</w:t>
      </w:r>
      <w:r>
        <w:rPr>
          <w:sz w:val="20"/>
          <w:szCs w:val="20"/>
        </w:rPr>
        <w:t>icaid is an insurance program for certain categories of low income patients who are otherwise uninsured and is both federally and state funded and managed by each state. The federal government sets general guidelines for Medicaid and requires rebates on ou</w:t>
      </w:r>
      <w:r>
        <w:rPr>
          <w:sz w:val="20"/>
          <w:szCs w:val="20"/>
        </w:rPr>
        <w:t>tpatient drugs and biological products, including those administered by physicians if the cost is billed separately. Each state creates specific regulations that govern its individual program, including supplemental rebate programs that prioritize coverage</w:t>
      </w:r>
      <w:r>
        <w:rPr>
          <w:sz w:val="20"/>
          <w:szCs w:val="20"/>
        </w:rPr>
        <w:t xml:space="preserve"> for drugs on the state Preferred Drug List. Government laws and regulations also establish price controls on prescription drugs purchased by government agencies that provide health care and certain federally funded hospital outpatient departments and clin</w:t>
      </w:r>
      <w:r>
        <w:rPr>
          <w:sz w:val="20"/>
          <w:szCs w:val="20"/>
        </w:rPr>
        <w:t>ics. In the U.S., private health insurers and other third-party payors often provide reimbursement for products and services based on the level at which the government provides reimbursement through the Medicare or Medicaid programs for such products and s</w:t>
      </w:r>
      <w:r>
        <w:rPr>
          <w:sz w:val="20"/>
          <w:szCs w:val="20"/>
        </w:rPr>
        <w:t>ervices. These restrictions and limitations influence the purchase of healthcare services and products. In addition, government programs like Medicaid include substantial penalties for increasing commercial prices over the rate of inflation which can affec</w:t>
      </w:r>
      <w:r>
        <w:rPr>
          <w:sz w:val="20"/>
          <w:szCs w:val="20"/>
        </w:rPr>
        <w:t>t realization and return on investment. Further, some stakeholders have recently questioned whether the market price of prescription drugs may be inflated by virtue of the built-in cost imparted by the government rebate model, often negotiated indirectly i</w:t>
      </w:r>
      <w:r>
        <w:rPr>
          <w:sz w:val="20"/>
          <w:szCs w:val="20"/>
        </w:rPr>
        <w:t>n exchange for a coverage determination or formulary placement where relevant.</w:t>
      </w:r>
    </w:p>
    <w:p w:rsidR="00000000" w:rsidRDefault="00F22B2C">
      <w:pPr>
        <w:pStyle w:val="a3"/>
        <w:spacing w:before="0" w:beforeAutospacing="0" w:after="0" w:afterAutospacing="0"/>
        <w:ind w:firstLine="547"/>
        <w:divId w:val="1929384745"/>
        <w:rPr>
          <w:sz w:val="20"/>
          <w:szCs w:val="20"/>
        </w:rPr>
      </w:pPr>
      <w:r>
        <w:rPr>
          <w:sz w:val="20"/>
          <w:szCs w:val="20"/>
        </w:rPr>
        <w:t>In the U.S., the European Union, and other potentially significant markets for our product candidates, government authorities and private third-party payors are increasingly att</w:t>
      </w:r>
      <w:r>
        <w:rPr>
          <w:sz w:val="20"/>
          <w:szCs w:val="20"/>
        </w:rPr>
        <w:t>empting to limit or regulate the price of medical products and services, particularly for new and innovative products and therapies, which often has resulted in average selling prices lower than they would otherwise be. Manufacturers frequently must rebate</w:t>
      </w:r>
      <w:r>
        <w:rPr>
          <w:sz w:val="20"/>
          <w:szCs w:val="20"/>
        </w:rPr>
        <w:t xml:space="preserve"> a portion of the prescription price to the third</w:t>
      </w:r>
      <w:r>
        <w:rPr>
          <w:sz w:val="20"/>
          <w:szCs w:val="20"/>
        </w:rPr>
        <w:noBreakHyphen/>
        <w:t>party payors as a condition of coverage, which can greatly reduce realization on the sale. Third-party payors are increasingly challenging the price and examining the medical necessity and cost-effectivenes</w:t>
      </w:r>
      <w:r>
        <w:rPr>
          <w:sz w:val="20"/>
          <w:szCs w:val="20"/>
        </w:rPr>
        <w:t xml:space="preserve">s of medical products and services, in addition to their safety and efficacy, and are developing increasingly sophisticated methods of controlling healthcare costs. They may limit coverage to specific drug products on an approved </w:t>
      </w:r>
    </w:p>
    <w:p w:rsidR="00000000" w:rsidRDefault="00F22B2C">
      <w:pPr>
        <w:pStyle w:val="a3"/>
        <w:spacing w:before="480" w:beforeAutospacing="0" w:after="0" w:afterAutospacing="0"/>
        <w:jc w:val="center"/>
        <w:divId w:val="312829493"/>
        <w:rPr>
          <w:sz w:val="20"/>
          <w:szCs w:val="20"/>
        </w:rPr>
      </w:pPr>
      <w:r>
        <w:rPr>
          <w:sz w:val="20"/>
          <w:szCs w:val="20"/>
        </w:rPr>
        <w:t>36</w:t>
      </w:r>
    </w:p>
    <w:p w:rsidR="00000000" w:rsidRDefault="00F22B2C">
      <w:pPr>
        <w:pStyle w:val="a3"/>
        <w:spacing w:before="0" w:beforeAutospacing="0" w:after="600" w:afterAutospacing="0"/>
        <w:divId w:val="878014012"/>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64367494"/>
        <w:rPr>
          <w:sz w:val="20"/>
          <w:szCs w:val="20"/>
        </w:rPr>
      </w:pPr>
      <w:r>
        <w:rPr>
          <w:sz w:val="20"/>
          <w:szCs w:val="20"/>
        </w:rPr>
        <w:t>list, or formulary, which might not include all the FDA-approved drug products for a particular indication, or they may control costs, particularly for new expensive therapies, by requiring prior authorization or imposing other restri</w:t>
      </w:r>
      <w:r>
        <w:rPr>
          <w:sz w:val="20"/>
          <w:szCs w:val="20"/>
        </w:rPr>
        <w:t>ctions before covering certain products, or they may condition payment based on achieving performance metrics. Legislative proposals to reform healthcare or reduce costs under government programs may result in lower reimbursement for our product candidates</w:t>
      </w:r>
      <w:r>
        <w:rPr>
          <w:sz w:val="20"/>
          <w:szCs w:val="20"/>
        </w:rPr>
        <w:t xml:space="preserve"> or exclusion of our product candidates from coverage.</w:t>
      </w:r>
    </w:p>
    <w:p w:rsidR="00000000" w:rsidRDefault="00F22B2C">
      <w:pPr>
        <w:pStyle w:val="a3"/>
        <w:spacing w:before="0" w:beforeAutospacing="0" w:after="240" w:afterAutospacing="0"/>
        <w:ind w:firstLine="547"/>
        <w:divId w:val="164367494"/>
        <w:rPr>
          <w:sz w:val="20"/>
          <w:szCs w:val="20"/>
        </w:rPr>
      </w:pPr>
      <w:r>
        <w:rPr>
          <w:sz w:val="20"/>
          <w:szCs w:val="20"/>
        </w:rPr>
        <w:t>Achieving favorable CMS coverage and reimbursement is usually a significant gating issue for successful introduction of a new product, because Medicare and Medicaid can represent a sizeable share of th</w:t>
      </w:r>
      <w:r>
        <w:rPr>
          <w:sz w:val="20"/>
          <w:szCs w:val="20"/>
        </w:rPr>
        <w:t>e market and because private payors often rely on the lead of the governmental payors in rendering coverage and reimbursement determinations. Further, the increased emphasis on managed healthcare in the U.S. and on country and regional pricing and reimburs</w:t>
      </w:r>
      <w:r>
        <w:rPr>
          <w:sz w:val="20"/>
          <w:szCs w:val="20"/>
        </w:rPr>
        <w:t>ement controls in the European Union will likely put additional pressure on product pricing, reimbursement, and utilization, which may adversely affect our future product sales and results of operations. These pressures can arise from rules and practices o</w:t>
      </w:r>
      <w:r>
        <w:rPr>
          <w:sz w:val="20"/>
          <w:szCs w:val="20"/>
        </w:rPr>
        <w:t>f managed care groups, competition within therapeutic classes, availability of generic equivalents, judicial decisions and governmental laws and regulations related to Medicare, Medicaid, and healthcare reform, pharmaceutical coverage and reimbursement pol</w:t>
      </w:r>
      <w:r>
        <w:rPr>
          <w:sz w:val="20"/>
          <w:szCs w:val="20"/>
        </w:rPr>
        <w:t>icies, and pricing in general. Patients who are prescribed treatments for their conditions and providers performing the prescribed services generally rely on third-party payors to reimburse all or part of the associated healthcare costs. Sales of our produ</w:t>
      </w:r>
      <w:r>
        <w:rPr>
          <w:sz w:val="20"/>
          <w:szCs w:val="20"/>
        </w:rPr>
        <w:t>ct candidates will therefore depend substantially, both domestically and abroad, on the extent to which the costs of our products will be paid by health maintenance, managed care, pharmacy benefit and similar healthcare management organizations, or reimbur</w:t>
      </w:r>
      <w:r>
        <w:rPr>
          <w:sz w:val="20"/>
          <w:szCs w:val="20"/>
        </w:rPr>
        <w:t xml:space="preserve">sed by government health administration authorities, such as Medicare and Medicaid, private health insurers, and other third-party payors. </w:t>
      </w:r>
    </w:p>
    <w:p w:rsidR="00000000" w:rsidRDefault="00F22B2C">
      <w:pPr>
        <w:pStyle w:val="a3"/>
        <w:spacing w:before="0" w:beforeAutospacing="0" w:after="240" w:afterAutospacing="0"/>
        <w:ind w:firstLine="547"/>
        <w:divId w:val="164367494"/>
        <w:rPr>
          <w:sz w:val="20"/>
          <w:szCs w:val="20"/>
        </w:rPr>
      </w:pPr>
      <w:r>
        <w:rPr>
          <w:sz w:val="20"/>
          <w:szCs w:val="20"/>
        </w:rPr>
        <w:t>As a result of the above, we may need to conduct expensive pharmacoeconomic studies in order to demonstrate the medi</w:t>
      </w:r>
      <w:r>
        <w:rPr>
          <w:sz w:val="20"/>
          <w:szCs w:val="20"/>
        </w:rPr>
        <w:t>cal necessity and cost-effectiveness of our products, in addition to the costs required to obtain FDA approvals. Our product candidates may not be considered medically necessary or cost-effective. A payor’s decision to provide coverage for a drug product d</w:t>
      </w:r>
      <w:r>
        <w:rPr>
          <w:sz w:val="20"/>
          <w:szCs w:val="20"/>
        </w:rPr>
        <w:t>oes not imply that an adequate reimbursement rate will be approved. Adequate third-party reimbursement may not be available to ensure acceptance and use of our products and product candidates or enable us to maintain price levels sufficient to realize an a</w:t>
      </w:r>
      <w:r>
        <w:rPr>
          <w:sz w:val="20"/>
          <w:szCs w:val="20"/>
        </w:rPr>
        <w:t>ppropriate return on our investment in drug development. Legislative and regulatory proposals to reform healthcare or reduce costs under government insurance programs may result in lower reimbursement for our products and product candidates or exclusion of</w:t>
      </w:r>
      <w:r>
        <w:rPr>
          <w:sz w:val="20"/>
          <w:szCs w:val="20"/>
        </w:rPr>
        <w:t xml:space="preserve"> our products and product candidates from coverage. The cost containment measures that healthcare payors and providers are instituting and any healthcare reform could significantly reduce our revenues from the sale of any approved product candidates. We ca</w:t>
      </w:r>
      <w:r>
        <w:rPr>
          <w:sz w:val="20"/>
          <w:szCs w:val="20"/>
        </w:rPr>
        <w:t>nnot provide any assurances that we will be able to obtain and maintain third-party coverage or adequate reimbursement for our product candidates in whole or in part.</w:t>
      </w:r>
    </w:p>
    <w:p w:rsidR="00000000" w:rsidRDefault="00F22B2C">
      <w:pPr>
        <w:pStyle w:val="a3"/>
        <w:spacing w:before="0" w:beforeAutospacing="0" w:after="240" w:afterAutospacing="0"/>
        <w:divId w:val="164367494"/>
        <w:rPr>
          <w:sz w:val="20"/>
          <w:szCs w:val="20"/>
        </w:rPr>
      </w:pPr>
      <w:r>
        <w:rPr>
          <w:b/>
          <w:bCs/>
          <w:i/>
          <w:iCs/>
          <w:sz w:val="20"/>
          <w:szCs w:val="20"/>
        </w:rPr>
        <w:t>Healthcare Reform</w:t>
      </w:r>
    </w:p>
    <w:p w:rsidR="00000000" w:rsidRDefault="00F22B2C">
      <w:pPr>
        <w:pStyle w:val="a3"/>
        <w:spacing w:before="0" w:beforeAutospacing="0" w:after="240" w:afterAutospacing="0"/>
        <w:ind w:firstLine="547"/>
        <w:divId w:val="164367494"/>
        <w:rPr>
          <w:sz w:val="20"/>
          <w:szCs w:val="20"/>
        </w:rPr>
      </w:pPr>
      <w:r>
        <w:rPr>
          <w:sz w:val="20"/>
          <w:szCs w:val="20"/>
        </w:rPr>
        <w:t>The U.S. and some foreign jurisdictions are considering or have enacted</w:t>
      </w:r>
      <w:r>
        <w:rPr>
          <w:sz w:val="20"/>
          <w:szCs w:val="20"/>
        </w:rPr>
        <w:t xml:space="preserve"> a number of legislative and regulatory proposals to change the healthcare system in ways that could affect our ability to sell our products profitably. Among policy makers and payors in the U.S. and elsewhere, there is significant interest in promoting ch</w:t>
      </w:r>
      <w:r>
        <w:rPr>
          <w:sz w:val="20"/>
          <w:szCs w:val="20"/>
        </w:rPr>
        <w:t xml:space="preserve">anges in healthcare systems with the stated goals of containing healthcare costs, improving quality and/or expanding access. In the U.S., the pharmaceutical industry has been a particular focus of these efforts and has been significantly affected by major </w:t>
      </w:r>
      <w:r>
        <w:rPr>
          <w:sz w:val="20"/>
          <w:szCs w:val="20"/>
        </w:rPr>
        <w:t>federal and state legislative initiatives.</w:t>
      </w:r>
    </w:p>
    <w:p w:rsidR="00000000" w:rsidRDefault="00F22B2C">
      <w:pPr>
        <w:pStyle w:val="a3"/>
        <w:spacing w:before="0" w:beforeAutospacing="0" w:after="240" w:afterAutospacing="0"/>
        <w:ind w:firstLine="547"/>
        <w:divId w:val="164367494"/>
        <w:rPr>
          <w:sz w:val="20"/>
          <w:szCs w:val="20"/>
        </w:rPr>
      </w:pPr>
      <w:r>
        <w:rPr>
          <w:sz w:val="20"/>
          <w:szCs w:val="20"/>
        </w:rPr>
        <w:t>In addition, other legislative and regulatory changes have been proposed and adopted since the ACA was enacted. These changes include aggregate reductions to Medicare payments to providers of up to 2% per fiscal y</w:t>
      </w:r>
      <w:r>
        <w:rPr>
          <w:sz w:val="20"/>
          <w:szCs w:val="20"/>
        </w:rPr>
        <w:t>ear, starting in 2013, which will remain in effect through 2025 unless additional Congressional action is taken. In January 2013, the American Taxpayer Relief Act of 2012, which, among other things, further reduced Medicare payments to several providers, i</w:t>
      </w:r>
      <w:r>
        <w:rPr>
          <w:sz w:val="20"/>
          <w:szCs w:val="20"/>
        </w:rPr>
        <w:t>ncluding hospitals and cancer treatment centers, increased the statute of limitations period for the government to recover overpayments to providers from three to five years. In 2017, CMS promulgated a rule reducing Medicare Part B reimbursement to hospita</w:t>
      </w:r>
      <w:r>
        <w:rPr>
          <w:sz w:val="20"/>
          <w:szCs w:val="20"/>
        </w:rPr>
        <w:t xml:space="preserve">ls for drugs purchased under the 340B program by 30%. Although hospital trade associations filed a lawsuit challenging the regulation, the final rule is now in effect. </w:t>
      </w:r>
    </w:p>
    <w:p w:rsidR="00000000" w:rsidRDefault="00F22B2C">
      <w:pPr>
        <w:pStyle w:val="a3"/>
        <w:spacing w:before="0" w:beforeAutospacing="0" w:after="240" w:afterAutospacing="0"/>
        <w:ind w:firstLine="547"/>
        <w:divId w:val="164367494"/>
        <w:rPr>
          <w:sz w:val="20"/>
          <w:szCs w:val="20"/>
        </w:rPr>
      </w:pPr>
      <w:r>
        <w:rPr>
          <w:sz w:val="20"/>
          <w:szCs w:val="20"/>
        </w:rPr>
        <w:t>In recent years, there have been and continue to be proposals by the federal government</w:t>
      </w:r>
      <w:r>
        <w:rPr>
          <w:sz w:val="20"/>
          <w:szCs w:val="20"/>
        </w:rPr>
        <w:t>, state governments, regulators, and third-party payors to control these costs and, more generally, to reform the U.S. health care system. Certain of these proposals could limit the prices we are able to charge for our products or the amounts of reimbursem</w:t>
      </w:r>
      <w:r>
        <w:rPr>
          <w:sz w:val="20"/>
          <w:szCs w:val="20"/>
        </w:rPr>
        <w:t xml:space="preserve">ent available for our products. These laws and future laws may result in additional reductions in Medicare and other healthcare funding, which could have a material adverse effect on customers for our product candidates, if approved, and, accordingly, our </w:t>
      </w:r>
      <w:r>
        <w:rPr>
          <w:sz w:val="20"/>
          <w:szCs w:val="20"/>
        </w:rPr>
        <w:t>financial operations.</w:t>
      </w:r>
    </w:p>
    <w:p w:rsidR="00000000" w:rsidRDefault="00F22B2C">
      <w:pPr>
        <w:pStyle w:val="a3"/>
        <w:spacing w:before="480" w:beforeAutospacing="0" w:after="0" w:afterAutospacing="0"/>
        <w:jc w:val="center"/>
        <w:divId w:val="205608230"/>
        <w:rPr>
          <w:sz w:val="20"/>
          <w:szCs w:val="20"/>
        </w:rPr>
      </w:pPr>
      <w:r>
        <w:rPr>
          <w:sz w:val="20"/>
          <w:szCs w:val="20"/>
        </w:rPr>
        <w:t>37</w:t>
      </w:r>
    </w:p>
    <w:p w:rsidR="00000000" w:rsidRDefault="00F22B2C">
      <w:pPr>
        <w:pStyle w:val="a3"/>
        <w:spacing w:before="0" w:beforeAutospacing="0" w:after="600" w:afterAutospacing="0"/>
        <w:divId w:val="679240052"/>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ind w:firstLine="547"/>
        <w:divId w:val="1433747200"/>
        <w:rPr>
          <w:sz w:val="20"/>
          <w:szCs w:val="20"/>
        </w:rPr>
      </w:pPr>
      <w:r>
        <w:rPr>
          <w:sz w:val="20"/>
          <w:szCs w:val="20"/>
        </w:rPr>
        <w:t>Any reduction in reimbursement from Medicare or other government-funded programs may result in a similar reduction in payments from private payors. The implementation of cost containment measures or other healthcare reforms may prevent us from being able t</w:t>
      </w:r>
      <w:r>
        <w:rPr>
          <w:sz w:val="20"/>
          <w:szCs w:val="20"/>
        </w:rPr>
        <w:t>o generate revenue, attain profitability or commercialize our drugs.</w:t>
      </w:r>
    </w:p>
    <w:p w:rsidR="00000000" w:rsidRDefault="00F22B2C">
      <w:pPr>
        <w:pStyle w:val="a3"/>
        <w:spacing w:before="0" w:beforeAutospacing="0" w:after="240" w:afterAutospacing="0"/>
        <w:ind w:firstLine="547"/>
        <w:divId w:val="1433747200"/>
        <w:rPr>
          <w:sz w:val="20"/>
          <w:szCs w:val="20"/>
        </w:rPr>
      </w:pPr>
      <w:r>
        <w:rPr>
          <w:sz w:val="20"/>
          <w:szCs w:val="20"/>
        </w:rPr>
        <w:t>The cost of pharmaceuticals continues to generate substantial governmental and third-party payor interest and states have begun to take action to increase transparency in drug pricing thr</w:t>
      </w:r>
      <w:r>
        <w:rPr>
          <w:sz w:val="20"/>
          <w:szCs w:val="20"/>
        </w:rPr>
        <w:t>ough mandatory reporting requirements. We expect that the pharmaceutical industry will experience pricing pressures due to the trend toward managed healthcare, the increasing influence of managed care organizations, and additional legislative proposals. Ou</w:t>
      </w:r>
      <w:r>
        <w:rPr>
          <w:sz w:val="20"/>
          <w:szCs w:val="20"/>
        </w:rPr>
        <w:t>r results of operations could be adversely affected by current and future healthcare reforms. While we cannot predict whether any proposed cost-containment measures will be adopted or otherwise implemented in the future, the announcement or adoption of the</w:t>
      </w:r>
      <w:r>
        <w:rPr>
          <w:sz w:val="20"/>
          <w:szCs w:val="20"/>
        </w:rPr>
        <w:t>se proposals could have a material adverse effect on our ability to obtain adequate prices for our product candidates and operate profitably.</w:t>
      </w:r>
    </w:p>
    <w:p w:rsidR="00000000" w:rsidRDefault="00F22B2C">
      <w:pPr>
        <w:pStyle w:val="a3"/>
        <w:spacing w:before="0" w:beforeAutospacing="0" w:after="240" w:afterAutospacing="0"/>
        <w:divId w:val="1433747200"/>
        <w:rPr>
          <w:sz w:val="20"/>
          <w:szCs w:val="20"/>
        </w:rPr>
      </w:pPr>
      <w:r>
        <w:rPr>
          <w:b/>
          <w:bCs/>
          <w:i/>
          <w:iCs/>
          <w:sz w:val="20"/>
          <w:szCs w:val="20"/>
        </w:rPr>
        <w:t>Foreign Regulation</w:t>
      </w:r>
    </w:p>
    <w:p w:rsidR="00000000" w:rsidRDefault="00F22B2C">
      <w:pPr>
        <w:pStyle w:val="a3"/>
        <w:spacing w:before="0" w:beforeAutospacing="0" w:after="240" w:afterAutospacing="0"/>
        <w:ind w:firstLine="547"/>
        <w:divId w:val="1433747200"/>
        <w:rPr>
          <w:sz w:val="20"/>
          <w:szCs w:val="20"/>
        </w:rPr>
      </w:pPr>
      <w:r>
        <w:rPr>
          <w:sz w:val="20"/>
          <w:szCs w:val="20"/>
        </w:rPr>
        <w:t xml:space="preserve">In addition to regulations in the U.S., we will be subject to a variety of foreign regulations </w:t>
      </w:r>
      <w:r>
        <w:rPr>
          <w:sz w:val="20"/>
          <w:szCs w:val="20"/>
        </w:rPr>
        <w:t xml:space="preserve">governing clinical trials and commercial sales and distribution of our products to the extent we choose to develop or sell any products outside of the U.S. The approval process varies from country to country and the time may be longer or shorter than that </w:t>
      </w:r>
      <w:r>
        <w:rPr>
          <w:sz w:val="20"/>
          <w:szCs w:val="20"/>
        </w:rPr>
        <w:t>required to obtain FDA approval. The requirements governing the conduct of clinical trials, product licensing, pricing and reimbursement vary greatly from country to country.</w:t>
      </w:r>
    </w:p>
    <w:p w:rsidR="00000000" w:rsidRDefault="00F22B2C">
      <w:pPr>
        <w:pStyle w:val="a3"/>
        <w:spacing w:before="0" w:beforeAutospacing="0" w:after="240" w:afterAutospacing="0"/>
        <w:ind w:firstLine="547"/>
        <w:divId w:val="1433747200"/>
        <w:rPr>
          <w:sz w:val="20"/>
          <w:szCs w:val="20"/>
        </w:rPr>
      </w:pPr>
      <w:r>
        <w:rPr>
          <w:sz w:val="20"/>
          <w:szCs w:val="20"/>
        </w:rPr>
        <w:t>In the EU and the United Kingdom, member states require both regulatory clearance</w:t>
      </w:r>
      <w:r>
        <w:rPr>
          <w:sz w:val="20"/>
          <w:szCs w:val="20"/>
        </w:rPr>
        <w:t>s by the national competent authority and a favorable ethics committee opinion prior to the commencement of a clinical trial. Under the EU regulatory systems, marketing authorization applications may be submitted under either a centralized or decentralized</w:t>
      </w:r>
      <w:r>
        <w:rPr>
          <w:sz w:val="20"/>
          <w:szCs w:val="20"/>
        </w:rPr>
        <w:t xml:space="preserve"> procedure. The centralized procedure provides for the grant of a single marketing authorization that is valid for all EU member states. It is compulsory for medicines produced by certain biotechnological processes. Because our products are produced in tha</w:t>
      </w:r>
      <w:r>
        <w:rPr>
          <w:sz w:val="20"/>
          <w:szCs w:val="20"/>
        </w:rPr>
        <w:t>t way, we would be subject to the centralized process. Under the centralized procedure, pharmaceutical companies submit a single marketing authorization application to the European Medicines Agency. Once granted by the European Commission, a centralized ma</w:t>
      </w:r>
      <w:r>
        <w:rPr>
          <w:sz w:val="20"/>
          <w:szCs w:val="20"/>
        </w:rPr>
        <w:t>rketing authorization is valid in all EU member states, as well as the European Economic Area countries. By law, a company can only start to market a medicine once it has received a marketing authorization.</w:t>
      </w:r>
    </w:p>
    <w:p w:rsidR="00000000" w:rsidRDefault="00F22B2C">
      <w:pPr>
        <w:pStyle w:val="a3"/>
        <w:spacing w:before="0" w:beforeAutospacing="0" w:after="240" w:afterAutospacing="0"/>
        <w:divId w:val="1433747200"/>
        <w:rPr>
          <w:sz w:val="20"/>
          <w:szCs w:val="20"/>
        </w:rPr>
      </w:pPr>
      <w:r>
        <w:rPr>
          <w:b/>
          <w:bCs/>
          <w:sz w:val="20"/>
          <w:szCs w:val="20"/>
        </w:rPr>
        <w:t>Employees and Human Capital Management</w:t>
      </w:r>
    </w:p>
    <w:p w:rsidR="00000000" w:rsidRDefault="00F22B2C">
      <w:pPr>
        <w:pStyle w:val="a3"/>
        <w:spacing w:before="0" w:beforeAutospacing="0" w:after="240" w:afterAutospacing="0"/>
        <w:ind w:firstLine="540"/>
        <w:divId w:val="1433747200"/>
        <w:rPr>
          <w:sz w:val="20"/>
          <w:szCs w:val="20"/>
        </w:rPr>
      </w:pPr>
      <w:r>
        <w:rPr>
          <w:sz w:val="20"/>
          <w:szCs w:val="20"/>
        </w:rPr>
        <w:t>As of Dece</w:t>
      </w:r>
      <w:r>
        <w:rPr>
          <w:sz w:val="20"/>
          <w:szCs w:val="20"/>
        </w:rPr>
        <w:t>mber 31, 2021, we had 319 employees, 242 of whom were engaged in research and development activities and 77 of whom were engaged in general and administrative support activities. None of our employees are subject to a collective bargaining agreement. Our e</w:t>
      </w:r>
      <w:r>
        <w:rPr>
          <w:sz w:val="20"/>
          <w:szCs w:val="20"/>
        </w:rPr>
        <w:t>mployees are highly skilled, and many hold advanced degrees. Most of our employees have experience with the development of cell therapies. We consider our relationship with our employees to be good. Our future performance depends significantly upon the con</w:t>
      </w:r>
      <w:r>
        <w:rPr>
          <w:sz w:val="20"/>
          <w:szCs w:val="20"/>
        </w:rPr>
        <w:t>tinued service of our key scientific, technical and senior management personnel and our continued ability to attract and retain highly skilled employees. We provide our employees with competitive salaries and bonuses, opportunities for equity ownership, de</w:t>
      </w:r>
      <w:r>
        <w:rPr>
          <w:sz w:val="20"/>
          <w:szCs w:val="20"/>
        </w:rPr>
        <w:t>velopment programs that enable continued learning and growth and a robust employment package that promotes well-being across all aspects of their lives. In addition to salaries, these programs include potential annual discretionary bonuses, stock awards, a</w:t>
      </w:r>
      <w:r>
        <w:rPr>
          <w:sz w:val="20"/>
          <w:szCs w:val="20"/>
        </w:rPr>
        <w:t xml:space="preserve"> 401(k) plan, healthcare and insurance benefits, health savings and flexible spending accounts, paid time off, family leave, and flexible work schedules, among other benefits. </w:t>
      </w:r>
      <w:r>
        <w:rPr>
          <w:sz w:val="20"/>
          <w:szCs w:val="20"/>
          <w:shd w:val="clear" w:color="auto" w:fill="FFFFFF"/>
        </w:rPr>
        <w:t>We have taken proactive, aggressive action throughout the COVID-19 pandemic to p</w:t>
      </w:r>
      <w:r>
        <w:rPr>
          <w:sz w:val="20"/>
          <w:szCs w:val="20"/>
          <w:shd w:val="clear" w:color="auto" w:fill="FFFFFF"/>
        </w:rPr>
        <w:t xml:space="preserve">rotect the health and safety of our employees. We expect to continue to implement these measures until we determine that the COVID-19 pandemic is adequately contained for purposes of our business. </w:t>
      </w:r>
      <w:r>
        <w:rPr>
          <w:sz w:val="20"/>
          <w:szCs w:val="20"/>
        </w:rPr>
        <w:t>We may take further actions, in compliance with all appropr</w:t>
      </w:r>
      <w:r>
        <w:rPr>
          <w:sz w:val="20"/>
          <w:szCs w:val="20"/>
        </w:rPr>
        <w:t>iate government regulations, that we determine to be in the best interest of our employees.</w:t>
      </w:r>
    </w:p>
    <w:p w:rsidR="00000000" w:rsidRDefault="00F22B2C">
      <w:pPr>
        <w:pStyle w:val="a3"/>
        <w:spacing w:before="0" w:beforeAutospacing="0" w:after="240" w:afterAutospacing="0"/>
        <w:divId w:val="1433747200"/>
        <w:rPr>
          <w:sz w:val="20"/>
          <w:szCs w:val="20"/>
        </w:rPr>
      </w:pPr>
      <w:r>
        <w:rPr>
          <w:b/>
          <w:bCs/>
          <w:sz w:val="20"/>
          <w:szCs w:val="20"/>
        </w:rPr>
        <w:t>Available Information</w:t>
      </w:r>
    </w:p>
    <w:p w:rsidR="00000000" w:rsidRDefault="00F22B2C">
      <w:pPr>
        <w:pStyle w:val="a3"/>
        <w:spacing w:before="0" w:beforeAutospacing="0" w:after="0" w:afterAutospacing="0"/>
        <w:ind w:firstLine="547"/>
        <w:divId w:val="1433747200"/>
        <w:rPr>
          <w:sz w:val="20"/>
          <w:szCs w:val="20"/>
        </w:rPr>
      </w:pPr>
      <w:r>
        <w:rPr>
          <w:sz w:val="20"/>
          <w:szCs w:val="20"/>
        </w:rPr>
        <w:t>We maintain a website at www.iovance.com and make available there, free of charge, our periodic reports filed with the Securities and Exchange</w:t>
      </w:r>
      <w:r>
        <w:rPr>
          <w:sz w:val="20"/>
          <w:szCs w:val="20"/>
        </w:rPr>
        <w:t xml:space="preserve"> Commission, or SEC, as soon as is reasonably practicable after filing. The SEC maintains a website at http:/www.sec.gov that contains reports, proxy and information statements, and other information regarding issuers such as us that file electronically wi</w:t>
      </w:r>
      <w:r>
        <w:rPr>
          <w:sz w:val="20"/>
          <w:szCs w:val="20"/>
        </w:rPr>
        <w:t>th the SEC.</w:t>
      </w:r>
    </w:p>
    <w:p w:rsidR="00000000" w:rsidRDefault="00F22B2C">
      <w:pPr>
        <w:pStyle w:val="a3"/>
        <w:spacing w:before="0" w:beforeAutospacing="0" w:after="0" w:afterAutospacing="0"/>
        <w:ind w:firstLine="360"/>
        <w:divId w:val="1433747200"/>
        <w:rPr>
          <w:sz w:val="20"/>
          <w:szCs w:val="20"/>
        </w:rPr>
      </w:pPr>
      <w:r>
        <w:rPr>
          <w:sz w:val="20"/>
          <w:szCs w:val="20"/>
        </w:rPr>
        <w:t>​</w:t>
      </w:r>
    </w:p>
    <w:p w:rsidR="00000000" w:rsidRDefault="00F22B2C">
      <w:pPr>
        <w:pStyle w:val="a3"/>
        <w:spacing w:before="480" w:beforeAutospacing="0" w:after="0" w:afterAutospacing="0"/>
        <w:jc w:val="center"/>
        <w:divId w:val="231816069"/>
        <w:rPr>
          <w:sz w:val="20"/>
          <w:szCs w:val="20"/>
        </w:rPr>
      </w:pPr>
      <w:r>
        <w:rPr>
          <w:sz w:val="20"/>
          <w:szCs w:val="20"/>
        </w:rPr>
        <w:t>38</w:t>
      </w:r>
    </w:p>
    <w:p w:rsidR="00000000" w:rsidRDefault="00F22B2C">
      <w:pPr>
        <w:pStyle w:val="a3"/>
        <w:spacing w:before="0" w:beforeAutospacing="0" w:after="600" w:afterAutospacing="0"/>
        <w:divId w:val="1952517038"/>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217086139"/>
        <w:rPr>
          <w:sz w:val="20"/>
          <w:szCs w:val="20"/>
        </w:rPr>
      </w:pPr>
      <w:r>
        <w:rPr>
          <w:b/>
          <w:bCs/>
          <w:sz w:val="20"/>
          <w:szCs w:val="20"/>
        </w:rPr>
        <w:t xml:space="preserve">Item 1A. Risk Factors </w:t>
      </w:r>
    </w:p>
    <w:p w:rsidR="00000000" w:rsidRDefault="00F22B2C">
      <w:pPr>
        <w:pStyle w:val="a3"/>
        <w:spacing w:before="0" w:beforeAutospacing="0" w:after="240" w:afterAutospacing="0"/>
        <w:ind w:firstLine="547"/>
        <w:divId w:val="217086139"/>
        <w:rPr>
          <w:sz w:val="20"/>
          <w:szCs w:val="20"/>
        </w:rPr>
      </w:pPr>
      <w:r>
        <w:rPr>
          <w:i/>
          <w:iCs/>
          <w:sz w:val="20"/>
          <w:szCs w:val="20"/>
        </w:rPr>
        <w:t>The risks described below may not be the only ones relating to our company. Additional risks that we currently believe are immaterial may also impair our business operation</w:t>
      </w:r>
      <w:r>
        <w:rPr>
          <w:i/>
          <w:iCs/>
          <w:sz w:val="20"/>
          <w:szCs w:val="20"/>
        </w:rPr>
        <w:t>s. Our business, financial conditions and future prospects and the trading price of our common stock could be harmed as a result of any of these risks. Investors should also refer to the other information contained or incorporated by reference in this Annu</w:t>
      </w:r>
      <w:r>
        <w:rPr>
          <w:i/>
          <w:iCs/>
          <w:sz w:val="20"/>
          <w:szCs w:val="20"/>
        </w:rPr>
        <w:t>al Report on Form 10-K, including our financial statements and related notes, and our other filings from time to time with the Securities and Exchange Commission, or SEC.</w:t>
      </w:r>
    </w:p>
    <w:p w:rsidR="00000000" w:rsidRDefault="00F22B2C">
      <w:pPr>
        <w:pStyle w:val="a3"/>
        <w:spacing w:before="0" w:beforeAutospacing="0" w:after="0" w:afterAutospacing="0"/>
        <w:divId w:val="217086139"/>
        <w:rPr>
          <w:sz w:val="20"/>
          <w:szCs w:val="20"/>
        </w:rPr>
      </w:pPr>
      <w:r>
        <w:rPr>
          <w:b/>
          <w:bCs/>
          <w:sz w:val="20"/>
          <w:szCs w:val="20"/>
        </w:rPr>
        <w:t>Risk Factors Summary</w:t>
      </w:r>
      <w:r>
        <w:rPr>
          <w:sz w:val="20"/>
          <w:szCs w:val="20"/>
        </w:rPr>
        <w:t xml:space="preserve"> </w:t>
      </w:r>
      <w:r>
        <w:rPr>
          <w:sz w:val="20"/>
          <w:szCs w:val="20"/>
        </w:rPr>
        <w:br/>
      </w:r>
      <w:r>
        <w:rPr>
          <w:sz w:val="20"/>
          <w:szCs w:val="20"/>
        </w:rPr>
        <w:t>​</w:t>
      </w:r>
    </w:p>
    <w:p w:rsidR="00000000" w:rsidRDefault="00F22B2C">
      <w:pPr>
        <w:pStyle w:val="a3"/>
        <w:spacing w:before="0" w:beforeAutospacing="0" w:after="0" w:afterAutospacing="0"/>
        <w:ind w:firstLine="540"/>
        <w:divId w:val="217086139"/>
        <w:rPr>
          <w:sz w:val="20"/>
          <w:szCs w:val="20"/>
        </w:rPr>
      </w:pPr>
      <w:r>
        <w:rPr>
          <w:sz w:val="20"/>
          <w:szCs w:val="20"/>
        </w:rPr>
        <w:t>Our business is subject to a number of risks and uncertaintie</w:t>
      </w:r>
      <w:r>
        <w:rPr>
          <w:sz w:val="20"/>
          <w:szCs w:val="20"/>
        </w:rPr>
        <w:t>s, including those risks discussed at length below. These risks include, among others, the brief bulleted list of our principal risk factors set forth below that make an investment in our company speculative or risky. You are encouraged to carefully review</w:t>
      </w:r>
      <w:r>
        <w:rPr>
          <w:sz w:val="20"/>
          <w:szCs w:val="20"/>
        </w:rPr>
        <w:t xml:space="preserve"> our full discussion of the material risk factors relevant to an investment in our business, which follows the brief bulleted list of our principal risk factors set forth below.</w:t>
      </w:r>
    </w:p>
    <w:p w:rsidR="00000000" w:rsidRDefault="00F22B2C">
      <w:pPr>
        <w:pStyle w:val="a3"/>
        <w:spacing w:before="0" w:beforeAutospacing="0" w:after="0" w:afterAutospacing="0"/>
        <w:divId w:val="2170861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We are substantially dependent on the success of our product candidates and cannot guarantee that these product candidates will successfully complete development, receive regulatory approval, or be successfully commercialized;</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We may encounter substantial delays in our clinical trials or may not be able to conduct our trials on the timelines we expect and we may be required to conduct additional clinical trials or modify current or future clinical trials based on feedback we rec</w:t>
            </w:r>
            <w:r>
              <w:rPr>
                <w:rFonts w:eastAsia="Times New Roman"/>
                <w:i/>
                <w:iCs/>
                <w:sz w:val="20"/>
                <w:szCs w:val="20"/>
              </w:rPr>
              <w:t>eive from the FDA;</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It may take longer and cost more to complete our clinical trials than we project, or we may not be able to complete them at all;</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Our clinical trials may fail to demonstrate adequately the safety and efficacy of our product cand</w:t>
            </w:r>
            <w:r>
              <w:rPr>
                <w:rFonts w:eastAsia="Times New Roman"/>
                <w:i/>
                <w:iCs/>
                <w:sz w:val="20"/>
                <w:szCs w:val="20"/>
              </w:rPr>
              <w:t>idates, which would prevent or delay regulatory approval and commercialization;</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The manufacture of our product candidates is complex, and we may encounter difficulties in production, particularly with respect to process development, quality control, o</w:t>
            </w:r>
            <w:r>
              <w:rPr>
                <w:rFonts w:eastAsia="Times New Roman"/>
                <w:i/>
                <w:iCs/>
                <w:sz w:val="20"/>
                <w:szCs w:val="20"/>
              </w:rPr>
              <w:t>r scaling-up of our manufacturing capabilities. If we, or any of our third-party manufacturers encounter such difficulties, our ability to provide supply of our product candidates for clinical trials or our products for patients, if approved, could be dela</w:t>
            </w:r>
            <w:r>
              <w:rPr>
                <w:rFonts w:eastAsia="Times New Roman"/>
                <w:i/>
                <w:iCs/>
                <w:sz w:val="20"/>
                <w:szCs w:val="20"/>
              </w:rPr>
              <w:t>yed or stopped, or we may be unable to maintain a commercially viable cost structure;</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 xml:space="preserve">Cell-based therapies and biologics rely on the availability of reagents, specialized equipment, and other specialty materials, which may not be available to us on acceptable terms or at all. For some of these reagents, equipment, and materials, we rely or </w:t>
            </w:r>
            <w:r>
              <w:rPr>
                <w:rFonts w:eastAsia="Times New Roman"/>
                <w:i/>
                <w:iCs/>
                <w:sz w:val="20"/>
                <w:szCs w:val="20"/>
              </w:rPr>
              <w:t>may rely on sole source vendors or a limited number of vendors, which could impair our ability to manufacture and supply our products;</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We collaborate with governmental, academic and corporate partners to improve and develop TIL therapies for new indic</w:t>
            </w:r>
            <w:r>
              <w:rPr>
                <w:rFonts w:eastAsia="Times New Roman"/>
                <w:i/>
                <w:iCs/>
                <w:sz w:val="20"/>
                <w:szCs w:val="20"/>
              </w:rPr>
              <w:t>ations for use in combination with other therapies and to evaluate new TIL manufacturing methods, the results of which, because the manufacturing processes are not within our control, may be incorrect or unreliable;</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We may need additional financing to</w:t>
            </w:r>
            <w:r>
              <w:rPr>
                <w:rFonts w:eastAsia="Times New Roman"/>
                <w:i/>
                <w:iCs/>
                <w:sz w:val="20"/>
                <w:szCs w:val="20"/>
              </w:rPr>
              <w:t xml:space="preserve"> fund our operations and complete the development and commercialization of our various product candidates, and if we are unable to obtain such financing, we may be unable to complete the development and commercialization of our product candidates. Raising </w:t>
            </w:r>
            <w:r>
              <w:rPr>
                <w:rFonts w:eastAsia="Times New Roman"/>
                <w:i/>
                <w:iCs/>
                <w:sz w:val="20"/>
                <w:szCs w:val="20"/>
              </w:rPr>
              <w:t>additional capital may cause dilution to our existing stockholders, restrict our operations or require us to relinquish rights to our technologies or product candidates;</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We are subject to extensive regulation, which can be costly, time consuming and c</w:t>
            </w:r>
            <w:r>
              <w:rPr>
                <w:rFonts w:eastAsia="Times New Roman"/>
                <w:i/>
                <w:iCs/>
                <w:sz w:val="20"/>
                <w:szCs w:val="20"/>
              </w:rPr>
              <w:t>an subject us to unanticipated delays; even if we obtain regulatory approval for some of our products, those products may still face regulatory difficulties;</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We are required to pay substantial royalties and lump sum benchmark payments under our license agreements with the NIH, Moffitt, Novartis, and Cellectis, and we must meet certain milestones to maintain our license rights;</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 xml:space="preserve">Because our current products </w:t>
            </w:r>
            <w:r>
              <w:rPr>
                <w:rFonts w:eastAsia="Times New Roman"/>
                <w:i/>
                <w:iCs/>
                <w:sz w:val="20"/>
                <w:szCs w:val="20"/>
              </w:rPr>
              <w:t>represent, and our other potential product candidates will represent novel approaches to the treatment of disease, there are many uncertainties regarding the development, the market acceptance, third-party reimbursement coverage and the commercial potentia</w:t>
            </w:r>
            <w:r>
              <w:rPr>
                <w:rFonts w:eastAsia="Times New Roman"/>
                <w:i/>
                <w:iCs/>
                <w:sz w:val="20"/>
                <w:szCs w:val="20"/>
              </w:rPr>
              <w:t>l of our product candidates;</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No assurance can be given that the Gen 2 manufacturing process we have selected will be FDA-compliant, more efficient and lower the cost to manufacture TIL products;</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We face significant competition from other biotechn</w:t>
            </w:r>
            <w:r>
              <w:rPr>
                <w:rFonts w:eastAsia="Times New Roman"/>
                <w:i/>
                <w:iCs/>
                <w:sz w:val="20"/>
                <w:szCs w:val="20"/>
              </w:rPr>
              <w:t>ology and pharmaceutical companies and from non-profit institutions;</w:t>
            </w:r>
          </w:p>
        </w:tc>
      </w:tr>
    </w:tbl>
    <w:p w:rsidR="00000000" w:rsidRDefault="00F22B2C">
      <w:pPr>
        <w:divId w:val="21708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7086139"/>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Development of a product candidate intended for use in combination with an already approved product may present more or different challenges than development of a product candidate f</w:t>
            </w:r>
            <w:r>
              <w:rPr>
                <w:rFonts w:eastAsia="Times New Roman"/>
                <w:i/>
                <w:iCs/>
                <w:sz w:val="20"/>
                <w:szCs w:val="20"/>
              </w:rPr>
              <w:t>or use as a single agent;</w:t>
            </w:r>
          </w:p>
        </w:tc>
      </w:tr>
    </w:tbl>
    <w:p w:rsidR="00000000" w:rsidRDefault="00F22B2C">
      <w:pPr>
        <w:pStyle w:val="a3"/>
        <w:spacing w:before="480" w:beforeAutospacing="0" w:after="0" w:afterAutospacing="0"/>
        <w:jc w:val="center"/>
        <w:divId w:val="1033457322"/>
        <w:rPr>
          <w:sz w:val="20"/>
          <w:szCs w:val="20"/>
        </w:rPr>
      </w:pPr>
      <w:r>
        <w:rPr>
          <w:sz w:val="20"/>
          <w:szCs w:val="20"/>
        </w:rPr>
        <w:t>39</w:t>
      </w:r>
    </w:p>
    <w:p w:rsidR="00000000" w:rsidRDefault="00F22B2C">
      <w:pPr>
        <w:pStyle w:val="a3"/>
        <w:spacing w:before="0" w:beforeAutospacing="0" w:after="600" w:afterAutospacing="0"/>
        <w:divId w:val="105770938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A Fast Track product designation, Breakthrough Therapy designation or other designation to facilitate product candidate development may not lead to faster development or a faster regulatory review or approval process, and it does not increase the likelihoo</w:t>
            </w:r>
            <w:r>
              <w:rPr>
                <w:rFonts w:eastAsia="Times New Roman"/>
                <w:i/>
                <w:iCs/>
                <w:sz w:val="20"/>
                <w:szCs w:val="20"/>
              </w:rPr>
              <w:t>d that our product candidates will receive marketing approval;</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While lifileucel has received Orphan Drug Designation, or ODD, for melanoma stages IIB-IV and for cervical cancer patients with tumors greater than 2 cm, there is no guarantee that we will</w:t>
            </w:r>
            <w:r>
              <w:rPr>
                <w:rFonts w:eastAsia="Times New Roman"/>
                <w:i/>
                <w:iCs/>
                <w:sz w:val="20"/>
                <w:szCs w:val="20"/>
              </w:rPr>
              <w:t xml:space="preserve"> be able to maintain this designation, receive these designations for any of our other product candidates, or receive or maintain any corresponding benefits, including periods of exclusivity;</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As a condition of approval, the FDA may require that we imp</w:t>
            </w:r>
            <w:r>
              <w:rPr>
                <w:rFonts w:eastAsia="Times New Roman"/>
                <w:i/>
                <w:iCs/>
                <w:sz w:val="20"/>
                <w:szCs w:val="20"/>
              </w:rPr>
              <w:t>lement various post-marketing requirements and conduct post-marketing studies, any of which would require a substantial investment of time, effort, and money, and which may limit our commercial prospects;</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We may be unable to establish effective market</w:t>
            </w:r>
            <w:r>
              <w:rPr>
                <w:rFonts w:eastAsia="Times New Roman"/>
                <w:i/>
                <w:iCs/>
                <w:sz w:val="20"/>
                <w:szCs w:val="20"/>
              </w:rPr>
              <w:t>ing and sales capabilities or enter into agreements with third parties to market and sell our product candidates, if they are approved, and as a result, we may be unable to generate product revenues;</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If our product candidates do not achieve broad market acceptance, the revenues that we generate from their sales will be limited;</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 xml:space="preserve">Our business could be adversely affected by the effects of health epidemics, including the recent spread of the COVID-19 </w:t>
            </w:r>
            <w:r>
              <w:rPr>
                <w:rFonts w:eastAsia="Times New Roman"/>
                <w:i/>
                <w:iCs/>
                <w:sz w:val="20"/>
                <w:szCs w:val="20"/>
              </w:rPr>
              <w:t>pandemic, in regions where we or third parties on which we rely have significant manufacturing facilities, concentrations of clinical trial sites or other business operations. The COVID-19 pandemic could materially affect our operations, including at our h</w:t>
            </w:r>
            <w:r>
              <w:rPr>
                <w:rFonts w:eastAsia="Times New Roman"/>
                <w:i/>
                <w:iCs/>
                <w:sz w:val="20"/>
                <w:szCs w:val="20"/>
              </w:rPr>
              <w:t>eadquarters in San Carlos, California and at our manufacturing facility in Philadelphia, Pennsylvania, which are currently subject to state executive orders and shelter-in-place orders, and at our clinical trial sites, as well as the business or operations</w:t>
            </w:r>
            <w:r>
              <w:rPr>
                <w:rFonts w:eastAsia="Times New Roman"/>
                <w:i/>
                <w:iCs/>
                <w:sz w:val="20"/>
                <w:szCs w:val="20"/>
              </w:rPr>
              <w:t xml:space="preserve"> of our other manufacturers, CROs or other third parties with whom we conduct business;</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We will need to grow the size and capabilities of our organization, and we may experience difficulties in managing this growth;</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We may rely on third parties to perform many essential services for any products that we commercialize, including services related to distribution, government price reporting, customer service, accounts receivable management, cash collection, and adverse e</w:t>
            </w:r>
            <w:r>
              <w:rPr>
                <w:rFonts w:eastAsia="Times New Roman"/>
                <w:i/>
                <w:iCs/>
                <w:sz w:val="20"/>
                <w:szCs w:val="20"/>
              </w:rPr>
              <w:t>vent reporting. If these third parties fail to perform as expected or to comply with legal and regulatory requirements, our ability to commercialize our current or future product candidates will be significantly impacted and we may be subject to regulatory</w:t>
            </w:r>
            <w:r>
              <w:rPr>
                <w:rFonts w:eastAsia="Times New Roman"/>
                <w:i/>
                <w:iCs/>
                <w:sz w:val="20"/>
                <w:szCs w:val="20"/>
              </w:rPr>
              <w:t xml:space="preserve"> sanctions;</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The FDA regulatory approval process is lengthy and time-consuming, and we may experience significant delays in the clinical development and regulatory approval of our product candidates;</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Obtaining and maintaining regulatory approval of our product candidates in one jurisdiction does not mean that we will be successful in obtaining regulatory approval of our product candidates in other jurisdictions;</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Coverage and reimbursement may be l</w:t>
            </w:r>
            <w:r>
              <w:rPr>
                <w:rFonts w:eastAsia="Times New Roman"/>
                <w:i/>
                <w:iCs/>
                <w:sz w:val="20"/>
                <w:szCs w:val="20"/>
              </w:rPr>
              <w:t>imited or unavailable in certain market segments for our product candidates, which could make it difficult for us to sell our product candidates profitably; and</w:t>
            </w:r>
          </w:p>
        </w:tc>
      </w:tr>
    </w:tbl>
    <w:p w:rsidR="00000000" w:rsidRDefault="00F22B2C">
      <w:pPr>
        <w:divId w:val="12699660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69966050"/>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Governments outside the U.S. tend to impose strict price controls, which may adversely aff</w:t>
            </w:r>
            <w:r>
              <w:rPr>
                <w:rFonts w:eastAsia="Times New Roman"/>
                <w:i/>
                <w:iCs/>
                <w:sz w:val="20"/>
                <w:szCs w:val="20"/>
              </w:rPr>
              <w:t>ect our revenues, if any.</w:t>
            </w:r>
          </w:p>
        </w:tc>
      </w:tr>
    </w:tbl>
    <w:p w:rsidR="00000000" w:rsidRDefault="00F22B2C">
      <w:pPr>
        <w:pStyle w:val="a3"/>
        <w:spacing w:before="0" w:beforeAutospacing="0" w:after="200" w:afterAutospacing="0"/>
        <w:divId w:val="1269966050"/>
        <w:rPr>
          <w:sz w:val="20"/>
          <w:szCs w:val="20"/>
        </w:rPr>
      </w:pPr>
      <w:r>
        <w:rPr>
          <w:sz w:val="20"/>
          <w:szCs w:val="20"/>
        </w:rPr>
        <w:t>​</w:t>
      </w:r>
      <w:r>
        <w:rPr>
          <w:sz w:val="20"/>
          <w:szCs w:val="20"/>
        </w:rPr>
        <w:br/>
      </w:r>
      <w:r>
        <w:rPr>
          <w:b/>
          <w:bCs/>
          <w:sz w:val="20"/>
          <w:szCs w:val="20"/>
        </w:rPr>
        <w:t>Risks Related to Our Business</w:t>
      </w:r>
    </w:p>
    <w:p w:rsidR="00000000" w:rsidRDefault="00F22B2C">
      <w:pPr>
        <w:pStyle w:val="a3"/>
        <w:spacing w:before="0" w:beforeAutospacing="0" w:after="200" w:afterAutospacing="0"/>
        <w:ind w:firstLine="547"/>
        <w:divId w:val="1269966050"/>
        <w:rPr>
          <w:sz w:val="20"/>
          <w:szCs w:val="20"/>
        </w:rPr>
      </w:pPr>
      <w:r>
        <w:rPr>
          <w:b/>
          <w:bCs/>
          <w:i/>
          <w:iCs/>
          <w:sz w:val="20"/>
          <w:szCs w:val="20"/>
        </w:rPr>
        <w:t>We have a history of operating losses; we expect to continue to incur losses and we may never be profitable.</w:t>
      </w:r>
    </w:p>
    <w:p w:rsidR="00000000" w:rsidRDefault="00F22B2C">
      <w:pPr>
        <w:pStyle w:val="a3"/>
        <w:spacing w:before="0" w:beforeAutospacing="0" w:after="200" w:afterAutospacing="0"/>
        <w:ind w:firstLine="547"/>
        <w:divId w:val="1269966050"/>
        <w:rPr>
          <w:sz w:val="20"/>
          <w:szCs w:val="20"/>
        </w:rPr>
      </w:pPr>
      <w:r>
        <w:rPr>
          <w:sz w:val="20"/>
          <w:szCs w:val="20"/>
        </w:rPr>
        <w:t>We are a clinical-stage biotechnology company focused on the development and commerciali</w:t>
      </w:r>
      <w:r>
        <w:rPr>
          <w:sz w:val="20"/>
          <w:szCs w:val="20"/>
        </w:rPr>
        <w:t xml:space="preserve">zation of novel cancer immunotherapy products designed to harness the power of a patient's own immune system to eradicate cancer. We do not have products approved for commercial sale and have not generated revenue from operations. As of December 31, 2021, </w:t>
      </w:r>
      <w:r>
        <w:rPr>
          <w:sz w:val="20"/>
          <w:szCs w:val="20"/>
        </w:rPr>
        <w:t>we had an accumulated deficit of $1.2 billion. In addition, during the year ended December 31, 2021, we incurred a net loss of $342.3 million. Since our inception we have not generated any revenues from operations. We are preparing for the commercial launc</w:t>
      </w:r>
      <w:r>
        <w:rPr>
          <w:sz w:val="20"/>
          <w:szCs w:val="20"/>
        </w:rPr>
        <w:t>h of our products, if approved, in 2022. We do not expect to generate any meaningful product sales or royalty revenues until we have a product approved. We expect to incur significant additional operating losses in the future as we expand our development a</w:t>
      </w:r>
      <w:r>
        <w:rPr>
          <w:sz w:val="20"/>
          <w:szCs w:val="20"/>
        </w:rPr>
        <w:t>nd clinical trial activities in support of demonstrating the effectiveness of our products.</w:t>
      </w:r>
    </w:p>
    <w:p w:rsidR="00000000" w:rsidRDefault="00F22B2C">
      <w:pPr>
        <w:pStyle w:val="a3"/>
        <w:spacing w:before="0" w:beforeAutospacing="0" w:after="200" w:afterAutospacing="0"/>
        <w:ind w:firstLine="547"/>
        <w:divId w:val="1269966050"/>
        <w:rPr>
          <w:sz w:val="20"/>
          <w:szCs w:val="20"/>
        </w:rPr>
      </w:pPr>
      <w:r>
        <w:rPr>
          <w:sz w:val="20"/>
          <w:szCs w:val="20"/>
        </w:rPr>
        <w:t>Our ability to achieve long-term profitability is dependent upon obtaining regulatory approvals for our products and successfully commercializing our products alone</w:t>
      </w:r>
      <w:r>
        <w:rPr>
          <w:sz w:val="20"/>
          <w:szCs w:val="20"/>
        </w:rPr>
        <w:t xml:space="preserve"> or with third parties. However, our operations may not be profitable even if any of our products under development are successfully developed and produced and thereafter commercialized.</w:t>
      </w:r>
    </w:p>
    <w:p w:rsidR="00000000" w:rsidRDefault="00F22B2C">
      <w:pPr>
        <w:pStyle w:val="a3"/>
        <w:spacing w:before="480" w:beforeAutospacing="0" w:after="0" w:afterAutospacing="0"/>
        <w:jc w:val="center"/>
        <w:divId w:val="2064599636"/>
        <w:rPr>
          <w:sz w:val="20"/>
          <w:szCs w:val="20"/>
        </w:rPr>
      </w:pPr>
      <w:r>
        <w:rPr>
          <w:sz w:val="20"/>
          <w:szCs w:val="20"/>
        </w:rPr>
        <w:t>40</w:t>
      </w:r>
    </w:p>
    <w:p w:rsidR="00000000" w:rsidRDefault="00F22B2C">
      <w:pPr>
        <w:pStyle w:val="a3"/>
        <w:spacing w:before="0" w:beforeAutospacing="0" w:after="600" w:afterAutospacing="0"/>
        <w:divId w:val="855002381"/>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7"/>
        <w:divId w:val="2108889733"/>
        <w:rPr>
          <w:sz w:val="20"/>
          <w:szCs w:val="20"/>
        </w:rPr>
      </w:pPr>
      <w:r>
        <w:rPr>
          <w:b/>
          <w:bCs/>
          <w:i/>
          <w:iCs/>
          <w:sz w:val="20"/>
          <w:szCs w:val="20"/>
        </w:rPr>
        <w:t>Our current line of business, and the biotechnology industry in which we operate, makes it difficult to evaluate our business plan and our prospects.</w:t>
      </w:r>
    </w:p>
    <w:p w:rsidR="00000000" w:rsidRDefault="00F22B2C">
      <w:pPr>
        <w:pStyle w:val="a3"/>
        <w:spacing w:before="0" w:beforeAutospacing="0" w:after="200" w:afterAutospacing="0"/>
        <w:ind w:firstLine="547"/>
        <w:divId w:val="2108889733"/>
        <w:rPr>
          <w:sz w:val="20"/>
          <w:szCs w:val="20"/>
        </w:rPr>
      </w:pPr>
      <w:r>
        <w:rPr>
          <w:sz w:val="20"/>
          <w:szCs w:val="20"/>
        </w:rPr>
        <w:t xml:space="preserve">We have only a limited operating history in our current line of business on which a decision to invest in </w:t>
      </w:r>
      <w:r>
        <w:rPr>
          <w:sz w:val="20"/>
          <w:szCs w:val="20"/>
        </w:rPr>
        <w:t>our company can be based. The future of our company currently is dependent upon our ability to implement our business plan, as that business plan may be modified from time to time by our management and Board of Directors. While we believe that we have a re</w:t>
      </w:r>
      <w:r>
        <w:rPr>
          <w:sz w:val="20"/>
          <w:szCs w:val="20"/>
        </w:rPr>
        <w:t>asonable business plan and research and development strategy, we have only a limited operating history against which we can test our plans and assumptions, and investors therefore cannot evaluate the likelihood of our success.</w:t>
      </w:r>
    </w:p>
    <w:p w:rsidR="00000000" w:rsidRDefault="00F22B2C">
      <w:pPr>
        <w:pStyle w:val="a3"/>
        <w:spacing w:before="0" w:beforeAutospacing="0" w:after="200" w:afterAutospacing="0"/>
        <w:ind w:firstLine="547"/>
        <w:divId w:val="2108889733"/>
        <w:rPr>
          <w:sz w:val="20"/>
          <w:szCs w:val="20"/>
        </w:rPr>
      </w:pPr>
      <w:r>
        <w:rPr>
          <w:sz w:val="20"/>
          <w:szCs w:val="20"/>
        </w:rPr>
        <w:t>We face the problems, expense</w:t>
      </w:r>
      <w:r>
        <w:rPr>
          <w:sz w:val="20"/>
          <w:szCs w:val="20"/>
        </w:rPr>
        <w:t>s, difficulties, complications and delays normally associated with a pre-commercial biotechnology company, many of which are beyond our control. Accordingly, our prospects should be considered in light of the risks, expenses and difficulties frequently enc</w:t>
      </w:r>
      <w:r>
        <w:rPr>
          <w:sz w:val="20"/>
          <w:szCs w:val="20"/>
        </w:rPr>
        <w:t>ountered in the establishment of a new business developing technologies in an industry that is characterized by a number of market entrants and intense competition. Because of our size and limited resources, we may not possess the ability to successfully o</w:t>
      </w:r>
      <w:r>
        <w:rPr>
          <w:sz w:val="20"/>
          <w:szCs w:val="20"/>
        </w:rPr>
        <w:t>vercome many of the risks and uncertainties frequently encountered by pre-commercial companies involved in the rapidly evolving field of immunotherapy. If our research and development efforts are successful, we may also face the risks associated with the s</w:t>
      </w:r>
      <w:r>
        <w:rPr>
          <w:sz w:val="20"/>
          <w:szCs w:val="20"/>
        </w:rPr>
        <w:t>hift from development to commercialization of new products based on innovative technologies. There can be no assurance that we will be successful in developing our business.</w:t>
      </w:r>
    </w:p>
    <w:p w:rsidR="00000000" w:rsidRDefault="00F22B2C">
      <w:pPr>
        <w:pStyle w:val="a3"/>
        <w:spacing w:before="0" w:beforeAutospacing="0" w:after="200" w:afterAutospacing="0"/>
        <w:ind w:firstLine="547"/>
        <w:divId w:val="2108889733"/>
        <w:rPr>
          <w:sz w:val="20"/>
          <w:szCs w:val="20"/>
        </w:rPr>
      </w:pPr>
      <w:r>
        <w:rPr>
          <w:b/>
          <w:bCs/>
          <w:i/>
          <w:iCs/>
          <w:sz w:val="20"/>
          <w:szCs w:val="20"/>
        </w:rPr>
        <w:t>We are substantially dependent on the success of our product candidates and cannot</w:t>
      </w:r>
      <w:r>
        <w:rPr>
          <w:b/>
          <w:bCs/>
          <w:i/>
          <w:iCs/>
          <w:sz w:val="20"/>
          <w:szCs w:val="20"/>
        </w:rPr>
        <w:t xml:space="preserve"> guarantee that these product candidates will successfully complete development, receive regulatory approval, or be successfully commercialized.</w:t>
      </w:r>
    </w:p>
    <w:p w:rsidR="00000000" w:rsidRDefault="00F22B2C">
      <w:pPr>
        <w:pStyle w:val="a3"/>
        <w:spacing w:before="0" w:beforeAutospacing="0" w:after="200" w:afterAutospacing="0"/>
        <w:ind w:firstLine="547"/>
        <w:divId w:val="2108889733"/>
        <w:rPr>
          <w:sz w:val="20"/>
          <w:szCs w:val="20"/>
        </w:rPr>
      </w:pPr>
      <w:r>
        <w:rPr>
          <w:sz w:val="20"/>
          <w:szCs w:val="20"/>
        </w:rPr>
        <w:t>We currently have no products approved for commercial sale. We have invested a significant portion of our effor</w:t>
      </w:r>
      <w:r>
        <w:rPr>
          <w:sz w:val="20"/>
          <w:szCs w:val="20"/>
        </w:rPr>
        <w:t>ts and financial resources in the development of our current product candidates, including lifileucel, LN-145, IOV-2001, and IOV-3001, and expect that we will continue to invest heavily in our current product candidates, as well as in any future product ca</w:t>
      </w:r>
      <w:r>
        <w:rPr>
          <w:sz w:val="20"/>
          <w:szCs w:val="20"/>
        </w:rPr>
        <w:t>ndidates we may develop. Our business depends entirely on the successful development and commercialization of our product candidates, which may never occur. Our ability to generate revenues in the future is substantially dependent on our ability to develop</w:t>
      </w:r>
      <w:r>
        <w:rPr>
          <w:sz w:val="20"/>
          <w:szCs w:val="20"/>
        </w:rPr>
        <w:t>, obtain regulatory approval for, and then successfully commercialize our product candidates. We currently generate no revenue from the sale of any products, and we may never be able to develop or commercialize a marketable product.</w:t>
      </w:r>
    </w:p>
    <w:p w:rsidR="00000000" w:rsidRDefault="00F22B2C">
      <w:pPr>
        <w:pStyle w:val="a3"/>
        <w:spacing w:before="0" w:beforeAutospacing="0" w:after="200" w:afterAutospacing="0"/>
        <w:ind w:firstLine="547"/>
        <w:divId w:val="2108889733"/>
        <w:rPr>
          <w:sz w:val="20"/>
          <w:szCs w:val="20"/>
        </w:rPr>
      </w:pPr>
      <w:r>
        <w:rPr>
          <w:sz w:val="20"/>
          <w:szCs w:val="20"/>
        </w:rPr>
        <w:t xml:space="preserve">Our product candidates </w:t>
      </w:r>
      <w:r>
        <w:rPr>
          <w:sz w:val="20"/>
          <w:szCs w:val="20"/>
        </w:rPr>
        <w:t>will require additional clinical and non-clinical development, regulatory approval, commercial manufacturing arrangements, establishment of a commercial organization, significant marketing efforts, and further investment before we generate any revenue from</w:t>
      </w:r>
      <w:r>
        <w:rPr>
          <w:sz w:val="20"/>
          <w:szCs w:val="20"/>
        </w:rPr>
        <w:t xml:space="preserve"> product sales. We cannot assure you that we will meet our timelines for our current or future clinical trials, which may be delayed or not completed for a number of reasons, including the negative impact of the COVID-19 pandemic.</w:t>
      </w:r>
    </w:p>
    <w:p w:rsidR="00000000" w:rsidRDefault="00F22B2C">
      <w:pPr>
        <w:pStyle w:val="a3"/>
        <w:spacing w:before="0" w:beforeAutospacing="0" w:after="200" w:afterAutospacing="0"/>
        <w:ind w:firstLine="547"/>
        <w:divId w:val="2108889733"/>
        <w:rPr>
          <w:sz w:val="20"/>
          <w:szCs w:val="20"/>
        </w:rPr>
      </w:pPr>
      <w:r>
        <w:rPr>
          <w:sz w:val="20"/>
          <w:szCs w:val="20"/>
        </w:rPr>
        <w:t>We are not permitted to m</w:t>
      </w:r>
      <w:r>
        <w:rPr>
          <w:sz w:val="20"/>
          <w:szCs w:val="20"/>
        </w:rPr>
        <w:t xml:space="preserve">arket or promote any of our product candidates before we receive regulatory approval from the FDA or comparable foreign regulatory authorities, and we may never receive such regulatory approval for any of our product candidates or regulatory approval that </w:t>
      </w:r>
      <w:r>
        <w:rPr>
          <w:sz w:val="20"/>
          <w:szCs w:val="20"/>
        </w:rPr>
        <w:t>will allow us to successfully commercialize our product candidates. If we do not receive FDA approval with the necessary conditions to allow successful commercialization, and then successfully commercialize our product candidates, we will not be able to ge</w:t>
      </w:r>
      <w:r>
        <w:rPr>
          <w:sz w:val="20"/>
          <w:szCs w:val="20"/>
        </w:rPr>
        <w:t>nerate revenue from those product candidates in the U.S. in the foreseeable future, or at all. Any significant delays in obtaining approval for and commercializing our product candidates will have a material adverse impact on our business and financial con</w:t>
      </w:r>
      <w:r>
        <w:rPr>
          <w:sz w:val="20"/>
          <w:szCs w:val="20"/>
        </w:rPr>
        <w:t>dition.</w:t>
      </w:r>
    </w:p>
    <w:p w:rsidR="00000000" w:rsidRDefault="00F22B2C">
      <w:pPr>
        <w:pStyle w:val="a3"/>
        <w:spacing w:before="0" w:beforeAutospacing="0" w:after="200" w:afterAutospacing="0"/>
        <w:ind w:firstLine="547"/>
        <w:divId w:val="2108889733"/>
        <w:rPr>
          <w:sz w:val="20"/>
          <w:szCs w:val="20"/>
        </w:rPr>
      </w:pPr>
      <w:r>
        <w:rPr>
          <w:sz w:val="20"/>
          <w:szCs w:val="20"/>
        </w:rPr>
        <w:t>We have not previously submitted a BLA to the FDA, or similar marketing application to comparable foreign authorities, for any product candidate, and we cannot be certain that our current or any future product candidates will be successful in clini</w:t>
      </w:r>
      <w:r>
        <w:rPr>
          <w:sz w:val="20"/>
          <w:szCs w:val="20"/>
        </w:rPr>
        <w:t xml:space="preserve">cal trials or receive regulatory approval. Furthermore, although we do not expect to submit our BLA with comparisons to existing or more established therapies and likewise do not expect the FDA to base its determination with respect to product approval on </w:t>
      </w:r>
      <w:r>
        <w:rPr>
          <w:sz w:val="20"/>
          <w:szCs w:val="20"/>
        </w:rPr>
        <w:t>such comparisons, the FDA may factor these comparisons into its decision whether to approve our TIL therapies, including lifileucel for metastatic melanoma and metastatic cervical cancer. The FDA may also consider its approvals of competing products, which</w:t>
      </w:r>
      <w:r>
        <w:rPr>
          <w:sz w:val="20"/>
          <w:szCs w:val="20"/>
        </w:rPr>
        <w:t xml:space="preserve"> may alter the treatment landscape concurrently with their review of our BLA filings, and which may lead to changes in the FDA’s review requirements that have been previously communicated to us and our interpretation thereof, including changes to requireme</w:t>
      </w:r>
      <w:r>
        <w:rPr>
          <w:sz w:val="20"/>
          <w:szCs w:val="20"/>
        </w:rPr>
        <w:t>nts for clinical data or clinical study design. Such changes could delay approval or necessitate withdrawal of our BLA filings.</w:t>
      </w:r>
    </w:p>
    <w:p w:rsidR="00000000" w:rsidRDefault="00F22B2C">
      <w:pPr>
        <w:pStyle w:val="a3"/>
        <w:spacing w:before="0" w:beforeAutospacing="0" w:after="200" w:afterAutospacing="0"/>
        <w:ind w:firstLine="547"/>
        <w:divId w:val="2108889733"/>
        <w:rPr>
          <w:sz w:val="20"/>
          <w:szCs w:val="20"/>
        </w:rPr>
      </w:pPr>
      <w:r>
        <w:rPr>
          <w:sz w:val="20"/>
          <w:szCs w:val="20"/>
        </w:rPr>
        <w:t>Our product candidates are susceptible to the risks of failure inherent at any stage of product development, including the appea</w:t>
      </w:r>
      <w:r>
        <w:rPr>
          <w:sz w:val="20"/>
          <w:szCs w:val="20"/>
        </w:rPr>
        <w:t>rance of unexpected adverse events or failure to achieve primary endpoints in clinical trials. Further, our product candidates may not receive regulatory approval even if they are successful in clinical trials.</w:t>
      </w:r>
    </w:p>
    <w:p w:rsidR="00000000" w:rsidRDefault="00F22B2C">
      <w:pPr>
        <w:pStyle w:val="a3"/>
        <w:spacing w:before="480" w:beforeAutospacing="0" w:after="0" w:afterAutospacing="0"/>
        <w:jc w:val="center"/>
        <w:divId w:val="2031564891"/>
        <w:rPr>
          <w:sz w:val="20"/>
          <w:szCs w:val="20"/>
        </w:rPr>
      </w:pPr>
      <w:r>
        <w:rPr>
          <w:sz w:val="20"/>
          <w:szCs w:val="20"/>
        </w:rPr>
        <w:t>41</w:t>
      </w:r>
    </w:p>
    <w:p w:rsidR="00000000" w:rsidRDefault="00F22B2C">
      <w:pPr>
        <w:pStyle w:val="a3"/>
        <w:spacing w:before="0" w:beforeAutospacing="0" w:after="600" w:afterAutospacing="0"/>
        <w:divId w:val="715276096"/>
        <w:rPr>
          <w:sz w:val="20"/>
          <w:szCs w:val="20"/>
        </w:rPr>
      </w:pPr>
      <w:hyperlink w:anchor="TOC" w:history="1">
        <w:r>
          <w:rPr>
            <w:rStyle w:val="a4"/>
            <w:sz w:val="20"/>
            <w:szCs w:val="20"/>
          </w:rPr>
          <w:t>Table of Content</w:t>
        </w:r>
        <w:r>
          <w:rPr>
            <w:rStyle w:val="a4"/>
            <w:sz w:val="20"/>
            <w:szCs w:val="20"/>
          </w:rPr>
          <w:t>s</w:t>
        </w:r>
      </w:hyperlink>
    </w:p>
    <w:p w:rsidR="00000000" w:rsidRDefault="00F22B2C">
      <w:pPr>
        <w:pStyle w:val="a3"/>
        <w:spacing w:before="0" w:beforeAutospacing="0" w:after="200" w:afterAutospacing="0"/>
        <w:ind w:firstLine="547"/>
        <w:divId w:val="1035348078"/>
        <w:rPr>
          <w:sz w:val="20"/>
          <w:szCs w:val="20"/>
        </w:rPr>
      </w:pPr>
      <w:r>
        <w:rPr>
          <w:sz w:val="20"/>
          <w:szCs w:val="20"/>
        </w:rPr>
        <w:t>If approved for marketing by applicable regulatory authorities, our ability to generate revenues from our product candidates will depend on our ability to:</w:t>
      </w:r>
    </w:p>
    <w:p w:rsidR="00000000" w:rsidRDefault="00F22B2C">
      <w:pPr>
        <w:ind w:left="547" w:hanging="360"/>
        <w:divId w:val="435029039"/>
        <w:rPr>
          <w:rFonts w:eastAsia="Times New Roman"/>
          <w:sz w:val="20"/>
          <w:szCs w:val="20"/>
        </w:rPr>
      </w:pPr>
      <w:r>
        <w:rPr>
          <w:rFonts w:eastAsia="Times New Roman"/>
          <w:sz w:val="20"/>
          <w:szCs w:val="20"/>
        </w:rPr>
        <w:t>●</w:t>
      </w:r>
      <w:r>
        <w:rPr>
          <w:rFonts w:eastAsia="Times New Roman"/>
          <w:sz w:val="20"/>
          <w:szCs w:val="20"/>
        </w:rPr>
        <w:t>price our product candidates competitively such that third-party and government reimbursement lea</w:t>
      </w:r>
      <w:r>
        <w:rPr>
          <w:rFonts w:eastAsia="Times New Roman"/>
          <w:sz w:val="20"/>
          <w:szCs w:val="20"/>
        </w:rPr>
        <w:t>ds to broad product adoption;</w:t>
      </w:r>
    </w:p>
    <w:p w:rsidR="00000000" w:rsidRDefault="00F22B2C">
      <w:pPr>
        <w:ind w:left="547" w:hanging="360"/>
        <w:divId w:val="395518286"/>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rsidR="00000000" w:rsidRDefault="00F22B2C">
      <w:pPr>
        <w:ind w:left="547" w:hanging="360"/>
        <w:divId w:val="779951722"/>
        <w:rPr>
          <w:rFonts w:eastAsia="Times New Roman"/>
          <w:sz w:val="20"/>
          <w:szCs w:val="20"/>
        </w:rPr>
      </w:pPr>
      <w:r>
        <w:rPr>
          <w:rFonts w:eastAsia="Times New Roman"/>
          <w:sz w:val="20"/>
          <w:szCs w:val="20"/>
        </w:rPr>
        <w:t>●</w:t>
      </w:r>
      <w:r>
        <w:rPr>
          <w:rFonts w:eastAsia="Times New Roman"/>
          <w:sz w:val="20"/>
          <w:szCs w:val="20"/>
        </w:rPr>
        <w:t>create market demand for our product candidates through our own marketing and sales activities, and any other arrangements to promote these product</w:t>
      </w:r>
      <w:r>
        <w:rPr>
          <w:rFonts w:eastAsia="Times New Roman"/>
          <w:sz w:val="20"/>
          <w:szCs w:val="20"/>
        </w:rPr>
        <w:t xml:space="preserve"> candidates that we may otherwise establish;</w:t>
      </w:r>
    </w:p>
    <w:p w:rsidR="00000000" w:rsidRDefault="00F22B2C">
      <w:pPr>
        <w:ind w:left="547" w:hanging="360"/>
        <w:divId w:val="1769424654"/>
        <w:rPr>
          <w:rFonts w:eastAsia="Times New Roman"/>
          <w:sz w:val="20"/>
          <w:szCs w:val="20"/>
        </w:rPr>
      </w:pPr>
      <w:r>
        <w:rPr>
          <w:rFonts w:eastAsia="Times New Roman"/>
          <w:sz w:val="20"/>
          <w:szCs w:val="20"/>
        </w:rPr>
        <w:t>●</w:t>
      </w:r>
      <w:r>
        <w:rPr>
          <w:rFonts w:eastAsia="Times New Roman"/>
          <w:sz w:val="20"/>
          <w:szCs w:val="20"/>
        </w:rPr>
        <w:t>receive regulatory approval for the targeted patient population(s) and claims that are necessary or desirable for successful marketing;</w:t>
      </w:r>
    </w:p>
    <w:p w:rsidR="00000000" w:rsidRDefault="00F22B2C">
      <w:pPr>
        <w:ind w:left="547" w:hanging="360"/>
        <w:divId w:val="254901796"/>
        <w:rPr>
          <w:rFonts w:eastAsia="Times New Roman"/>
          <w:sz w:val="20"/>
          <w:szCs w:val="20"/>
        </w:rPr>
      </w:pPr>
      <w:r>
        <w:rPr>
          <w:rFonts w:eastAsia="Times New Roman"/>
          <w:sz w:val="20"/>
          <w:szCs w:val="20"/>
        </w:rPr>
        <w:t>●</w:t>
      </w:r>
      <w:r>
        <w:rPr>
          <w:rFonts w:eastAsia="Times New Roman"/>
          <w:sz w:val="20"/>
          <w:szCs w:val="20"/>
        </w:rPr>
        <w:t>effectively commercialize our products;</w:t>
      </w:r>
    </w:p>
    <w:p w:rsidR="00000000" w:rsidRDefault="00F22B2C">
      <w:pPr>
        <w:ind w:left="547" w:hanging="360"/>
        <w:divId w:val="1291937804"/>
        <w:rPr>
          <w:rFonts w:eastAsia="Times New Roman"/>
          <w:sz w:val="20"/>
          <w:szCs w:val="20"/>
        </w:rPr>
      </w:pPr>
      <w:r>
        <w:rPr>
          <w:rFonts w:eastAsia="Times New Roman"/>
          <w:sz w:val="20"/>
          <w:szCs w:val="20"/>
        </w:rPr>
        <w:t>●</w:t>
      </w:r>
      <w:r>
        <w:rPr>
          <w:rFonts w:eastAsia="Times New Roman"/>
          <w:sz w:val="20"/>
          <w:szCs w:val="20"/>
        </w:rPr>
        <w:t>manufacture product candidates t</w:t>
      </w:r>
      <w:r>
        <w:rPr>
          <w:rFonts w:eastAsia="Times New Roman"/>
          <w:sz w:val="20"/>
          <w:szCs w:val="20"/>
        </w:rPr>
        <w:t>hrough CMOs or in our own manufacturing facility in sufficient quantities and at acceptable quality and manufacturing cost to meet commercial demand at launch and thereafter;</w:t>
      </w:r>
    </w:p>
    <w:p w:rsidR="00000000" w:rsidRDefault="00F22B2C">
      <w:pPr>
        <w:ind w:left="547" w:hanging="360"/>
        <w:divId w:val="832917363"/>
        <w:rPr>
          <w:rFonts w:eastAsia="Times New Roman"/>
          <w:sz w:val="20"/>
          <w:szCs w:val="20"/>
        </w:rPr>
      </w:pPr>
      <w:r>
        <w:rPr>
          <w:rFonts w:eastAsia="Times New Roman"/>
          <w:sz w:val="20"/>
          <w:szCs w:val="20"/>
        </w:rPr>
        <w:t>●</w:t>
      </w:r>
      <w:r>
        <w:rPr>
          <w:rFonts w:eastAsia="Times New Roman"/>
          <w:sz w:val="20"/>
          <w:szCs w:val="20"/>
        </w:rPr>
        <w:t>establish and maintain agreements with wholesalers, distributors, pharmacies, an</w:t>
      </w:r>
      <w:r>
        <w:rPr>
          <w:rFonts w:eastAsia="Times New Roman"/>
          <w:sz w:val="20"/>
          <w:szCs w:val="20"/>
        </w:rPr>
        <w:t>d group purchasing organizations on commercially reasonable terms;</w:t>
      </w:r>
    </w:p>
    <w:p w:rsidR="00000000" w:rsidRDefault="00F22B2C">
      <w:pPr>
        <w:ind w:left="547" w:hanging="360"/>
        <w:divId w:val="2102138968"/>
        <w:rPr>
          <w:rFonts w:eastAsia="Times New Roman"/>
          <w:sz w:val="20"/>
          <w:szCs w:val="20"/>
        </w:rPr>
      </w:pPr>
      <w:r>
        <w:rPr>
          <w:rFonts w:eastAsia="Times New Roman"/>
          <w:sz w:val="20"/>
          <w:szCs w:val="20"/>
        </w:rPr>
        <w:t>●</w:t>
      </w:r>
      <w:r>
        <w:rPr>
          <w:rFonts w:eastAsia="Times New Roman"/>
          <w:sz w:val="20"/>
          <w:szCs w:val="20"/>
        </w:rPr>
        <w:t>maintain patent and trade secret protection and regulatory exclusivity for our product candidates;</w:t>
      </w:r>
    </w:p>
    <w:p w:rsidR="00000000" w:rsidRDefault="00F22B2C">
      <w:pPr>
        <w:ind w:left="547" w:hanging="360"/>
        <w:divId w:val="1902403803"/>
        <w:rPr>
          <w:rFonts w:eastAsia="Times New Roman"/>
          <w:sz w:val="20"/>
          <w:szCs w:val="20"/>
        </w:rPr>
      </w:pPr>
      <w:r>
        <w:rPr>
          <w:rFonts w:eastAsia="Times New Roman"/>
          <w:sz w:val="20"/>
          <w:szCs w:val="20"/>
        </w:rPr>
        <w:t>●</w:t>
      </w:r>
      <w:r>
        <w:rPr>
          <w:rFonts w:eastAsia="Times New Roman"/>
          <w:sz w:val="20"/>
          <w:szCs w:val="20"/>
        </w:rPr>
        <w:t>launch commercial sales of our product candidates;</w:t>
      </w:r>
    </w:p>
    <w:p w:rsidR="00000000" w:rsidRDefault="00F22B2C">
      <w:pPr>
        <w:ind w:left="547" w:hanging="360"/>
        <w:divId w:val="1323120315"/>
        <w:rPr>
          <w:rFonts w:eastAsia="Times New Roman"/>
          <w:sz w:val="20"/>
          <w:szCs w:val="20"/>
        </w:rPr>
      </w:pPr>
      <w:r>
        <w:rPr>
          <w:rFonts w:eastAsia="Times New Roman"/>
          <w:sz w:val="20"/>
          <w:szCs w:val="20"/>
        </w:rPr>
        <w:t>●</w:t>
      </w:r>
      <w:r>
        <w:rPr>
          <w:rFonts w:eastAsia="Times New Roman"/>
          <w:sz w:val="20"/>
          <w:szCs w:val="20"/>
        </w:rPr>
        <w:t xml:space="preserve">maintain compliance with applicable </w:t>
      </w:r>
      <w:r>
        <w:rPr>
          <w:rFonts w:eastAsia="Times New Roman"/>
          <w:sz w:val="20"/>
          <w:szCs w:val="20"/>
        </w:rPr>
        <w:t>laws, regulations, and guidance specific to commercialization including interactions with health care professionals, patient advocacy groups, and communication of health care economic information to payors and formularies;</w:t>
      </w:r>
    </w:p>
    <w:p w:rsidR="00000000" w:rsidRDefault="00F22B2C">
      <w:pPr>
        <w:ind w:left="547" w:hanging="360"/>
        <w:divId w:val="697049802"/>
        <w:rPr>
          <w:rFonts w:eastAsia="Times New Roman"/>
          <w:sz w:val="20"/>
          <w:szCs w:val="20"/>
        </w:rPr>
      </w:pPr>
      <w:r>
        <w:rPr>
          <w:rFonts w:eastAsia="Times New Roman"/>
          <w:sz w:val="20"/>
          <w:szCs w:val="20"/>
        </w:rPr>
        <w:t>●</w:t>
      </w:r>
      <w:r>
        <w:rPr>
          <w:rFonts w:eastAsia="Times New Roman"/>
          <w:sz w:val="20"/>
          <w:szCs w:val="20"/>
        </w:rPr>
        <w:t>achieve market acceptance of our</w:t>
      </w:r>
      <w:r>
        <w:rPr>
          <w:rFonts w:eastAsia="Times New Roman"/>
          <w:sz w:val="20"/>
          <w:szCs w:val="20"/>
        </w:rPr>
        <w:t xml:space="preserve"> product candidates by patients, the medical community, and third-party payors;</w:t>
      </w:r>
    </w:p>
    <w:p w:rsidR="00000000" w:rsidRDefault="00F22B2C">
      <w:pPr>
        <w:ind w:left="547" w:hanging="360"/>
        <w:divId w:val="549807436"/>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rsidR="00000000" w:rsidRDefault="00F22B2C">
      <w:pPr>
        <w:ind w:left="547" w:hanging="360"/>
        <w:divId w:val="1283415956"/>
        <w:rPr>
          <w:rFonts w:eastAsia="Times New Roman"/>
          <w:sz w:val="20"/>
          <w:szCs w:val="20"/>
        </w:rPr>
      </w:pPr>
      <w:r>
        <w:rPr>
          <w:rFonts w:eastAsia="Times New Roman"/>
          <w:sz w:val="20"/>
          <w:szCs w:val="20"/>
        </w:rPr>
        <w:t>●</w:t>
      </w:r>
      <w:r>
        <w:rPr>
          <w:rFonts w:eastAsia="Times New Roman"/>
          <w:sz w:val="20"/>
          <w:szCs w:val="20"/>
        </w:rPr>
        <w:t>maintain a distribution and logistics network capable of product storage within our specifications and regulator</w:t>
      </w:r>
      <w:r>
        <w:rPr>
          <w:rFonts w:eastAsia="Times New Roman"/>
          <w:sz w:val="20"/>
          <w:szCs w:val="20"/>
        </w:rPr>
        <w:t>y guidelines, and further capable of timely product delivery to commercial clinical sites;</w:t>
      </w:r>
    </w:p>
    <w:p w:rsidR="00000000" w:rsidRDefault="00F22B2C">
      <w:pPr>
        <w:ind w:left="547" w:hanging="360"/>
        <w:divId w:val="1663311085"/>
        <w:rPr>
          <w:rFonts w:eastAsia="Times New Roman"/>
          <w:sz w:val="20"/>
          <w:szCs w:val="20"/>
        </w:rPr>
      </w:pPr>
      <w:r>
        <w:rPr>
          <w:rFonts w:eastAsia="Times New Roman"/>
          <w:sz w:val="20"/>
          <w:szCs w:val="20"/>
        </w:rPr>
        <w:t>●</w:t>
      </w:r>
      <w:r>
        <w:rPr>
          <w:rFonts w:eastAsia="Times New Roman"/>
          <w:sz w:val="20"/>
          <w:szCs w:val="20"/>
        </w:rPr>
        <w:t>effectively compete with other therapies or competitors; and</w:t>
      </w:r>
    </w:p>
    <w:p w:rsidR="00000000" w:rsidRDefault="00F22B2C">
      <w:pPr>
        <w:ind w:left="547" w:hanging="360"/>
        <w:divId w:val="935361933"/>
        <w:rPr>
          <w:rFonts w:eastAsia="Times New Roman"/>
          <w:sz w:val="20"/>
          <w:szCs w:val="20"/>
        </w:rPr>
      </w:pPr>
      <w:r>
        <w:rPr>
          <w:rFonts w:eastAsia="Times New Roman"/>
          <w:sz w:val="20"/>
          <w:szCs w:val="20"/>
        </w:rPr>
        <w:t>●</w:t>
      </w:r>
      <w:r>
        <w:rPr>
          <w:rFonts w:eastAsia="Times New Roman"/>
          <w:sz w:val="20"/>
          <w:szCs w:val="20"/>
        </w:rPr>
        <w:t>following launch, assure that our product will be used as directed and that additional unexpected safety risks will not arise.</w:t>
      </w:r>
    </w:p>
    <w:p w:rsidR="00000000" w:rsidRDefault="00F22B2C">
      <w:pPr>
        <w:pStyle w:val="a3"/>
        <w:spacing w:before="0" w:beforeAutospacing="0" w:after="0" w:afterAutospacing="0"/>
        <w:ind w:firstLine="547"/>
        <w:divId w:val="1035348078"/>
        <w:rPr>
          <w:sz w:val="20"/>
          <w:szCs w:val="20"/>
        </w:rPr>
      </w:pPr>
      <w:r>
        <w:rPr>
          <w:sz w:val="20"/>
          <w:szCs w:val="20"/>
        </w:rPr>
        <w:t>​</w:t>
      </w:r>
    </w:p>
    <w:p w:rsidR="00000000" w:rsidRDefault="00F22B2C">
      <w:pPr>
        <w:pStyle w:val="a3"/>
        <w:spacing w:before="0" w:beforeAutospacing="0" w:after="200" w:afterAutospacing="0"/>
        <w:ind w:firstLine="547"/>
        <w:divId w:val="1035348078"/>
        <w:rPr>
          <w:sz w:val="20"/>
          <w:szCs w:val="20"/>
        </w:rPr>
      </w:pPr>
      <w:r>
        <w:rPr>
          <w:b/>
          <w:bCs/>
          <w:i/>
          <w:iCs/>
          <w:sz w:val="20"/>
          <w:szCs w:val="20"/>
        </w:rPr>
        <w:t>We may face risks due to the need to rely on third parties, including clinical trial sites.</w:t>
      </w:r>
    </w:p>
    <w:p w:rsidR="00000000" w:rsidRDefault="00F22B2C">
      <w:pPr>
        <w:pStyle w:val="a3"/>
        <w:spacing w:before="0" w:beforeAutospacing="0" w:after="200" w:afterAutospacing="0"/>
        <w:ind w:firstLine="547"/>
        <w:divId w:val="1035348078"/>
        <w:rPr>
          <w:sz w:val="20"/>
          <w:szCs w:val="20"/>
        </w:rPr>
      </w:pPr>
      <w:r>
        <w:rPr>
          <w:sz w:val="20"/>
          <w:szCs w:val="20"/>
        </w:rPr>
        <w:t>We are heavily reliant on third par</w:t>
      </w:r>
      <w:r>
        <w:rPr>
          <w:sz w:val="20"/>
          <w:szCs w:val="20"/>
        </w:rPr>
        <w:t>ties to conduct our clinical trials. We have a limited history of conducting clinical trials and have no experience as a company in filing and supporting the applications necessary to gain marketing approvals. Securing marketing approval requires the submi</w:t>
      </w:r>
      <w:r>
        <w:rPr>
          <w:sz w:val="20"/>
          <w:szCs w:val="20"/>
        </w:rPr>
        <w:t>ssion of extensive preclinical and clinical data and supporting information to regulatory authorities for each therapeutic indication to establish the product candidate’s safety, purity, and potency for that indication. Securing marketing approval also req</w:t>
      </w:r>
      <w:r>
        <w:rPr>
          <w:sz w:val="20"/>
          <w:szCs w:val="20"/>
        </w:rPr>
        <w:t>uires the submission of information about the product manufacturing process to, and inspection of manufacturing facilities and clinical trial sites by, applicable regulatory authorities. Clinical testing is expensive and can take many years to complete, an</w:t>
      </w:r>
      <w:r>
        <w:rPr>
          <w:sz w:val="20"/>
          <w:szCs w:val="20"/>
        </w:rPr>
        <w:t>d its outcome is inherently uncertain. Failure can occur at any time during the clinical trial process. As a result of the COVID-19 pandemic, institutions and research sites that currently conduct clinical trials may not be able to return to normal clinica</w:t>
      </w:r>
      <w:r>
        <w:rPr>
          <w:sz w:val="20"/>
          <w:szCs w:val="20"/>
        </w:rPr>
        <w:t>l trial operations for some time, or may no longer choose to participate in studies in the future. Furthermore, clinical trials may be delayed or otherwise may be more difficult to execute in the future.</w:t>
      </w:r>
    </w:p>
    <w:p w:rsidR="00000000" w:rsidRDefault="00F22B2C">
      <w:pPr>
        <w:pStyle w:val="a3"/>
        <w:spacing w:before="0" w:beforeAutospacing="0" w:after="200" w:afterAutospacing="0"/>
        <w:ind w:firstLine="547"/>
        <w:divId w:val="1035348078"/>
        <w:rPr>
          <w:sz w:val="20"/>
          <w:szCs w:val="20"/>
        </w:rPr>
      </w:pPr>
      <w:r>
        <w:rPr>
          <w:sz w:val="20"/>
          <w:szCs w:val="20"/>
        </w:rPr>
        <w:t>We have recruited a team that has experience with cl</w:t>
      </w:r>
      <w:r>
        <w:rPr>
          <w:sz w:val="20"/>
          <w:szCs w:val="20"/>
        </w:rPr>
        <w:t>inical trials and in the development of preclinical assets for translation into clinical trials; however, we as a company have limited experience completing pivotal clinical trials for cell therapy products or developing preclinical immunotherapy products.</w:t>
      </w:r>
      <w:r>
        <w:rPr>
          <w:sz w:val="20"/>
          <w:szCs w:val="20"/>
        </w:rPr>
        <w:t xml:space="preserve"> In part because of this lack of experience, we cannot be certain that our ongoing pivotal clinical trials will be completed on time, if at all, will progress according to our plans or expectations, or that our planned clinical trials will be initiated or </w:t>
      </w:r>
      <w:r>
        <w:rPr>
          <w:sz w:val="20"/>
          <w:szCs w:val="20"/>
        </w:rPr>
        <w:t>initiated in a timely manner, progress according to our plans or expectations, or be completed on time, if they are completed at all.</w:t>
      </w:r>
    </w:p>
    <w:p w:rsidR="00000000" w:rsidRDefault="00F22B2C">
      <w:pPr>
        <w:pStyle w:val="a3"/>
        <w:spacing w:before="0" w:beforeAutospacing="0" w:after="200" w:afterAutospacing="0"/>
        <w:ind w:firstLine="547"/>
        <w:divId w:val="1035348078"/>
        <w:rPr>
          <w:sz w:val="20"/>
          <w:szCs w:val="20"/>
        </w:rPr>
      </w:pPr>
      <w:r>
        <w:rPr>
          <w:sz w:val="20"/>
          <w:szCs w:val="20"/>
        </w:rPr>
        <w:t>Large-scale clinical trials require significant financial and management resources, and reliance on third-party clinical i</w:t>
      </w:r>
      <w:r>
        <w:rPr>
          <w:sz w:val="20"/>
          <w:szCs w:val="20"/>
        </w:rPr>
        <w:t>nvestigators, Contract Research Organizations, or CROs, Contract Manufacturing Organizations, or CMOs, or consultants. Relying on third-party clinical investigators, CROs or CMOs may force us to encounter delays and challenges that are outside of our contr</w:t>
      </w:r>
      <w:r>
        <w:rPr>
          <w:sz w:val="20"/>
          <w:szCs w:val="20"/>
        </w:rPr>
        <w:t>ol. We rely on CMOs in the U.S. and Europe to manufacture TIL for use in our trials. We may not be able to demonstrate sufficient comparability between products manufactured at different facilities to allow for inclusion of the clinical results from patien</w:t>
      </w:r>
      <w:r>
        <w:rPr>
          <w:sz w:val="20"/>
          <w:szCs w:val="20"/>
        </w:rPr>
        <w:t>ts treated with products from these different facilities, or with our own manufacturing facility, in our product registrations. Further, our CMOs may not be able to manufacture TIL or otherwise fulfill their obligations to us because of interruptions to th</w:t>
      </w:r>
      <w:r>
        <w:rPr>
          <w:sz w:val="20"/>
          <w:szCs w:val="20"/>
        </w:rPr>
        <w:t>eir business, including the loss of their key staff or interruptions to their raw material supply.</w:t>
      </w:r>
    </w:p>
    <w:p w:rsidR="00000000" w:rsidRDefault="00F22B2C">
      <w:pPr>
        <w:pStyle w:val="a3"/>
        <w:spacing w:before="480" w:beforeAutospacing="0" w:after="0" w:afterAutospacing="0"/>
        <w:jc w:val="center"/>
        <w:divId w:val="150221601"/>
        <w:rPr>
          <w:sz w:val="20"/>
          <w:szCs w:val="20"/>
        </w:rPr>
      </w:pPr>
      <w:r>
        <w:rPr>
          <w:sz w:val="20"/>
          <w:szCs w:val="20"/>
        </w:rPr>
        <w:t>42</w:t>
      </w:r>
    </w:p>
    <w:p w:rsidR="00000000" w:rsidRDefault="00F22B2C">
      <w:pPr>
        <w:pStyle w:val="a3"/>
        <w:spacing w:before="0" w:beforeAutospacing="0" w:after="600" w:afterAutospacing="0"/>
        <w:divId w:val="589503560"/>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7"/>
        <w:divId w:val="143010727"/>
        <w:rPr>
          <w:sz w:val="20"/>
          <w:szCs w:val="20"/>
        </w:rPr>
      </w:pPr>
      <w:r>
        <w:rPr>
          <w:sz w:val="20"/>
          <w:szCs w:val="20"/>
        </w:rPr>
        <w:t>We rely on third party CROs and clinical trial sites to conduct, supervise, and monitor our clinical trials fo</w:t>
      </w:r>
      <w:r>
        <w:rPr>
          <w:sz w:val="20"/>
          <w:szCs w:val="20"/>
        </w:rPr>
        <w:t>r our product candidates. We expect to continue to rely on third parties, such as CROs, clinical data management organizations, medical institutions, independent review organizations and clinical investigators, to conduct our clinical trials. While we have</w:t>
      </w:r>
      <w:r>
        <w:rPr>
          <w:sz w:val="20"/>
          <w:szCs w:val="20"/>
        </w:rPr>
        <w:t xml:space="preserve"> agreements governing their activities, we have limited influence over their actual performance and control only certain aspects of their activities. The failure of these third parties to successfully carry out their contractual duties or meet expected dea</w:t>
      </w:r>
      <w:r>
        <w:rPr>
          <w:sz w:val="20"/>
          <w:szCs w:val="20"/>
        </w:rPr>
        <w:t>dlines could substantially harm our business because we may be delayed in completing or unable to complete the clinical trials required to support future approval of our product candidates, or we may not obtain marketing approval for or commercialize our p</w:t>
      </w:r>
      <w:r>
        <w:rPr>
          <w:sz w:val="20"/>
          <w:szCs w:val="20"/>
        </w:rPr>
        <w:t>roduct candidates in a timely manner or at all. Moreover, these agreements might terminate for a variety of reasons, including a failure to perform by the third parties. If we need to enter into alternative arrangements, that could delay our product develo</w:t>
      </w:r>
      <w:r>
        <w:rPr>
          <w:sz w:val="20"/>
          <w:szCs w:val="20"/>
        </w:rPr>
        <w:t>pment activities and adversely affect our business.</w:t>
      </w:r>
    </w:p>
    <w:p w:rsidR="00000000" w:rsidRDefault="00F22B2C">
      <w:pPr>
        <w:pStyle w:val="a3"/>
        <w:spacing w:before="0" w:beforeAutospacing="0" w:after="200" w:afterAutospacing="0"/>
        <w:ind w:firstLine="547"/>
        <w:divId w:val="143010727"/>
        <w:rPr>
          <w:sz w:val="20"/>
          <w:szCs w:val="20"/>
        </w:rPr>
      </w:pPr>
      <w:r>
        <w:rPr>
          <w:sz w:val="20"/>
          <w:szCs w:val="20"/>
        </w:rPr>
        <w:t>Our reliance on these third parties for development activities will reduce our control over these activities. Nevertheless, we are responsible for ensuring that each of our studies is conducted in accorda</w:t>
      </w:r>
      <w:r>
        <w:rPr>
          <w:sz w:val="20"/>
          <w:szCs w:val="20"/>
        </w:rPr>
        <w:t>nce with the applicable protocol, legal, regulatory, and scientific standards and our reliance on the CROs, clinical trial sites, and other third parties does not relieve us of these oversight responsibilities. For example, we will remain responsible for e</w:t>
      </w:r>
      <w:r>
        <w:rPr>
          <w:sz w:val="20"/>
          <w:szCs w:val="20"/>
        </w:rPr>
        <w:t>nsuring that each of our clinical trials is conducted in accordance with the general investigational plan and protocols for the trial and for ensuring that our preclinical trials are conducted in accordance with Good Laboratory Practices, or GLPs, as appro</w:t>
      </w:r>
      <w:r>
        <w:rPr>
          <w:sz w:val="20"/>
          <w:szCs w:val="20"/>
        </w:rPr>
        <w:t>priate. Moreover, the FDA and comparable foreign regulatory authorities require us to comply with GCPs for conducting, recording, and reporting the results of clinical trials to assure that data and reported results are credible and accurate and that the r</w:t>
      </w:r>
      <w:r>
        <w:rPr>
          <w:sz w:val="20"/>
          <w:szCs w:val="20"/>
        </w:rPr>
        <w:t>ights, integrity, and confidentiality of trial participants are protected. Regulatory authorities enforce these requirements through periodic inspections (including pre-approval inspections once a BLA is filed with the FDA) of trial sponsors, clinical inve</w:t>
      </w:r>
      <w:r>
        <w:rPr>
          <w:sz w:val="20"/>
          <w:szCs w:val="20"/>
        </w:rPr>
        <w:t>stigators, trial sites and certain third parties including CMOs. If we, our CROs, clinical trial sites, or other third parties fail to comply with Good Clinical Practices, or applicable GCPs, or other regulatory requirements, we or they may be subject to e</w:t>
      </w:r>
      <w:r>
        <w:rPr>
          <w:sz w:val="20"/>
          <w:szCs w:val="20"/>
        </w:rPr>
        <w:t>nforcement or other legal actions, the clinical data generated in our clinical trials may be deemed unreliable and the FDA or comparable foreign regulatory authorities may require us to perform additional clinical trials. We cannot assure you that upon ins</w:t>
      </w:r>
      <w:r>
        <w:rPr>
          <w:sz w:val="20"/>
          <w:szCs w:val="20"/>
        </w:rPr>
        <w:t>pection by a given regulatory authority, such regulatory authority will determine that any of our clinical trials comply with GCP regulations.</w:t>
      </w:r>
    </w:p>
    <w:p w:rsidR="00000000" w:rsidRDefault="00F22B2C">
      <w:pPr>
        <w:pStyle w:val="a3"/>
        <w:spacing w:before="0" w:beforeAutospacing="0" w:after="200" w:afterAutospacing="0"/>
        <w:ind w:firstLine="547"/>
        <w:divId w:val="143010727"/>
        <w:rPr>
          <w:sz w:val="20"/>
          <w:szCs w:val="20"/>
        </w:rPr>
      </w:pPr>
      <w:r>
        <w:rPr>
          <w:sz w:val="20"/>
          <w:szCs w:val="20"/>
        </w:rPr>
        <w:t xml:space="preserve">In addition, we will be required to report certain financial interests of our third-party investigators if these </w:t>
      </w:r>
      <w:r>
        <w:rPr>
          <w:sz w:val="20"/>
          <w:szCs w:val="20"/>
        </w:rPr>
        <w:t>relationships exceed certain financial thresholds or meet other criteria. The FDA or comparable foreign regulatory authorities may question the integrity of the data from those clinical trials conducted by investigators that are determined to have conflict</w:t>
      </w:r>
      <w:r>
        <w:rPr>
          <w:sz w:val="20"/>
          <w:szCs w:val="20"/>
        </w:rPr>
        <w:t>s of interest.</w:t>
      </w:r>
    </w:p>
    <w:p w:rsidR="00000000" w:rsidRDefault="00F22B2C">
      <w:pPr>
        <w:pStyle w:val="a3"/>
        <w:spacing w:before="0" w:beforeAutospacing="0" w:after="200" w:afterAutospacing="0"/>
        <w:ind w:firstLine="547"/>
        <w:divId w:val="143010727"/>
        <w:rPr>
          <w:sz w:val="20"/>
          <w:szCs w:val="20"/>
        </w:rPr>
      </w:pPr>
      <w:r>
        <w:rPr>
          <w:sz w:val="20"/>
          <w:szCs w:val="20"/>
        </w:rPr>
        <w:t>In addition, our clinical trials must be conducted with product candidates that were produced under cGMP regulations. Our failure to comply or our CMOs’ failure to comply with these regulations may require us to repeat clinical trials, which</w:t>
      </w:r>
      <w:r>
        <w:rPr>
          <w:sz w:val="20"/>
          <w:szCs w:val="20"/>
        </w:rPr>
        <w:t xml:space="preserve"> would delay the regulatory approval process. We also are required to register certain clinical trials and post the results of certain completed clinical trials on a government sponsored database, ClinicalTrials.gov, within specified timeframes. Failure to</w:t>
      </w:r>
      <w:r>
        <w:rPr>
          <w:sz w:val="20"/>
          <w:szCs w:val="20"/>
        </w:rPr>
        <w:t xml:space="preserve"> do so could result in enforcement actions and adverse publicity.</w:t>
      </w:r>
    </w:p>
    <w:p w:rsidR="00000000" w:rsidRDefault="00F22B2C">
      <w:pPr>
        <w:pStyle w:val="a3"/>
        <w:spacing w:before="0" w:beforeAutospacing="0" w:after="200" w:afterAutospacing="0"/>
        <w:ind w:firstLine="547"/>
        <w:divId w:val="143010727"/>
        <w:rPr>
          <w:sz w:val="20"/>
          <w:szCs w:val="20"/>
        </w:rPr>
      </w:pPr>
      <w:r>
        <w:rPr>
          <w:sz w:val="20"/>
          <w:szCs w:val="20"/>
        </w:rPr>
        <w:t>Our CROs, clinical trial sites, and other third parties may also have relationships with other entities, some of which may be our competitors, for whom they may also be conducting clinical t</w:t>
      </w:r>
      <w:r>
        <w:rPr>
          <w:sz w:val="20"/>
          <w:szCs w:val="20"/>
        </w:rPr>
        <w:t>rials or other therapeutic development activities that could harm our competitive position. In addition, these third parties are not our employees, and except for remedies available to us under our agreements with them, we cannot control whether or not the</w:t>
      </w:r>
      <w:r>
        <w:rPr>
          <w:sz w:val="20"/>
          <w:szCs w:val="20"/>
        </w:rPr>
        <w:t>y devote sufficient time and resources to our ongoing clinical, non-clinical, and preclinical programs. If these third parties do not successfully carry out their contractual duties, meet expected deadlines or conduct our clinical trials in accordance with</w:t>
      </w:r>
      <w:r>
        <w:rPr>
          <w:sz w:val="20"/>
          <w:szCs w:val="20"/>
        </w:rPr>
        <w:t xml:space="preserve"> regulatory requirements or our stated protocols, if they need to be replaced or if the quality or accuracy of the data they obtain is compromised due to the failure to adhere to our protocols, regulatory requirements or for other reasons, our trials may b</w:t>
      </w:r>
      <w:r>
        <w:rPr>
          <w:sz w:val="20"/>
          <w:szCs w:val="20"/>
        </w:rPr>
        <w:t>e repeated, extended, delayed, or terminated and we may not be able to obtain, or may be delayed in obtaining, marketing approvals for our product candidates and will not be able to, or may be delayed in our efforts to, successfully commercialize our produ</w:t>
      </w:r>
      <w:r>
        <w:rPr>
          <w:sz w:val="20"/>
          <w:szCs w:val="20"/>
        </w:rPr>
        <w:t>ct candidates, or we or they may be subject to regulatory enforcement actions. As a result, our results of operations and the commercial prospects for our product candidates would be harmed, our costs could increase and our ability to generate revenues cou</w:t>
      </w:r>
      <w:r>
        <w:rPr>
          <w:sz w:val="20"/>
          <w:szCs w:val="20"/>
        </w:rPr>
        <w:t>ld be delayed. To the extent we are unable to successfully identify and manage the performance of third party service providers in the future, our business may be materially and adversely affected.</w:t>
      </w:r>
    </w:p>
    <w:p w:rsidR="00000000" w:rsidRDefault="00F22B2C">
      <w:pPr>
        <w:pStyle w:val="a3"/>
        <w:spacing w:before="0" w:beforeAutospacing="0" w:after="0" w:afterAutospacing="0"/>
        <w:ind w:firstLine="547"/>
        <w:divId w:val="143010727"/>
        <w:rPr>
          <w:sz w:val="20"/>
          <w:szCs w:val="20"/>
        </w:rPr>
      </w:pPr>
      <w:r>
        <w:rPr>
          <w:sz w:val="20"/>
          <w:szCs w:val="20"/>
        </w:rPr>
        <w:t>If any of our relationships with these third parties termi</w:t>
      </w:r>
      <w:r>
        <w:rPr>
          <w:sz w:val="20"/>
          <w:szCs w:val="20"/>
        </w:rPr>
        <w:t>nate, we may not be able to enter into alternative arrangements or do so on commercially reasonable terms. Switching or adding additional contractors involves additional cost and requires management time and focus. In addition, there is a natural transitio</w:t>
      </w:r>
      <w:r>
        <w:rPr>
          <w:sz w:val="20"/>
          <w:szCs w:val="20"/>
        </w:rPr>
        <w:t>n period when a new third party commences work. As a result, delays could occur, which could compromise our ability to meet our desired development timelines. Though we carefully manage our relationships with our third-party service providers, there can be</w:t>
      </w:r>
      <w:r>
        <w:rPr>
          <w:sz w:val="20"/>
          <w:szCs w:val="20"/>
        </w:rPr>
        <w:t xml:space="preserve"> no assurance that we will not encounter similar challenges or delays in the future or that </w:t>
      </w:r>
    </w:p>
    <w:p w:rsidR="00000000" w:rsidRDefault="00F22B2C">
      <w:pPr>
        <w:pStyle w:val="a3"/>
        <w:spacing w:before="480" w:beforeAutospacing="0" w:after="0" w:afterAutospacing="0"/>
        <w:jc w:val="center"/>
        <w:divId w:val="1072384868"/>
        <w:rPr>
          <w:sz w:val="20"/>
          <w:szCs w:val="20"/>
        </w:rPr>
      </w:pPr>
      <w:r>
        <w:rPr>
          <w:sz w:val="20"/>
          <w:szCs w:val="20"/>
        </w:rPr>
        <w:t>43</w:t>
      </w:r>
    </w:p>
    <w:p w:rsidR="00000000" w:rsidRDefault="00F22B2C">
      <w:pPr>
        <w:pStyle w:val="a3"/>
        <w:spacing w:before="0" w:beforeAutospacing="0" w:after="600" w:afterAutospacing="0"/>
        <w:divId w:val="1865752034"/>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928465189"/>
        <w:rPr>
          <w:sz w:val="20"/>
          <w:szCs w:val="20"/>
        </w:rPr>
      </w:pPr>
      <w:r>
        <w:rPr>
          <w:sz w:val="20"/>
          <w:szCs w:val="20"/>
        </w:rPr>
        <w:t>these delays or challenges will not have a material adverse impact on our business, financial condition and prospect</w:t>
      </w:r>
      <w:r>
        <w:rPr>
          <w:sz w:val="20"/>
          <w:szCs w:val="20"/>
        </w:rPr>
        <w:t>s or results of operations.</w:t>
      </w:r>
    </w:p>
    <w:p w:rsidR="00000000" w:rsidRDefault="00F22B2C">
      <w:pPr>
        <w:pStyle w:val="a3"/>
        <w:spacing w:before="0" w:beforeAutospacing="0" w:after="200" w:afterAutospacing="0"/>
        <w:ind w:firstLine="547"/>
        <w:divId w:val="928465189"/>
        <w:rPr>
          <w:sz w:val="20"/>
          <w:szCs w:val="20"/>
        </w:rPr>
      </w:pPr>
      <w:r>
        <w:rPr>
          <w:sz w:val="20"/>
          <w:szCs w:val="20"/>
        </w:rPr>
        <w:t xml:space="preserve">We also rely on other third parties to manufacture and ship our products for the clinical trials that we conduct. Any performance failure on the part of these third parties could delay clinical development or marketing approval </w:t>
      </w:r>
      <w:r>
        <w:rPr>
          <w:sz w:val="20"/>
          <w:szCs w:val="20"/>
        </w:rPr>
        <w:t>of our product candidates or any additional product candidates or commercialization of our product candidates, if approved, producing additional losses and depriving us of potential product revenue.</w:t>
      </w:r>
    </w:p>
    <w:p w:rsidR="00000000" w:rsidRDefault="00F22B2C">
      <w:pPr>
        <w:pStyle w:val="a3"/>
        <w:spacing w:before="0" w:beforeAutospacing="0" w:after="200" w:afterAutospacing="0"/>
        <w:ind w:firstLine="547"/>
        <w:divId w:val="928465189"/>
        <w:rPr>
          <w:sz w:val="20"/>
          <w:szCs w:val="20"/>
        </w:rPr>
      </w:pPr>
      <w:r>
        <w:rPr>
          <w:b/>
          <w:bCs/>
          <w:i/>
          <w:iCs/>
          <w:sz w:val="20"/>
          <w:szCs w:val="20"/>
        </w:rPr>
        <w:t>We may encounter substantial delays in our clinical trial</w:t>
      </w:r>
      <w:r>
        <w:rPr>
          <w:b/>
          <w:bCs/>
          <w:i/>
          <w:iCs/>
          <w:sz w:val="20"/>
          <w:szCs w:val="20"/>
        </w:rPr>
        <w:t>s or may not be able to conduct our trials on the timelines we expect and we may be required to conduct additional clinical trials or modify current or future clinical trials based on feedback we receive from the FDA.</w:t>
      </w:r>
    </w:p>
    <w:p w:rsidR="00000000" w:rsidRDefault="00F22B2C">
      <w:pPr>
        <w:pStyle w:val="a3"/>
        <w:spacing w:before="0" w:beforeAutospacing="0" w:after="200" w:afterAutospacing="0"/>
        <w:ind w:firstLine="547"/>
        <w:divId w:val="928465189"/>
        <w:rPr>
          <w:sz w:val="20"/>
          <w:szCs w:val="20"/>
        </w:rPr>
      </w:pPr>
      <w:r>
        <w:rPr>
          <w:sz w:val="20"/>
          <w:szCs w:val="20"/>
        </w:rPr>
        <w:t>Clinical testing is expensive, time co</w:t>
      </w:r>
      <w:r>
        <w:rPr>
          <w:sz w:val="20"/>
          <w:szCs w:val="20"/>
        </w:rPr>
        <w:t>nsuming, and subject to uncertainty. We cannot guarantee that any current or future clinical studies will be conducted as planned or completed on schedule, if at all, or that any of our product candidates will receive regulatory approval. We initiated clin</w:t>
      </w:r>
      <w:r>
        <w:rPr>
          <w:sz w:val="20"/>
          <w:szCs w:val="20"/>
        </w:rPr>
        <w:t>ical trials in patients with metastatic melanoma, cervical, head and neck and non-small cell lung cancers, and in other indications in collaboration with third parties. We have completed enrollment in the pivotal clinical trial for melanoma, C-144-01. In M</w:t>
      </w:r>
      <w:r>
        <w:rPr>
          <w:sz w:val="20"/>
          <w:szCs w:val="20"/>
        </w:rPr>
        <w:t>ay 2020, we disclosed interim results for Cohort 4 of the C-144-01 clinical trial. The interim results speak only to data available as of March 16, 2020, and although such data have been reviewed by the investigators, they have not been reviewed by an IRC.</w:t>
      </w:r>
      <w:r>
        <w:rPr>
          <w:sz w:val="20"/>
          <w:szCs w:val="20"/>
        </w:rPr>
        <w:t xml:space="preserve"> In addition, differences in patient population may affect the clinical results of Cohort 4 as compared to Cohort 2. We plan to initiate trials in new indications, and new cohorts in existing trials. Even as these trials progress, issues may arise that cou</w:t>
      </w:r>
      <w:r>
        <w:rPr>
          <w:sz w:val="20"/>
          <w:szCs w:val="20"/>
        </w:rPr>
        <w:t>ld require us to suspend or terminate such clinical trials or could cause the results of one cohort to differ from a prior cohort. For example, we may experience slower than anticipated enrollment in our pivotal clinical trials, which may consequently dela</w:t>
      </w:r>
      <w:r>
        <w:rPr>
          <w:sz w:val="20"/>
          <w:szCs w:val="20"/>
        </w:rPr>
        <w:t>y our BLA filing timelines or permit competitors to obtain approvals that may alter our BLA filing strategy. A failure of one or more clinical studies can occur at any stage of testing, and our future clinical studies may not be successful. Events that may</w:t>
      </w:r>
      <w:r>
        <w:rPr>
          <w:sz w:val="20"/>
          <w:szCs w:val="20"/>
        </w:rPr>
        <w:t xml:space="preserve"> prevent successful or timely initiation or completion of clinical development, or product approval include:</w:t>
      </w:r>
    </w:p>
    <w:p w:rsidR="00000000" w:rsidRDefault="00F22B2C">
      <w:pPr>
        <w:ind w:left="547" w:hanging="360"/>
        <w:divId w:val="1711806399"/>
        <w:rPr>
          <w:rFonts w:eastAsia="Times New Roman"/>
          <w:sz w:val="20"/>
          <w:szCs w:val="20"/>
        </w:rPr>
      </w:pPr>
      <w:r>
        <w:rPr>
          <w:rFonts w:eastAsia="Times New Roman"/>
          <w:sz w:val="20"/>
          <w:szCs w:val="20"/>
        </w:rPr>
        <w:t>●</w:t>
      </w:r>
      <w:r>
        <w:rPr>
          <w:rFonts w:eastAsia="Times New Roman"/>
          <w:sz w:val="20"/>
          <w:szCs w:val="20"/>
        </w:rPr>
        <w:t>regulators or IRBs may not authorize us or our investigators to commence a clinical trial, conduct a clinical trial at a prospective trial site, o</w:t>
      </w:r>
      <w:r>
        <w:rPr>
          <w:rFonts w:eastAsia="Times New Roman"/>
          <w:sz w:val="20"/>
          <w:szCs w:val="20"/>
        </w:rPr>
        <w:t>r amend trial protocols, or regulators or IRBs may require that we modify or amend our clinical trial protocols;</w:t>
      </w:r>
    </w:p>
    <w:p w:rsidR="00000000" w:rsidRDefault="00F22B2C">
      <w:pPr>
        <w:ind w:left="547" w:hanging="360"/>
        <w:divId w:val="2097283284"/>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regulatory agencies on study design;</w:t>
      </w:r>
    </w:p>
    <w:p w:rsidR="00000000" w:rsidRDefault="00F22B2C">
      <w:pPr>
        <w:ind w:left="547" w:hanging="360"/>
        <w:divId w:val="1338655603"/>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disagree with our intended indications, study design or our interpretation of data from prec</w:t>
      </w:r>
      <w:r>
        <w:rPr>
          <w:rFonts w:eastAsia="Times New Roman"/>
          <w:sz w:val="20"/>
          <w:szCs w:val="20"/>
        </w:rPr>
        <w:t>linical studies and clinical trials or find that a product candidate’s benefits do not outweigh its safety risks;</w:t>
      </w:r>
    </w:p>
    <w:p w:rsidR="00000000" w:rsidRDefault="00F22B2C">
      <w:pPr>
        <w:ind w:left="547" w:hanging="360"/>
        <w:divId w:val="881551486"/>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 accept data from studies with clinical trial sites in foreign countries;</w:t>
      </w:r>
    </w:p>
    <w:p w:rsidR="00000000" w:rsidRDefault="00F22B2C">
      <w:pPr>
        <w:ind w:left="547" w:hanging="360"/>
        <w:divId w:val="1675574648"/>
        <w:rPr>
          <w:rFonts w:eastAsia="Times New Roman"/>
          <w:sz w:val="20"/>
          <w:szCs w:val="20"/>
        </w:rPr>
      </w:pPr>
      <w:r>
        <w:rPr>
          <w:rFonts w:eastAsia="Times New Roman"/>
          <w:sz w:val="20"/>
          <w:szCs w:val="20"/>
        </w:rPr>
        <w:t>●</w:t>
      </w:r>
      <w:r>
        <w:rPr>
          <w:rFonts w:eastAsia="Times New Roman"/>
          <w:sz w:val="20"/>
          <w:szCs w:val="20"/>
        </w:rPr>
        <w:t>the FD</w:t>
      </w:r>
      <w:r>
        <w:rPr>
          <w:rFonts w:eastAsia="Times New Roman"/>
          <w:sz w:val="20"/>
          <w:szCs w:val="20"/>
        </w:rPr>
        <w:t>A may not allow us to use the clinical trial data from a research institution to support an IND if we cannot demonstrate the comparability of our product candidates with the product candidate used by the relevant research institution in its clinical studie</w:t>
      </w:r>
      <w:r>
        <w:rPr>
          <w:rFonts w:eastAsia="Times New Roman"/>
          <w:sz w:val="20"/>
          <w:szCs w:val="20"/>
        </w:rPr>
        <w:t>s;</w:t>
      </w:r>
    </w:p>
    <w:p w:rsidR="00000000" w:rsidRDefault="00F22B2C">
      <w:pPr>
        <w:ind w:left="547" w:hanging="360"/>
        <w:divId w:val="1311902691"/>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with prospective CROs and clinical study sites, the terms of which can be subject to extensive negotiation and may vary significantly among different CROs and clinical study sites;</w:t>
      </w:r>
    </w:p>
    <w:p w:rsidR="00000000" w:rsidRDefault="00F22B2C">
      <w:pPr>
        <w:ind w:left="547" w:hanging="360"/>
        <w:divId w:val="264458079"/>
        <w:rPr>
          <w:rFonts w:eastAsia="Times New Roman"/>
          <w:sz w:val="20"/>
          <w:szCs w:val="20"/>
        </w:rPr>
      </w:pPr>
      <w:r>
        <w:rPr>
          <w:rFonts w:eastAsia="Times New Roman"/>
          <w:sz w:val="20"/>
          <w:szCs w:val="20"/>
        </w:rPr>
        <w:t>●</w:t>
      </w:r>
      <w:r>
        <w:rPr>
          <w:rFonts w:eastAsia="Times New Roman"/>
          <w:sz w:val="20"/>
          <w:szCs w:val="20"/>
        </w:rPr>
        <w:t xml:space="preserve">delays </w:t>
      </w:r>
      <w:r>
        <w:rPr>
          <w:rFonts w:eastAsia="Times New Roman"/>
          <w:sz w:val="20"/>
          <w:szCs w:val="20"/>
        </w:rPr>
        <w:t>in obtaining required IRB approval at each clinical study site;</w:t>
      </w:r>
    </w:p>
    <w:p w:rsidR="00000000" w:rsidRDefault="00F22B2C">
      <w:pPr>
        <w:ind w:left="547" w:hanging="360"/>
        <w:divId w:val="2125537617"/>
        <w:rPr>
          <w:rFonts w:eastAsia="Times New Roman"/>
          <w:sz w:val="20"/>
          <w:szCs w:val="20"/>
        </w:rPr>
      </w:pPr>
      <w:r>
        <w:rPr>
          <w:rFonts w:eastAsia="Times New Roman"/>
          <w:sz w:val="20"/>
          <w:szCs w:val="20"/>
        </w:rPr>
        <w:t>●</w:t>
      </w:r>
      <w:r>
        <w:rPr>
          <w:rFonts w:eastAsia="Times New Roman"/>
          <w:sz w:val="20"/>
          <w:szCs w:val="20"/>
        </w:rPr>
        <w:t>imposition of a temporary or permanent clinical hold, suspensions or terminations by regulatory agencies, IRBs, or us for various reasons, including noncompliance with regulatory requirements</w:t>
      </w:r>
      <w:r>
        <w:rPr>
          <w:rFonts w:eastAsia="Times New Roman"/>
          <w:sz w:val="20"/>
          <w:szCs w:val="20"/>
        </w:rPr>
        <w:t xml:space="preserve"> or a finding that the participants are being exposed to unacceptable health risks, undesirable side effects, or other unexpected characteristics of the product candidate, or due to findings of undesirable effects caused by a biologically or mechanisticall</w:t>
      </w:r>
      <w:r>
        <w:rPr>
          <w:rFonts w:eastAsia="Times New Roman"/>
          <w:sz w:val="20"/>
          <w:szCs w:val="20"/>
        </w:rPr>
        <w:t>y similar therapeutic or therapeutic candidate;</w:t>
      </w:r>
    </w:p>
    <w:p w:rsidR="00000000" w:rsidRDefault="00F22B2C">
      <w:pPr>
        <w:ind w:left="547" w:hanging="360"/>
        <w:divId w:val="630865611"/>
        <w:rPr>
          <w:rFonts w:eastAsia="Times New Roman"/>
          <w:sz w:val="20"/>
          <w:szCs w:val="20"/>
        </w:rPr>
      </w:pPr>
      <w:r>
        <w:rPr>
          <w:rFonts w:eastAsia="Times New Roman"/>
          <w:sz w:val="20"/>
          <w:szCs w:val="20"/>
        </w:rPr>
        <w:t>●</w:t>
      </w:r>
      <w:r>
        <w:rPr>
          <w:rFonts w:eastAsia="Times New Roman"/>
          <w:sz w:val="20"/>
          <w:szCs w:val="20"/>
        </w:rPr>
        <w:t>delays in recruiting suitable patients to participate in our clinical studies;</w:t>
      </w:r>
    </w:p>
    <w:p w:rsidR="00000000" w:rsidRDefault="00F22B2C">
      <w:pPr>
        <w:ind w:left="547" w:hanging="360"/>
        <w:divId w:val="2073262185"/>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clinical trial sites from a study;</w:t>
      </w:r>
    </w:p>
    <w:p w:rsidR="00000000" w:rsidRDefault="00F22B2C">
      <w:pPr>
        <w:ind w:left="547" w:hanging="360"/>
        <w:divId w:val="2041474235"/>
        <w:rPr>
          <w:rFonts w:eastAsia="Times New Roman"/>
          <w:sz w:val="20"/>
          <w:szCs w:val="20"/>
        </w:rPr>
      </w:pPr>
      <w:r>
        <w:rPr>
          <w:rFonts w:eastAsia="Times New Roman"/>
          <w:sz w:val="20"/>
          <w:szCs w:val="20"/>
        </w:rPr>
        <w:t>●</w:t>
      </w:r>
      <w:r>
        <w:rPr>
          <w:rFonts w:eastAsia="Times New Roman"/>
          <w:sz w:val="20"/>
          <w:szCs w:val="20"/>
        </w:rPr>
        <w:t>delay or change</w:t>
      </w:r>
      <w:r>
        <w:rPr>
          <w:rFonts w:eastAsia="Times New Roman"/>
          <w:sz w:val="20"/>
          <w:szCs w:val="20"/>
        </w:rPr>
        <w:t xml:space="preserve"> in strategic direction for an indication resulting from differences in results between cohorts in a clinical trial, such as Cohort 2 and Cohort 4 of the C-144-01 clinical trial or the previously disclosed preliminary results for the C-145-04 trial and the</w:t>
      </w:r>
      <w:r>
        <w:rPr>
          <w:rFonts w:eastAsia="Times New Roman"/>
          <w:sz w:val="20"/>
          <w:szCs w:val="20"/>
        </w:rPr>
        <w:t xml:space="preserve"> final patient population and results, including differences in patient population, such as differences that might arise due to the impact of the existing immunotherapy treatment landscape, or from different interpretations of investigator results by IRC;</w:t>
      </w:r>
    </w:p>
    <w:p w:rsidR="00000000" w:rsidRDefault="00F22B2C">
      <w:pPr>
        <w:ind w:left="547" w:hanging="360"/>
        <w:divId w:val="2033798527"/>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 parties, or us to adhere to clinical study requirements, including regulatory, contractual or protocol requirements;</w:t>
      </w:r>
    </w:p>
    <w:p w:rsidR="00000000" w:rsidRDefault="00F22B2C">
      <w:pPr>
        <w:ind w:left="547" w:hanging="360"/>
        <w:divId w:val="543834818"/>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 or</w:t>
      </w:r>
      <w:r>
        <w:rPr>
          <w:rFonts w:eastAsia="Times New Roman"/>
          <w:sz w:val="20"/>
          <w:szCs w:val="20"/>
        </w:rPr>
        <w:t xml:space="preserve"> applicable regulatory guidelines in other countries;</w:t>
      </w:r>
    </w:p>
    <w:p w:rsidR="00000000" w:rsidRDefault="00F22B2C">
      <w:pPr>
        <w:pStyle w:val="a3"/>
        <w:spacing w:before="480" w:beforeAutospacing="0" w:after="0" w:afterAutospacing="0"/>
        <w:jc w:val="center"/>
        <w:divId w:val="1149785644"/>
        <w:rPr>
          <w:sz w:val="20"/>
          <w:szCs w:val="20"/>
        </w:rPr>
      </w:pPr>
      <w:r>
        <w:rPr>
          <w:sz w:val="20"/>
          <w:szCs w:val="20"/>
        </w:rPr>
        <w:t>44</w:t>
      </w:r>
    </w:p>
    <w:p w:rsidR="00000000" w:rsidRDefault="00F22B2C">
      <w:pPr>
        <w:pStyle w:val="a3"/>
        <w:spacing w:before="0" w:beforeAutospacing="0" w:after="600" w:afterAutospacing="0"/>
        <w:divId w:val="636186439"/>
        <w:rPr>
          <w:sz w:val="20"/>
          <w:szCs w:val="20"/>
        </w:rPr>
      </w:pPr>
      <w:hyperlink w:anchor="TOC" w:history="1">
        <w:r>
          <w:rPr>
            <w:rStyle w:val="a4"/>
            <w:sz w:val="20"/>
            <w:szCs w:val="20"/>
          </w:rPr>
          <w:t>Table of Contents</w:t>
        </w:r>
      </w:hyperlink>
    </w:p>
    <w:p w:rsidR="00000000" w:rsidRDefault="00F22B2C">
      <w:pPr>
        <w:ind w:left="547" w:hanging="360"/>
        <w:divId w:val="608585157"/>
        <w:rPr>
          <w:rFonts w:eastAsia="Times New Roman"/>
          <w:sz w:val="20"/>
          <w:szCs w:val="20"/>
        </w:rPr>
      </w:pPr>
      <w:r>
        <w:rPr>
          <w:rFonts w:eastAsia="Times New Roman"/>
          <w:sz w:val="20"/>
          <w:szCs w:val="20"/>
        </w:rPr>
        <w:t>●</w:t>
      </w:r>
      <w:r>
        <w:rPr>
          <w:rFonts w:eastAsia="Times New Roman"/>
          <w:sz w:val="20"/>
          <w:szCs w:val="20"/>
        </w:rPr>
        <w:t xml:space="preserve">the number of patients required for clinical trials of our product candidates may be larger than we anticipate or enrollment in these clinical trials may </w:t>
      </w:r>
      <w:r>
        <w:rPr>
          <w:rFonts w:eastAsia="Times New Roman"/>
          <w:sz w:val="20"/>
          <w:szCs w:val="20"/>
        </w:rPr>
        <w:t>be slower than we anticipate, potentially affecting our timelines for approval of our product candidates;</w:t>
      </w:r>
    </w:p>
    <w:p w:rsidR="00000000" w:rsidRDefault="00F22B2C">
      <w:pPr>
        <w:ind w:left="547" w:hanging="360"/>
        <w:divId w:val="819228398"/>
        <w:rPr>
          <w:rFonts w:eastAsia="Times New Roman"/>
          <w:sz w:val="20"/>
          <w:szCs w:val="20"/>
        </w:rPr>
      </w:pPr>
      <w:r>
        <w:rPr>
          <w:rFonts w:eastAsia="Times New Roman"/>
          <w:sz w:val="20"/>
          <w:szCs w:val="20"/>
        </w:rPr>
        <w:t>●</w:t>
      </w:r>
      <w:r>
        <w:rPr>
          <w:rFonts w:eastAsia="Times New Roman"/>
          <w:sz w:val="20"/>
          <w:szCs w:val="20"/>
        </w:rPr>
        <w:t>patients that enroll in our studies may misrepresent their eligibility or may otherwise not comply with the clinical trial protocol, resulting in the</w:t>
      </w:r>
      <w:r>
        <w:rPr>
          <w:rFonts w:eastAsia="Times New Roman"/>
          <w:sz w:val="20"/>
          <w:szCs w:val="20"/>
        </w:rPr>
        <w:t xml:space="preserve"> need to drop such patients from the study or clinical trial, increase the needed enrollment size for the study or clinical trial or extend the study’s or clinical trial’s duration;</w:t>
      </w:r>
    </w:p>
    <w:p w:rsidR="00000000" w:rsidRDefault="00F22B2C">
      <w:pPr>
        <w:ind w:left="547" w:hanging="360"/>
        <w:divId w:val="1481267477"/>
        <w:rPr>
          <w:rFonts w:eastAsia="Times New Roman"/>
          <w:sz w:val="20"/>
          <w:szCs w:val="20"/>
        </w:rPr>
      </w:pPr>
      <w:r>
        <w:rPr>
          <w:rFonts w:eastAsia="Times New Roman"/>
          <w:sz w:val="20"/>
          <w:szCs w:val="20"/>
        </w:rPr>
        <w:t>●</w:t>
      </w:r>
      <w:r>
        <w:rPr>
          <w:rFonts w:eastAsia="Times New Roman"/>
          <w:sz w:val="20"/>
          <w:szCs w:val="20"/>
        </w:rPr>
        <w:t>patients dropping out of a study;</w:t>
      </w:r>
    </w:p>
    <w:p w:rsidR="00000000" w:rsidRDefault="00F22B2C">
      <w:pPr>
        <w:ind w:left="547" w:hanging="360"/>
        <w:divId w:val="176894507"/>
        <w:rPr>
          <w:rFonts w:eastAsia="Times New Roman"/>
          <w:sz w:val="20"/>
          <w:szCs w:val="20"/>
        </w:rPr>
      </w:pPr>
      <w:r>
        <w:rPr>
          <w:rFonts w:eastAsia="Times New Roman"/>
          <w:sz w:val="20"/>
          <w:szCs w:val="20"/>
        </w:rPr>
        <w:t>●</w:t>
      </w:r>
      <w:r>
        <w:rPr>
          <w:rFonts w:eastAsia="Times New Roman"/>
          <w:sz w:val="20"/>
          <w:szCs w:val="20"/>
        </w:rPr>
        <w:t>occurrence of adverse events associate</w:t>
      </w:r>
      <w:r>
        <w:rPr>
          <w:rFonts w:eastAsia="Times New Roman"/>
          <w:sz w:val="20"/>
          <w:szCs w:val="20"/>
        </w:rPr>
        <w:t>d with the product candidate that are viewed to outweigh its potential benefits;</w:t>
      </w:r>
    </w:p>
    <w:p w:rsidR="00000000" w:rsidRDefault="00F22B2C">
      <w:pPr>
        <w:ind w:left="547" w:hanging="360"/>
        <w:divId w:val="970553516"/>
        <w:rPr>
          <w:rFonts w:eastAsia="Times New Roman"/>
          <w:sz w:val="20"/>
          <w:szCs w:val="20"/>
        </w:rPr>
      </w:pPr>
      <w:r>
        <w:rPr>
          <w:rFonts w:eastAsia="Times New Roman"/>
          <w:sz w:val="20"/>
          <w:szCs w:val="20"/>
        </w:rPr>
        <w:t>●</w:t>
      </w:r>
      <w:r>
        <w:rPr>
          <w:rFonts w:eastAsia="Times New Roman"/>
          <w:sz w:val="20"/>
          <w:szCs w:val="20"/>
        </w:rPr>
        <w:t>changes in regulatory requirements and guidance that require amending or submitting new clinical protocols to regulatory authorities and IRBs, and which may cause delays in o</w:t>
      </w:r>
      <w:r>
        <w:rPr>
          <w:rFonts w:eastAsia="Times New Roman"/>
          <w:sz w:val="20"/>
          <w:szCs w:val="20"/>
        </w:rPr>
        <w:t>ur development programs, or changes to regulatory review times;</w:t>
      </w:r>
    </w:p>
    <w:p w:rsidR="00000000" w:rsidRDefault="00F22B2C">
      <w:pPr>
        <w:ind w:left="547" w:hanging="360"/>
        <w:divId w:val="305596118"/>
        <w:rPr>
          <w:rFonts w:eastAsia="Times New Roman"/>
          <w:sz w:val="20"/>
          <w:szCs w:val="20"/>
        </w:rPr>
      </w:pPr>
      <w:r>
        <w:rPr>
          <w:rFonts w:eastAsia="Times New Roman"/>
          <w:sz w:val="20"/>
          <w:szCs w:val="20"/>
        </w:rPr>
        <w:t>●</w:t>
      </w:r>
      <w:r>
        <w:rPr>
          <w:rFonts w:eastAsia="Times New Roman"/>
          <w:sz w:val="20"/>
          <w:szCs w:val="20"/>
        </w:rPr>
        <w:t>there may be regulatory questions or disagreements regarding interpretations of data and results, or new information may emerge regarding our product candidates;</w:t>
      </w:r>
    </w:p>
    <w:p w:rsidR="00000000" w:rsidRDefault="00F22B2C">
      <w:pPr>
        <w:ind w:left="547" w:hanging="360"/>
        <w:divId w:val="1387529458"/>
        <w:rPr>
          <w:rFonts w:eastAsia="Times New Roman"/>
          <w:sz w:val="20"/>
          <w:szCs w:val="20"/>
        </w:rPr>
      </w:pPr>
      <w:r>
        <w:rPr>
          <w:rFonts w:eastAsia="Times New Roman"/>
          <w:sz w:val="20"/>
          <w:szCs w:val="20"/>
        </w:rPr>
        <w:t>●</w:t>
      </w:r>
      <w:r>
        <w:rPr>
          <w:rFonts w:eastAsia="Times New Roman"/>
          <w:sz w:val="20"/>
          <w:szCs w:val="20"/>
        </w:rPr>
        <w:t>changes in the standard of c</w:t>
      </w:r>
      <w:r>
        <w:rPr>
          <w:rFonts w:eastAsia="Times New Roman"/>
          <w:sz w:val="20"/>
          <w:szCs w:val="20"/>
        </w:rPr>
        <w:t>are on which a clinical development plan was based, which may require new or additional trials;</w:t>
      </w:r>
    </w:p>
    <w:p w:rsidR="00000000" w:rsidRDefault="00F22B2C">
      <w:pPr>
        <w:ind w:left="547" w:hanging="360"/>
        <w:divId w:val="1097091133"/>
        <w:rPr>
          <w:rFonts w:eastAsia="Times New Roman"/>
          <w:sz w:val="20"/>
          <w:szCs w:val="20"/>
        </w:rPr>
      </w:pPr>
      <w:r>
        <w:rPr>
          <w:rFonts w:eastAsia="Times New Roman"/>
          <w:sz w:val="20"/>
          <w:szCs w:val="20"/>
        </w:rPr>
        <w:t>●</w:t>
      </w:r>
      <w:r>
        <w:rPr>
          <w:rFonts w:eastAsia="Times New Roman"/>
          <w:sz w:val="20"/>
          <w:szCs w:val="20"/>
        </w:rPr>
        <w:t>the cost of clinical studies of our product candidates being greater than we anticipate, or we may have insufficient funds for a clinical trial or to pay the s</w:t>
      </w:r>
      <w:r>
        <w:rPr>
          <w:rFonts w:eastAsia="Times New Roman"/>
          <w:sz w:val="20"/>
          <w:szCs w:val="20"/>
        </w:rPr>
        <w:t>ubstantial user fees required by the FDA upon the filing of a BLA;</w:t>
      </w:r>
    </w:p>
    <w:p w:rsidR="00000000" w:rsidRDefault="00F22B2C">
      <w:pPr>
        <w:ind w:left="547" w:hanging="360"/>
        <w:divId w:val="1633318884"/>
        <w:rPr>
          <w:rFonts w:eastAsia="Times New Roman"/>
          <w:sz w:val="20"/>
          <w:szCs w:val="20"/>
        </w:rPr>
      </w:pPr>
      <w:r>
        <w:rPr>
          <w:rFonts w:eastAsia="Times New Roman"/>
          <w:sz w:val="20"/>
          <w:szCs w:val="20"/>
        </w:rPr>
        <w:t>●</w:t>
      </w:r>
      <w:r>
        <w:rPr>
          <w:rFonts w:eastAsia="Times New Roman"/>
          <w:sz w:val="20"/>
          <w:szCs w:val="20"/>
        </w:rPr>
        <w:t>clinical studies of our product candidates producing negative or inconclusive results may fail to provide sufficient data and information to support product approval, or our studies may fa</w:t>
      </w:r>
      <w:r>
        <w:rPr>
          <w:rFonts w:eastAsia="Times New Roman"/>
          <w:sz w:val="20"/>
          <w:szCs w:val="20"/>
        </w:rPr>
        <w:t>il to reach the necessary level of statistical or clinical significance, which may result in our deciding, or regulators requiring us, to conduct additional clinical studies, or preclinical studies, or abandon product development programs;</w:t>
      </w:r>
    </w:p>
    <w:p w:rsidR="00000000" w:rsidRDefault="00F22B2C">
      <w:pPr>
        <w:ind w:left="547" w:hanging="360"/>
        <w:divId w:val="432821217"/>
        <w:rPr>
          <w:rFonts w:eastAsia="Times New Roman"/>
          <w:sz w:val="20"/>
          <w:szCs w:val="20"/>
        </w:rPr>
      </w:pPr>
      <w:r>
        <w:rPr>
          <w:rFonts w:eastAsia="Times New Roman"/>
          <w:sz w:val="20"/>
          <w:szCs w:val="20"/>
        </w:rPr>
        <w:t>●</w:t>
      </w:r>
      <w:r>
        <w:rPr>
          <w:rFonts w:eastAsia="Times New Roman"/>
          <w:sz w:val="20"/>
          <w:szCs w:val="20"/>
        </w:rPr>
        <w:t>early results f</w:t>
      </w:r>
      <w:r>
        <w:rPr>
          <w:rFonts w:eastAsia="Times New Roman"/>
          <w:sz w:val="20"/>
          <w:szCs w:val="20"/>
        </w:rPr>
        <w:t>rom our clinical studies of our product candidates may be negatively affected by changes in efficacy measures such as overall response rate and duration of response as more patients are enrolled in our clinical trials or as new cohorts of our clinical tria</w:t>
      </w:r>
      <w:r>
        <w:rPr>
          <w:rFonts w:eastAsia="Times New Roman"/>
          <w:sz w:val="20"/>
          <w:szCs w:val="20"/>
        </w:rPr>
        <w:t>ls are tested, and overall response rate and duration of response may be negatively affected by the inclusion of unconfirmed responses in preliminary results that we report if such responses are not later confirmed;</w:t>
      </w:r>
    </w:p>
    <w:p w:rsidR="00000000" w:rsidRDefault="00F22B2C">
      <w:pPr>
        <w:ind w:left="547" w:hanging="360"/>
        <w:divId w:val="2086032010"/>
        <w:rPr>
          <w:rFonts w:eastAsia="Times New Roman"/>
          <w:sz w:val="20"/>
          <w:szCs w:val="20"/>
        </w:rPr>
      </w:pPr>
      <w:r>
        <w:rPr>
          <w:rFonts w:eastAsia="Times New Roman"/>
          <w:sz w:val="20"/>
          <w:szCs w:val="20"/>
        </w:rPr>
        <w:t>●</w:t>
      </w:r>
      <w:r>
        <w:rPr>
          <w:rFonts w:eastAsia="Times New Roman"/>
          <w:sz w:val="20"/>
          <w:szCs w:val="20"/>
        </w:rPr>
        <w:t xml:space="preserve">we may not be able to demonstrate that </w:t>
      </w:r>
      <w:r>
        <w:rPr>
          <w:rFonts w:eastAsia="Times New Roman"/>
          <w:sz w:val="20"/>
          <w:szCs w:val="20"/>
        </w:rPr>
        <w:t>a product candidate provides an advantage over current standards of care or current or future competitive therapies in development;</w:t>
      </w:r>
    </w:p>
    <w:p w:rsidR="00000000" w:rsidRDefault="00F22B2C">
      <w:pPr>
        <w:ind w:left="547" w:hanging="360"/>
        <w:divId w:val="411002946"/>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in combination with our prod</w:t>
      </w:r>
      <w:r>
        <w:rPr>
          <w:rFonts w:eastAsia="Times New Roman"/>
          <w:sz w:val="20"/>
          <w:szCs w:val="20"/>
        </w:rPr>
        <w:t>uct candidates</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8185189"/>
        </w:trPr>
        <w:tc>
          <w:tcPr>
            <w:tcW w:w="540" w:type="dxa"/>
            <w:vAlign w:val="center"/>
            <w:hideMark/>
          </w:tcPr>
          <w:p w:rsidR="00000000" w:rsidRDefault="00F22B2C">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delays in patient enrollment due to the ongoing COVID-19 pandemic;</w:t>
            </w:r>
          </w:p>
        </w:tc>
      </w:tr>
    </w:tbl>
    <w:p w:rsidR="00000000" w:rsidRDefault="00F22B2C">
      <w:pPr>
        <w:ind w:left="547" w:hanging="360"/>
        <w:divId w:val="1144470849"/>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fail to approve or subsequently find fault with the manufacturing processes or our manufacturing facilities for clinical and future commercial supplies;</w:t>
      </w:r>
    </w:p>
    <w:p w:rsidR="00000000" w:rsidRDefault="00F22B2C">
      <w:pPr>
        <w:ind w:left="547" w:hanging="360"/>
        <w:divId w:val="224804992"/>
        <w:rPr>
          <w:rFonts w:eastAsia="Times New Roman"/>
          <w:sz w:val="20"/>
          <w:szCs w:val="20"/>
        </w:rPr>
      </w:pPr>
      <w:r>
        <w:rPr>
          <w:rFonts w:eastAsia="Times New Roman"/>
          <w:sz w:val="20"/>
          <w:szCs w:val="20"/>
        </w:rPr>
        <w:t>●</w:t>
      </w:r>
      <w:r>
        <w:rPr>
          <w:rFonts w:eastAsia="Times New Roman"/>
          <w:sz w:val="20"/>
          <w:szCs w:val="20"/>
        </w:rPr>
        <w:t xml:space="preserve">the FDA or comparable regulatory authorities </w:t>
      </w:r>
      <w:r>
        <w:rPr>
          <w:rFonts w:eastAsia="Times New Roman"/>
          <w:sz w:val="20"/>
          <w:szCs w:val="20"/>
        </w:rPr>
        <w:t>may take longer than we anticipate making a decision on our product candidates;</w:t>
      </w:r>
    </w:p>
    <w:p w:rsidR="00000000" w:rsidRDefault="00F22B2C">
      <w:pPr>
        <w:ind w:left="547" w:hanging="360"/>
        <w:divId w:val="163784370"/>
        <w:rPr>
          <w:rFonts w:eastAsia="Times New Roman"/>
          <w:sz w:val="20"/>
          <w:szCs w:val="20"/>
        </w:rPr>
      </w:pPr>
      <w:r>
        <w:rPr>
          <w:rFonts w:eastAsia="Times New Roman"/>
          <w:sz w:val="20"/>
          <w:szCs w:val="20"/>
        </w:rPr>
        <w:t>●</w:t>
      </w:r>
      <w:r>
        <w:rPr>
          <w:rFonts w:eastAsia="Times New Roman"/>
          <w:sz w:val="20"/>
          <w:szCs w:val="20"/>
        </w:rPr>
        <w:t>transfer of our manufacturing processes to our CMOs or other larger-scale facilities operated by a CMO or by us and delays or failure by our CMOs or us to make any necessary c</w:t>
      </w:r>
      <w:r>
        <w:rPr>
          <w:rFonts w:eastAsia="Times New Roman"/>
          <w:sz w:val="20"/>
          <w:szCs w:val="20"/>
        </w:rPr>
        <w:t>hanges to such manufacturing process;</w:t>
      </w:r>
    </w:p>
    <w:p w:rsidR="00000000" w:rsidRDefault="00F22B2C">
      <w:pPr>
        <w:ind w:left="547" w:hanging="360"/>
        <w:divId w:val="2134015424"/>
        <w:rPr>
          <w:rFonts w:eastAsia="Times New Roman"/>
          <w:sz w:val="20"/>
          <w:szCs w:val="20"/>
        </w:rPr>
      </w:pPr>
      <w:r>
        <w:rPr>
          <w:rFonts w:eastAsia="Times New Roman"/>
          <w:sz w:val="20"/>
          <w:szCs w:val="20"/>
        </w:rPr>
        <w:t>●</w:t>
      </w:r>
      <w:r>
        <w:rPr>
          <w:rFonts w:eastAsia="Times New Roman"/>
          <w:sz w:val="20"/>
          <w:szCs w:val="20"/>
        </w:rPr>
        <w:t xml:space="preserve">our use of different manufacturing processes within our clinical trials, including our Gen 1 and Gen 2 manufacturing processes, and any effects that may result from the use of different processes on the clinical data </w:t>
      </w:r>
      <w:r>
        <w:rPr>
          <w:rFonts w:eastAsia="Times New Roman"/>
          <w:sz w:val="20"/>
          <w:szCs w:val="20"/>
        </w:rPr>
        <w:t>that we have reported and will report in the future; and</w:t>
      </w:r>
    </w:p>
    <w:p w:rsidR="00000000" w:rsidRDefault="00F22B2C">
      <w:pPr>
        <w:ind w:left="547" w:hanging="360"/>
        <w:divId w:val="1497070851"/>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importing/exporting sufficient stable quantities of our product candidates for use in clinical studies or the inability to do any of the f</w:t>
      </w:r>
      <w:r>
        <w:rPr>
          <w:rFonts w:eastAsia="Times New Roman"/>
          <w:sz w:val="20"/>
          <w:szCs w:val="20"/>
        </w:rPr>
        <w:t>oregoing, including as a result of any quality issues associated with the contract manufacturer.</w:t>
      </w:r>
    </w:p>
    <w:p w:rsidR="00000000" w:rsidRDefault="00F22B2C">
      <w:pPr>
        <w:pStyle w:val="a3"/>
        <w:spacing w:before="0" w:beforeAutospacing="0" w:after="200" w:afterAutospacing="0"/>
        <w:ind w:firstLine="547"/>
        <w:divId w:val="188185189"/>
        <w:rPr>
          <w:sz w:val="20"/>
          <w:szCs w:val="20"/>
        </w:rPr>
      </w:pPr>
      <w:r>
        <w:rPr>
          <w:sz w:val="20"/>
          <w:szCs w:val="20"/>
        </w:rPr>
        <w:t>We also may conduct clinical and preclinical research in collaboration with other academic, pharmaceutical, biotechnology and biologics entities in which we co</w:t>
      </w:r>
      <w:r>
        <w:rPr>
          <w:sz w:val="20"/>
          <w:szCs w:val="20"/>
        </w:rPr>
        <w:t>mbine our technologies with those of our collaborators. Such collaborations may be subject to additional delays because of the management of the trials, contract negotiations, the need to obtain agreement from multiple parties, and the necessity of obtaini</w:t>
      </w:r>
      <w:r>
        <w:rPr>
          <w:sz w:val="20"/>
          <w:szCs w:val="20"/>
        </w:rPr>
        <w:t>ng additional approvals for therapeutics used in the combination trials. These combination therapies will require additional testing and clinical trials will require additional FDA regulatory approval and will increase our future cost of expenses.</w:t>
      </w:r>
    </w:p>
    <w:p w:rsidR="00000000" w:rsidRDefault="00F22B2C">
      <w:pPr>
        <w:pStyle w:val="a3"/>
        <w:spacing w:before="0" w:beforeAutospacing="0" w:after="0" w:afterAutospacing="0"/>
        <w:ind w:firstLine="547"/>
        <w:divId w:val="188185189"/>
        <w:rPr>
          <w:sz w:val="20"/>
          <w:szCs w:val="20"/>
        </w:rPr>
      </w:pPr>
      <w:r>
        <w:rPr>
          <w:sz w:val="20"/>
          <w:szCs w:val="20"/>
        </w:rPr>
        <w:t>Any inab</w:t>
      </w:r>
      <w:r>
        <w:rPr>
          <w:sz w:val="20"/>
          <w:szCs w:val="20"/>
        </w:rPr>
        <w:t xml:space="preserve">ility to successfully complete preclinical and clinical development could result in additional costs to us or impair our ability to generate revenue. In addition, if we make manufacturing changes to our product candidates, we may be required to, or we may </w:t>
      </w:r>
      <w:r>
        <w:rPr>
          <w:sz w:val="20"/>
          <w:szCs w:val="20"/>
        </w:rPr>
        <w:t>elect to, conduct additional studies to bridge our modified product candidates to earlier versions. These changes may require FDA approval or notification, may not have their desired effect, or the FDA may not accept data from prior versions of the product</w:t>
      </w:r>
      <w:r>
        <w:rPr>
          <w:sz w:val="20"/>
          <w:szCs w:val="20"/>
        </w:rPr>
        <w:t xml:space="preserve"> to support an application, delaying our clinical trials or programs or necessitating additional clinical or preclinical studies. For example, while we currently intend to file our first BLA using our Gen 2 manufacturing process, in the future we may seek </w:t>
      </w:r>
      <w:r>
        <w:rPr>
          <w:sz w:val="20"/>
          <w:szCs w:val="20"/>
        </w:rPr>
        <w:t xml:space="preserve">to commercialize </w:t>
      </w:r>
    </w:p>
    <w:p w:rsidR="00000000" w:rsidRDefault="00F22B2C">
      <w:pPr>
        <w:pStyle w:val="a3"/>
        <w:spacing w:before="480" w:beforeAutospacing="0" w:after="0" w:afterAutospacing="0"/>
        <w:jc w:val="center"/>
        <w:divId w:val="458763670"/>
        <w:rPr>
          <w:sz w:val="20"/>
          <w:szCs w:val="20"/>
        </w:rPr>
      </w:pPr>
      <w:r>
        <w:rPr>
          <w:sz w:val="20"/>
          <w:szCs w:val="20"/>
        </w:rPr>
        <w:t>45</w:t>
      </w:r>
    </w:p>
    <w:p w:rsidR="00000000" w:rsidRDefault="00F22B2C">
      <w:pPr>
        <w:pStyle w:val="a3"/>
        <w:spacing w:before="0" w:beforeAutospacing="0" w:after="600" w:afterAutospacing="0"/>
        <w:divId w:val="1576934813"/>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470755526"/>
        <w:rPr>
          <w:sz w:val="20"/>
          <w:szCs w:val="20"/>
        </w:rPr>
      </w:pPr>
      <w:r>
        <w:rPr>
          <w:sz w:val="20"/>
          <w:szCs w:val="20"/>
        </w:rPr>
        <w:t xml:space="preserve">other manufacturing processes, such as our Gen 3 manufacturing process or our PD-1 selected TIL manufacturing process. We may find that commercialization of these manufacturing processes has </w:t>
      </w:r>
      <w:r>
        <w:rPr>
          <w:sz w:val="20"/>
          <w:szCs w:val="20"/>
        </w:rPr>
        <w:t>unintended consequences that necessitate additional development and manufacturing work or additional clinical and preclinical studies, or results in a refusal to file or non-approval of a BLA.</w:t>
      </w:r>
    </w:p>
    <w:p w:rsidR="00000000" w:rsidRDefault="00F22B2C">
      <w:pPr>
        <w:pStyle w:val="a3"/>
        <w:spacing w:before="0" w:beforeAutospacing="0" w:after="200" w:afterAutospacing="0"/>
        <w:ind w:firstLine="547"/>
        <w:divId w:val="470755526"/>
        <w:rPr>
          <w:sz w:val="20"/>
          <w:szCs w:val="20"/>
        </w:rPr>
      </w:pPr>
      <w:r>
        <w:rPr>
          <w:sz w:val="20"/>
          <w:szCs w:val="20"/>
        </w:rPr>
        <w:t>Clinical study delays could shorten any periods during which ou</w:t>
      </w:r>
      <w:r>
        <w:rPr>
          <w:sz w:val="20"/>
          <w:szCs w:val="20"/>
        </w:rPr>
        <w:t>r products have patent protection and may allow our competitors to bring products to market before we do, which could impair our ability to successfully commercialize our product candidates and may harm our business and results of operations.</w:t>
      </w:r>
    </w:p>
    <w:p w:rsidR="00000000" w:rsidRDefault="00F22B2C">
      <w:pPr>
        <w:pStyle w:val="a3"/>
        <w:spacing w:before="0" w:beforeAutospacing="0" w:after="200" w:afterAutospacing="0"/>
        <w:ind w:firstLine="547"/>
        <w:divId w:val="470755526"/>
        <w:rPr>
          <w:sz w:val="20"/>
          <w:szCs w:val="20"/>
        </w:rPr>
      </w:pPr>
      <w:r>
        <w:rPr>
          <w:sz w:val="20"/>
          <w:szCs w:val="20"/>
        </w:rPr>
        <w:t>Regulatory au</w:t>
      </w:r>
      <w:r>
        <w:rPr>
          <w:sz w:val="20"/>
          <w:szCs w:val="20"/>
        </w:rPr>
        <w:t>thorities have substantial discretion in the approval process and may refuse to accept any application or may decide that our data are insufficient for approval and require additional preclinical, clinical or other studies. The number and types of preclini</w:t>
      </w:r>
      <w:r>
        <w:rPr>
          <w:sz w:val="20"/>
          <w:szCs w:val="20"/>
        </w:rPr>
        <w:t>cal studies and clinical trials that will be required for regulatory approval also varies depending on the product candidate, the disease or condition that the product candidate is designed to address, and the regulations applicable to any particular produ</w:t>
      </w:r>
      <w:r>
        <w:rPr>
          <w:sz w:val="20"/>
          <w:szCs w:val="20"/>
        </w:rPr>
        <w:t>ct candidate. Approval policies, regulations or the type and amount of clinical data necessary to gain approval may change during the course of a product candidate’s clinical development and may vary among jurisdictions. It is possible that any product can</w:t>
      </w:r>
      <w:r>
        <w:rPr>
          <w:sz w:val="20"/>
          <w:szCs w:val="20"/>
        </w:rPr>
        <w:t>didates we may seek to develop in the future will never obtain the appropriate regulatory approvals necessary for us or any future collaborators to commence product sales. Any delay in completing development, obtaining or failure to obtain required approva</w:t>
      </w:r>
      <w:r>
        <w:rPr>
          <w:sz w:val="20"/>
          <w:szCs w:val="20"/>
        </w:rPr>
        <w:t>ls could also materially adversely affect our ability or that of any of our collaborators to generate revenue from any such product candidate, which likely would result in significant harm to our financial position and adversely impact our stock price.</w:t>
      </w:r>
    </w:p>
    <w:p w:rsidR="00000000" w:rsidRDefault="00F22B2C">
      <w:pPr>
        <w:pStyle w:val="a3"/>
        <w:spacing w:before="0" w:beforeAutospacing="0" w:after="200" w:afterAutospacing="0"/>
        <w:ind w:firstLine="547"/>
        <w:divId w:val="470755526"/>
        <w:rPr>
          <w:sz w:val="20"/>
          <w:szCs w:val="20"/>
        </w:rPr>
      </w:pPr>
      <w:r>
        <w:rPr>
          <w:b/>
          <w:bCs/>
          <w:i/>
          <w:iCs/>
          <w:sz w:val="20"/>
          <w:szCs w:val="20"/>
        </w:rPr>
        <w:t xml:space="preserve">It </w:t>
      </w:r>
      <w:r>
        <w:rPr>
          <w:b/>
          <w:bCs/>
          <w:i/>
          <w:iCs/>
          <w:sz w:val="20"/>
          <w:szCs w:val="20"/>
        </w:rPr>
        <w:t>may take longer and cost more to complete our clinical trials than we project, or we may not be able to complete them at all.</w:t>
      </w:r>
    </w:p>
    <w:p w:rsidR="00000000" w:rsidRDefault="00F22B2C">
      <w:pPr>
        <w:pStyle w:val="a3"/>
        <w:spacing w:before="0" w:beforeAutospacing="0" w:after="200" w:afterAutospacing="0"/>
        <w:ind w:firstLine="547"/>
        <w:divId w:val="470755526"/>
        <w:rPr>
          <w:sz w:val="20"/>
          <w:szCs w:val="20"/>
        </w:rPr>
      </w:pPr>
      <w:r>
        <w:rPr>
          <w:sz w:val="20"/>
          <w:szCs w:val="20"/>
        </w:rPr>
        <w:t>For budgeting and planning purposes, we have projected the date for the commencement of future trials, and continuation and completion of our ongoing clinical trials. However, a number of factors, including scheduling conflicts with participating clinician</w:t>
      </w:r>
      <w:r>
        <w:rPr>
          <w:sz w:val="20"/>
          <w:szCs w:val="20"/>
        </w:rPr>
        <w:t>s and clinical institutions, difficulties in identifying and enrolling patients who meet trial eligibility criteria, and the ongoing COVID-19 pandemic, may cause significant delays. We may not commence or complete clinical trials involving any of our produ</w:t>
      </w:r>
      <w:r>
        <w:rPr>
          <w:sz w:val="20"/>
          <w:szCs w:val="20"/>
        </w:rPr>
        <w:t>cts as projected or may not conduct them successfully.</w:t>
      </w:r>
    </w:p>
    <w:p w:rsidR="00000000" w:rsidRDefault="00F22B2C">
      <w:pPr>
        <w:pStyle w:val="a3"/>
        <w:spacing w:before="0" w:beforeAutospacing="0" w:after="200" w:afterAutospacing="0"/>
        <w:ind w:firstLine="547"/>
        <w:divId w:val="470755526"/>
        <w:rPr>
          <w:sz w:val="20"/>
          <w:szCs w:val="20"/>
        </w:rPr>
      </w:pPr>
      <w:r>
        <w:rPr>
          <w:sz w:val="20"/>
          <w:szCs w:val="20"/>
        </w:rPr>
        <w:t xml:space="preserve">We are currently enrolling six company-sponsored clinical trials to assess the overall safety and efficacy of Iovance TIL monotherapy and TIL combinations in patients with melanoma, cervical, head and </w:t>
      </w:r>
      <w:r>
        <w:rPr>
          <w:sz w:val="20"/>
          <w:szCs w:val="20"/>
        </w:rPr>
        <w:t>neck and lung cancers across late-line and early treatment settings, as well as our peripheral blood lymphocyte, or PBL, technology for hematological malignancies. However, we may experience difficulties in patient enrollment in our clinical trials for a v</w:t>
      </w:r>
      <w:r>
        <w:rPr>
          <w:sz w:val="20"/>
          <w:szCs w:val="20"/>
        </w:rPr>
        <w:t>ariety of reasons. Our ability to enroll or treat patients in our other studies, or the duration or costs of those studies, could be affected by multiple factors, including, preliminary clinical results, which may include efficacy and safety results from o</w:t>
      </w:r>
      <w:r>
        <w:rPr>
          <w:sz w:val="20"/>
          <w:szCs w:val="20"/>
        </w:rPr>
        <w:t xml:space="preserve">ur ongoing Phase 2 studies, but may not be reflected in the final analyses of these trials. For example, our studies of our TIL therapy lifileucel in patients with metastatic cervical cancer and metastatic melanoma utilize an “open-label” trial design. An </w:t>
      </w:r>
      <w:r>
        <w:rPr>
          <w:sz w:val="20"/>
          <w:szCs w:val="20"/>
        </w:rPr>
        <w:t>open-label trial is one where both the patient and investigator know whether the patient is receiving the test article or either an existing approved drug or placebo, which has the potential to create selection bias in the investigators. In our Phase 2 ope</w:t>
      </w:r>
      <w:r>
        <w:rPr>
          <w:sz w:val="20"/>
          <w:szCs w:val="20"/>
        </w:rPr>
        <w:t>n-label studies of TIL therapy lifileucel in patients with metastatic cervical cancer and metastatic melanoma, the investigators have significant discretion over the selection of patient participants. Although preliminary data from these trials was general</w:t>
      </w:r>
      <w:r>
        <w:rPr>
          <w:sz w:val="20"/>
          <w:szCs w:val="20"/>
        </w:rPr>
        <w:t>ly positive, that data may not necessarily be representative of interim or final results, as new patients are cycled through the applicable treatment regimes. As the trials continue, the investigators may prioritize patients with more progressed forms of c</w:t>
      </w:r>
      <w:r>
        <w:rPr>
          <w:sz w:val="20"/>
          <w:szCs w:val="20"/>
        </w:rPr>
        <w:t>ancer than the initial patient population, based on the success or perceived success of that initial population. Patients with more progressed forms of cancer may be less responsive to treatment, and accordingly, interim efficacy data may show a decline in</w:t>
      </w:r>
      <w:r>
        <w:rPr>
          <w:sz w:val="20"/>
          <w:szCs w:val="20"/>
        </w:rPr>
        <w:t xml:space="preserve"> patient response rate or other assessment metrics. As the trials continue, investigators may shift their approach to the patient population, which may ultimately result in a decline in both interim and final efficacy data from the preliminary data, or con</w:t>
      </w:r>
      <w:r>
        <w:rPr>
          <w:sz w:val="20"/>
          <w:szCs w:val="20"/>
        </w:rPr>
        <w:t>versely, an increase in final efficacy data following a decline in the interim efficacy data, as patients with more progressed forms of cancer are cycled out of the trials and replaced by patients with less advanced forms of cancer. This opportunity for in</w:t>
      </w:r>
      <w:r>
        <w:rPr>
          <w:sz w:val="20"/>
          <w:szCs w:val="20"/>
        </w:rPr>
        <w:t xml:space="preserve">vestigator selection bias in our trials as a result of open-label design may not be adequately handled and may cause a decline in or distortion of clinical trial data from our preliminary results. Depending on the outcome of our open-label studies, we may </w:t>
      </w:r>
      <w:r>
        <w:rPr>
          <w:sz w:val="20"/>
          <w:szCs w:val="20"/>
        </w:rPr>
        <w:t>need to conduct one or more follow-up or supporting studies in order to successfully develop our products for FDA approval. Many companies in the biotechnology, pharmaceutical and medical device industries have suffered significant setbacks in late-stage c</w:t>
      </w:r>
      <w:r>
        <w:rPr>
          <w:sz w:val="20"/>
          <w:szCs w:val="20"/>
        </w:rPr>
        <w:t>linical trials after achieving positive results in earlier development, and we cannot be certain that we will not face such setbacks.</w:t>
      </w:r>
    </w:p>
    <w:p w:rsidR="00000000" w:rsidRDefault="00F22B2C">
      <w:pPr>
        <w:pStyle w:val="a3"/>
        <w:spacing w:before="0" w:beforeAutospacing="0" w:after="0" w:afterAutospacing="0"/>
        <w:ind w:firstLine="547"/>
        <w:divId w:val="470755526"/>
        <w:rPr>
          <w:sz w:val="20"/>
          <w:szCs w:val="20"/>
        </w:rPr>
      </w:pPr>
      <w:r>
        <w:rPr>
          <w:sz w:val="20"/>
          <w:szCs w:val="20"/>
        </w:rPr>
        <w:t>Furthermore, the timely completion of clinical trials in accordance with their protocols depends, among other things, on o</w:t>
      </w:r>
      <w:r>
        <w:rPr>
          <w:sz w:val="20"/>
          <w:szCs w:val="20"/>
        </w:rPr>
        <w:t xml:space="preserve">ur ability to enroll a sufficient number of patients who remain in the study until its conclusion, including the ability of us or our collaborators to conduct clinical trials under the constraints of the COVID-19 pandemic. In addition, our clinical trials </w:t>
      </w:r>
      <w:r>
        <w:rPr>
          <w:sz w:val="20"/>
          <w:szCs w:val="20"/>
        </w:rPr>
        <w:t xml:space="preserve">will compete </w:t>
      </w:r>
    </w:p>
    <w:p w:rsidR="00000000" w:rsidRDefault="00F22B2C">
      <w:pPr>
        <w:pStyle w:val="a3"/>
        <w:spacing w:before="480" w:beforeAutospacing="0" w:after="0" w:afterAutospacing="0"/>
        <w:jc w:val="center"/>
        <w:divId w:val="987126782"/>
        <w:rPr>
          <w:sz w:val="20"/>
          <w:szCs w:val="20"/>
        </w:rPr>
      </w:pPr>
      <w:r>
        <w:rPr>
          <w:sz w:val="20"/>
          <w:szCs w:val="20"/>
        </w:rPr>
        <w:t>46</w:t>
      </w:r>
    </w:p>
    <w:p w:rsidR="00000000" w:rsidRDefault="00F22B2C">
      <w:pPr>
        <w:pStyle w:val="a3"/>
        <w:spacing w:before="0" w:beforeAutospacing="0" w:after="600" w:afterAutospacing="0"/>
        <w:divId w:val="754669642"/>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821504759"/>
        <w:rPr>
          <w:sz w:val="20"/>
          <w:szCs w:val="20"/>
        </w:rPr>
      </w:pPr>
      <w:r>
        <w:rPr>
          <w:sz w:val="20"/>
          <w:szCs w:val="20"/>
        </w:rPr>
        <w:t>with other clinical trials for product candidates that are in the same therapeutic areas as our product candidates, and this competition will reduce the number and types of patients available to us, because some patients who might have opted to enroll in o</w:t>
      </w:r>
      <w:r>
        <w:rPr>
          <w:sz w:val="20"/>
          <w:szCs w:val="20"/>
        </w:rPr>
        <w:t>ur trials may instead opt to enroll in a trial being conducted by one of our competitors. Accordingly, we cannot guarantee that the trial will progress as planned or as scheduled. Delays in patient enrollment may result in increased costs or may affect the</w:t>
      </w:r>
      <w:r>
        <w:rPr>
          <w:sz w:val="20"/>
          <w:szCs w:val="20"/>
        </w:rPr>
        <w:t xml:space="preserve"> timing or outcome of our ongoing clinical trial and planned clinical trials, which could prevent completion of these trials and adversely affect our ability to advance the development of our product candidates.</w:t>
      </w:r>
    </w:p>
    <w:p w:rsidR="00000000" w:rsidRDefault="00F22B2C">
      <w:pPr>
        <w:pStyle w:val="a3"/>
        <w:spacing w:before="0" w:beforeAutospacing="0" w:after="200" w:afterAutospacing="0"/>
        <w:ind w:firstLine="547"/>
        <w:divId w:val="821504759"/>
        <w:rPr>
          <w:sz w:val="20"/>
          <w:szCs w:val="20"/>
        </w:rPr>
      </w:pPr>
      <w:r>
        <w:rPr>
          <w:sz w:val="20"/>
          <w:szCs w:val="20"/>
        </w:rPr>
        <w:t>We expect to rely on medical institutions, a</w:t>
      </w:r>
      <w:r>
        <w:rPr>
          <w:sz w:val="20"/>
          <w:szCs w:val="20"/>
        </w:rPr>
        <w:t>cademic institutions or CROs to conduct, supervise or monitor some or all aspects of clinical trials involving our products. We will have less control over the timing and other aspects of these clinical trials than if we conducted them entirely on our own.</w:t>
      </w:r>
      <w:r>
        <w:rPr>
          <w:sz w:val="20"/>
          <w:szCs w:val="20"/>
        </w:rPr>
        <w:t xml:space="preserve"> If we fail to commence or complete, or experience delays in, any of our planned clinical trials, our stock price and our ability to conduct our business as currently planned could be harmed.</w:t>
      </w:r>
    </w:p>
    <w:p w:rsidR="00000000" w:rsidRDefault="00F22B2C">
      <w:pPr>
        <w:pStyle w:val="a3"/>
        <w:spacing w:before="0" w:beforeAutospacing="0" w:after="200" w:afterAutospacing="0"/>
        <w:ind w:firstLine="547"/>
        <w:divId w:val="821504759"/>
        <w:rPr>
          <w:sz w:val="20"/>
          <w:szCs w:val="20"/>
        </w:rPr>
      </w:pPr>
      <w:r>
        <w:rPr>
          <w:sz w:val="20"/>
          <w:szCs w:val="20"/>
        </w:rPr>
        <w:t>We currently anticipate that we will have to rely on our CMOs to</w:t>
      </w:r>
      <w:r>
        <w:rPr>
          <w:sz w:val="20"/>
          <w:szCs w:val="20"/>
        </w:rPr>
        <w:t xml:space="preserve"> manufacture our adoptive cell therapy and biologic products for clinical trials. If they fail to commence or complete, or experiences delays in, manufacturing our adoptive cell therapy and other biologic products, our planned clinical trials will be delay</w:t>
      </w:r>
      <w:r>
        <w:rPr>
          <w:sz w:val="20"/>
          <w:szCs w:val="20"/>
        </w:rPr>
        <w:t>ed, which will adversely affect our stock price and our ability to conduct our business as currently planned.</w:t>
      </w:r>
    </w:p>
    <w:p w:rsidR="00000000" w:rsidRDefault="00F22B2C">
      <w:pPr>
        <w:pStyle w:val="a3"/>
        <w:spacing w:before="0" w:beforeAutospacing="0" w:after="200" w:afterAutospacing="0"/>
        <w:ind w:firstLine="547"/>
        <w:divId w:val="821504759"/>
        <w:rPr>
          <w:sz w:val="20"/>
          <w:szCs w:val="20"/>
        </w:rPr>
      </w:pPr>
      <w:r>
        <w:rPr>
          <w:b/>
          <w:bCs/>
          <w:i/>
          <w:iCs/>
          <w:sz w:val="20"/>
          <w:szCs w:val="20"/>
        </w:rPr>
        <w:t>Clinical trials are expensive, time-consuming and difficult to design and implement, and our clinical trial costs may be higher than for more conv</w:t>
      </w:r>
      <w:r>
        <w:rPr>
          <w:b/>
          <w:bCs/>
          <w:i/>
          <w:iCs/>
          <w:sz w:val="20"/>
          <w:szCs w:val="20"/>
        </w:rPr>
        <w:t>entional therapeutic technologies or drug products.</w:t>
      </w:r>
    </w:p>
    <w:p w:rsidR="00000000" w:rsidRDefault="00F22B2C">
      <w:pPr>
        <w:pStyle w:val="a3"/>
        <w:spacing w:before="0" w:beforeAutospacing="0" w:after="200" w:afterAutospacing="0"/>
        <w:ind w:firstLine="547"/>
        <w:divId w:val="821504759"/>
        <w:rPr>
          <w:sz w:val="20"/>
          <w:szCs w:val="20"/>
        </w:rPr>
      </w:pPr>
      <w:r>
        <w:rPr>
          <w:sz w:val="20"/>
          <w:szCs w:val="20"/>
        </w:rPr>
        <w:t>Clinical trials are expensive and difficult to design and implement, in part because they are subject to rigorous regulatory requirements. Because our product candidates include candidates based on new ce</w:t>
      </w:r>
      <w:r>
        <w:rPr>
          <w:sz w:val="20"/>
          <w:szCs w:val="20"/>
        </w:rPr>
        <w:t>ll therapy technologies and manufactured on a patient-by-patient basis, we expect that they will require extensive research and development and have substantial manufacturing costs. In addition, costs to treat patients with relapsed/refractory cancer and t</w:t>
      </w:r>
      <w:r>
        <w:rPr>
          <w:sz w:val="20"/>
          <w:szCs w:val="20"/>
        </w:rPr>
        <w:t>o treat potential side effects that may result from our product candidates can be significant. Some clinical trial sites may not bill, or obtain coverage from Medicare, Medicaid, or other third-party payors for some or all of these costs for patients enrol</w:t>
      </w:r>
      <w:r>
        <w:rPr>
          <w:sz w:val="20"/>
          <w:szCs w:val="20"/>
        </w:rPr>
        <w:t>led in our clinical trials, and we may be required by those trial sites to pay such costs. Accordingly, our clinical trial costs are likely to be significantly higher per patient than those of more conventional therapeutic technologies or drug products. In</w:t>
      </w:r>
      <w:r>
        <w:rPr>
          <w:sz w:val="20"/>
          <w:szCs w:val="20"/>
        </w:rPr>
        <w:t xml:space="preserve"> addition, our proposed personalized product candidates involve several complex and costly manufacturing and processing steps, the costs of which will be borne by us. We are also responsible for the manufacturing costs of products for patients that may hav</w:t>
      </w:r>
      <w:r>
        <w:rPr>
          <w:sz w:val="20"/>
          <w:szCs w:val="20"/>
        </w:rPr>
        <w:t>e a tumor resection but ultimately do not receive an infusion. Depending on the number of patients that we ultimately screen and enroll in our trials, and the number of trials that we may need to conduct, our overall clinical trial costs may be higher than</w:t>
      </w:r>
      <w:r>
        <w:rPr>
          <w:sz w:val="20"/>
          <w:szCs w:val="20"/>
        </w:rPr>
        <w:t xml:space="preserve"> for more conventional treatments.</w:t>
      </w:r>
    </w:p>
    <w:p w:rsidR="00000000" w:rsidRDefault="00F22B2C">
      <w:pPr>
        <w:pStyle w:val="a3"/>
        <w:spacing w:before="0" w:beforeAutospacing="0" w:after="200" w:afterAutospacing="0"/>
        <w:ind w:firstLine="547"/>
        <w:divId w:val="821504759"/>
        <w:rPr>
          <w:sz w:val="20"/>
          <w:szCs w:val="20"/>
        </w:rPr>
      </w:pPr>
      <w:r>
        <w:rPr>
          <w:b/>
          <w:bCs/>
          <w:i/>
          <w:iCs/>
          <w:sz w:val="20"/>
          <w:szCs w:val="20"/>
        </w:rPr>
        <w:t>Our clinical trials may fail to demonstrate adequately the safety and efficacy of our product candidates, which would prevent or delay regulatory approval and commercialization.</w:t>
      </w:r>
    </w:p>
    <w:p w:rsidR="00000000" w:rsidRDefault="00F22B2C">
      <w:pPr>
        <w:pStyle w:val="a3"/>
        <w:spacing w:before="0" w:beforeAutospacing="0" w:after="200" w:afterAutospacing="0"/>
        <w:ind w:firstLine="547"/>
        <w:divId w:val="821504759"/>
        <w:rPr>
          <w:sz w:val="20"/>
          <w:szCs w:val="20"/>
        </w:rPr>
      </w:pPr>
      <w:r>
        <w:rPr>
          <w:sz w:val="20"/>
          <w:szCs w:val="20"/>
        </w:rPr>
        <w:t>The clinical trials of our product candidat</w:t>
      </w:r>
      <w:r>
        <w:rPr>
          <w:sz w:val="20"/>
          <w:szCs w:val="20"/>
        </w:rPr>
        <w:t>es are, and the manufacturing and marketing of our products will be, subject to extensive and rigorous review and regulation by numerous government authorities in the U.S. and in other countries where we intend to test and market our product candidates. Be</w:t>
      </w:r>
      <w:r>
        <w:rPr>
          <w:sz w:val="20"/>
          <w:szCs w:val="20"/>
        </w:rPr>
        <w:t>fore obtaining regulatory approvals for the commercial sale of any of our product candidates, we must demonstrate through lengthy, complex and expensive preclinical testing and clinical trials that our product candidates are both safe and effective for use</w:t>
      </w:r>
      <w:r>
        <w:rPr>
          <w:sz w:val="20"/>
          <w:szCs w:val="20"/>
        </w:rPr>
        <w:t xml:space="preserve"> in each target indication. Because our product candidates are subject to regulation as biological drug products, we will need to demonstrate that they are safe, pure, and potent for use in their target indications. Each product candidate must demonstrate </w:t>
      </w:r>
      <w:r>
        <w:rPr>
          <w:sz w:val="20"/>
          <w:szCs w:val="20"/>
        </w:rPr>
        <w:t xml:space="preserve">an adequate risk versus benefit profile in its intended patient population and for its intended use. The risk/benefit profile required for product licensure will vary depending on these factors and may include not only the ability to show tumor shrinkage, </w:t>
      </w:r>
      <w:r>
        <w:rPr>
          <w:sz w:val="20"/>
          <w:szCs w:val="20"/>
        </w:rPr>
        <w:t xml:space="preserve">but also adequate duration of response, a delay in the progression of the disease, and/or an improvement in survival. For example, response rates from the use of our product candidates may not be sufficient to obtain regulatory approval unless we can also </w:t>
      </w:r>
      <w:r>
        <w:rPr>
          <w:sz w:val="20"/>
          <w:szCs w:val="20"/>
        </w:rPr>
        <w:t>show an adequate duration of response. Regulatory authorities may ultimately disagree with our chosen endpoints or may find that our studies or study results do not support product approval. Clinical testing is expensive and can take many years to complete</w:t>
      </w:r>
      <w:r>
        <w:rPr>
          <w:sz w:val="20"/>
          <w:szCs w:val="20"/>
        </w:rPr>
        <w:t>, and its outcome is inherently uncertain. Failure can occur at any time during the clinical trial process. The results of preclinical studies and early clinical trials of our product candidates with small patient populations may not be predictive of the r</w:t>
      </w:r>
      <w:r>
        <w:rPr>
          <w:sz w:val="20"/>
          <w:szCs w:val="20"/>
        </w:rPr>
        <w:t>esults of later-stage clinical trials or the results once the applicable clinical trials are completed. Preliminary, single cohort, or top-line results from clinical studies may not be representative of the final study results. The results of studies in on</w:t>
      </w:r>
      <w:r>
        <w:rPr>
          <w:sz w:val="20"/>
          <w:szCs w:val="20"/>
        </w:rPr>
        <w:t>e set of patients or line of treatment may not be predictive of those obtained in another and the results in various human clinical trials reported in scientific and medical literature may not be indicative of results we obtain in our clinical trials. Prod</w:t>
      </w:r>
      <w:r>
        <w:rPr>
          <w:sz w:val="20"/>
          <w:szCs w:val="20"/>
        </w:rPr>
        <w:t>uct candidates in later stages of clinical trials may fail to show the desired safety and efficacy traits despite having progressed through preclinical studies and initial clinical trials. Preclinical studies may also reveal unfavorable product candidate c</w:t>
      </w:r>
      <w:r>
        <w:rPr>
          <w:sz w:val="20"/>
          <w:szCs w:val="20"/>
        </w:rPr>
        <w:t>haracteristics, including safety concerns.</w:t>
      </w:r>
    </w:p>
    <w:p w:rsidR="00000000" w:rsidRDefault="00F22B2C">
      <w:pPr>
        <w:pStyle w:val="a3"/>
        <w:spacing w:before="480" w:beforeAutospacing="0" w:after="0" w:afterAutospacing="0"/>
        <w:jc w:val="center"/>
        <w:divId w:val="1657956947"/>
        <w:rPr>
          <w:sz w:val="20"/>
          <w:szCs w:val="20"/>
        </w:rPr>
      </w:pPr>
      <w:r>
        <w:rPr>
          <w:sz w:val="20"/>
          <w:szCs w:val="20"/>
        </w:rPr>
        <w:t>47</w:t>
      </w:r>
    </w:p>
    <w:p w:rsidR="00000000" w:rsidRDefault="00F22B2C">
      <w:pPr>
        <w:pStyle w:val="a3"/>
        <w:spacing w:before="0" w:beforeAutospacing="0" w:after="600" w:afterAutospacing="0"/>
        <w:divId w:val="834304707"/>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7"/>
        <w:divId w:val="1030496277"/>
        <w:rPr>
          <w:sz w:val="20"/>
          <w:szCs w:val="20"/>
        </w:rPr>
      </w:pPr>
      <w:r>
        <w:rPr>
          <w:sz w:val="20"/>
          <w:szCs w:val="20"/>
        </w:rPr>
        <w:t>We expect there may be greater variability in results for products processed and administered on a patient-by-patient basis, as anticipated for our product candidates</w:t>
      </w:r>
      <w:r>
        <w:rPr>
          <w:sz w:val="20"/>
          <w:szCs w:val="20"/>
        </w:rPr>
        <w:t xml:space="preserve">, than for “off-the-shelf” products, like many other drugs. There is typically an extremely high rate of attrition from the failure of product candidates proceeding through clinical trials. Product candidates in later stages of clinical trials may fail to </w:t>
      </w:r>
      <w:r>
        <w:rPr>
          <w:sz w:val="20"/>
          <w:szCs w:val="20"/>
        </w:rPr>
        <w:t>show the desired safety and efficacy profile despite having progressed through preclinical studies and initial clinical trials. Many companies in the biopharmaceutical industry have suffered significant setbacks in advanced clinical trials due to lack of e</w:t>
      </w:r>
      <w:r>
        <w:rPr>
          <w:sz w:val="20"/>
          <w:szCs w:val="20"/>
        </w:rPr>
        <w:t>fficacy or unacceptable safety issues, notwithstanding promising results in earlier trials. Most product candidates that begin clinical trials are never approved by regulatory authorities for commercialization.</w:t>
      </w:r>
    </w:p>
    <w:p w:rsidR="00000000" w:rsidRDefault="00F22B2C">
      <w:pPr>
        <w:pStyle w:val="a3"/>
        <w:spacing w:before="0" w:beforeAutospacing="0" w:after="200" w:afterAutospacing="0"/>
        <w:ind w:firstLine="547"/>
        <w:divId w:val="1030496277"/>
        <w:rPr>
          <w:sz w:val="20"/>
          <w:szCs w:val="20"/>
        </w:rPr>
      </w:pPr>
      <w:r>
        <w:rPr>
          <w:sz w:val="20"/>
          <w:szCs w:val="20"/>
        </w:rPr>
        <w:t>In some instances, there can be significant v</w:t>
      </w:r>
      <w:r>
        <w:rPr>
          <w:sz w:val="20"/>
          <w:szCs w:val="20"/>
        </w:rPr>
        <w:t>ariability in safety or efficacy results between different clinical trials of the same product candidate due to numerous factors, including changes in trial procedures set forth in protocols, differences in the size and type of the patient populations, cha</w:t>
      </w:r>
      <w:r>
        <w:rPr>
          <w:sz w:val="20"/>
          <w:szCs w:val="20"/>
        </w:rPr>
        <w:t>nges in and adherence to the clinical trial protocols and the rate of dropout among clinical trial participants. Our current and future clinical trial results may not be successful. Moreover, should there be a flaw in a clinical trial, it may not become ap</w:t>
      </w:r>
      <w:r>
        <w:rPr>
          <w:sz w:val="20"/>
          <w:szCs w:val="20"/>
        </w:rPr>
        <w:t>parent until the clinical trial is well advanced. Further, because we currently plan to test our product candidates for use with other oncology products, the design, implementation, and interpretation of the clinical trials necessary for marketing approval</w:t>
      </w:r>
      <w:r>
        <w:rPr>
          <w:sz w:val="20"/>
          <w:szCs w:val="20"/>
        </w:rPr>
        <w:t xml:space="preserve"> may be more complex than if we were developing our product candidates alone.</w:t>
      </w:r>
    </w:p>
    <w:p w:rsidR="00000000" w:rsidRDefault="00F22B2C">
      <w:pPr>
        <w:pStyle w:val="a3"/>
        <w:spacing w:before="0" w:beforeAutospacing="0" w:after="200" w:afterAutospacing="0"/>
        <w:ind w:firstLine="547"/>
        <w:divId w:val="1030496277"/>
        <w:rPr>
          <w:sz w:val="20"/>
          <w:szCs w:val="20"/>
        </w:rPr>
      </w:pPr>
      <w:r>
        <w:rPr>
          <w:sz w:val="20"/>
          <w:szCs w:val="20"/>
        </w:rPr>
        <w:t>In addition, even if such trials are successfully completed, we cannot guarantee that the FDA or foreign regulatory authorities will interpret the results as we do, and more tria</w:t>
      </w:r>
      <w:r>
        <w:rPr>
          <w:sz w:val="20"/>
          <w:szCs w:val="20"/>
        </w:rPr>
        <w:t>ls could be required before we submit our product candidates for approval. To the extent that the results of the trials are not satisfactory to the FDA or foreign regulatory authorities for support of a marketing application, we may be required to expend s</w:t>
      </w:r>
      <w:r>
        <w:rPr>
          <w:sz w:val="20"/>
          <w:szCs w:val="20"/>
        </w:rPr>
        <w:t>ignificant resources, which may not be available to us, to conduct additional trials in support of potential approval of our product candidates.</w:t>
      </w:r>
    </w:p>
    <w:p w:rsidR="00000000" w:rsidRDefault="00F22B2C">
      <w:pPr>
        <w:pStyle w:val="a3"/>
        <w:spacing w:before="0" w:beforeAutospacing="0" w:after="200" w:afterAutospacing="0"/>
        <w:ind w:firstLine="547"/>
        <w:divId w:val="1030496277"/>
        <w:rPr>
          <w:sz w:val="20"/>
          <w:szCs w:val="20"/>
        </w:rPr>
      </w:pPr>
      <w:r>
        <w:rPr>
          <w:sz w:val="20"/>
          <w:szCs w:val="20"/>
        </w:rPr>
        <w:t>We have reported preliminary results for clinical trials of our product candidates, including TIL for the treat</w:t>
      </w:r>
      <w:r>
        <w:rPr>
          <w:sz w:val="20"/>
          <w:szCs w:val="20"/>
        </w:rPr>
        <w:t>ment of metastatic melanoma, cervical cancer, and head and neck cancers. These preliminary results, which include assessments of efficacy such as ORR, are subject to substantial risk of change due to small sample sizes and may change as patients are evalua</w:t>
      </w:r>
      <w:r>
        <w:rPr>
          <w:sz w:val="20"/>
          <w:szCs w:val="20"/>
        </w:rPr>
        <w:t>ted or as additional patients are enrolled in these clinical trials. These outcomes may be unfavorable, deviate from our earlier reports, and/or delay or prevent regulatory approval or commercialization of our product candidates, including candidates for w</w:t>
      </w:r>
      <w:r>
        <w:rPr>
          <w:sz w:val="20"/>
          <w:szCs w:val="20"/>
        </w:rPr>
        <w:t>hich we have reported preliminary efficacy results. In clinical studies where a staged expansion is expected, such as studies using a Simon’s two stage design, these outcomes may result in the failure to meet an initial efficacy threshold for the first sta</w:t>
      </w:r>
      <w:r>
        <w:rPr>
          <w:sz w:val="20"/>
          <w:szCs w:val="20"/>
        </w:rPr>
        <w:t>ge. Furthermore, other measures of efficacy for these clinical trials and product candidates may not be as favorable.</w:t>
      </w:r>
    </w:p>
    <w:p w:rsidR="00000000" w:rsidRDefault="00F22B2C">
      <w:pPr>
        <w:pStyle w:val="a3"/>
        <w:spacing w:before="0" w:beforeAutospacing="0" w:after="200" w:afterAutospacing="0"/>
        <w:ind w:firstLine="547"/>
        <w:divId w:val="1030496277"/>
        <w:rPr>
          <w:sz w:val="20"/>
          <w:szCs w:val="20"/>
        </w:rPr>
      </w:pPr>
      <w:r>
        <w:rPr>
          <w:b/>
          <w:bCs/>
          <w:i/>
          <w:iCs/>
          <w:sz w:val="20"/>
          <w:szCs w:val="20"/>
        </w:rPr>
        <w:t xml:space="preserve">If we encounter difficulties enrolling patients in our clinical trials, our clinical development activities could be delayed or otherwise </w:t>
      </w:r>
      <w:r>
        <w:rPr>
          <w:b/>
          <w:bCs/>
          <w:i/>
          <w:iCs/>
          <w:sz w:val="20"/>
          <w:szCs w:val="20"/>
        </w:rPr>
        <w:t>adversely affected.</w:t>
      </w:r>
    </w:p>
    <w:p w:rsidR="00000000" w:rsidRDefault="00F22B2C">
      <w:pPr>
        <w:pStyle w:val="a3"/>
        <w:spacing w:before="0" w:beforeAutospacing="0" w:after="200" w:afterAutospacing="0"/>
        <w:ind w:firstLine="547"/>
        <w:divId w:val="1030496277"/>
        <w:rPr>
          <w:sz w:val="20"/>
          <w:szCs w:val="20"/>
        </w:rPr>
      </w:pPr>
      <w:r>
        <w:rPr>
          <w:sz w:val="20"/>
          <w:szCs w:val="20"/>
        </w:rPr>
        <w:t xml:space="preserve">The timely completion of clinical trials in accordance with their protocols depends, among other things, on our ability to enroll a sufficient number of patients, or similar patients in the pivotal program to the Phase 2, who remain in </w:t>
      </w:r>
      <w:r>
        <w:rPr>
          <w:sz w:val="20"/>
          <w:szCs w:val="20"/>
        </w:rPr>
        <w:t>the trial until its conclusion. We may experience difficulties or delays in patient enrollment in our clinical trials for a variety of reasons, including:</w:t>
      </w:r>
    </w:p>
    <w:p w:rsidR="00000000" w:rsidRDefault="00F22B2C">
      <w:pPr>
        <w:ind w:left="547" w:hanging="360"/>
        <w:divId w:val="1056857238"/>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rsidR="00000000" w:rsidRDefault="00F22B2C">
      <w:pPr>
        <w:ind w:left="547" w:hanging="360"/>
        <w:divId w:val="2122410432"/>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rsidR="00000000" w:rsidRDefault="00F22B2C">
      <w:pPr>
        <w:ind w:left="547" w:hanging="360"/>
        <w:divId w:val="567114870"/>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rsidR="00000000" w:rsidRDefault="00F22B2C">
      <w:pPr>
        <w:ind w:left="547" w:hanging="360"/>
        <w:divId w:val="2053772939"/>
        <w:rPr>
          <w:rFonts w:eastAsia="Times New Roman"/>
          <w:sz w:val="20"/>
          <w:szCs w:val="20"/>
        </w:rPr>
      </w:pPr>
      <w:r>
        <w:rPr>
          <w:rFonts w:eastAsia="Times New Roman"/>
          <w:sz w:val="20"/>
          <w:szCs w:val="20"/>
        </w:rPr>
        <w:t>●</w:t>
      </w:r>
      <w:r>
        <w:rPr>
          <w:rFonts w:eastAsia="Times New Roman"/>
          <w:sz w:val="20"/>
          <w:szCs w:val="20"/>
        </w:rPr>
        <w:t>the size of the study population required for analysis of the trial’s primary endpoints;</w:t>
      </w:r>
    </w:p>
    <w:p w:rsidR="00000000" w:rsidRDefault="00F22B2C">
      <w:pPr>
        <w:ind w:left="547" w:hanging="360"/>
        <w:divId w:val="1480881406"/>
        <w:rPr>
          <w:rFonts w:eastAsia="Times New Roman"/>
          <w:sz w:val="20"/>
          <w:szCs w:val="20"/>
        </w:rPr>
      </w:pPr>
      <w:r>
        <w:rPr>
          <w:rFonts w:eastAsia="Times New Roman"/>
          <w:sz w:val="20"/>
          <w:szCs w:val="20"/>
        </w:rPr>
        <w:t>●</w:t>
      </w:r>
      <w:r>
        <w:rPr>
          <w:rFonts w:eastAsia="Times New Roman"/>
          <w:sz w:val="20"/>
          <w:szCs w:val="20"/>
        </w:rPr>
        <w:t>the proximity of patients to trial sites;</w:t>
      </w:r>
    </w:p>
    <w:p w:rsidR="00000000" w:rsidRDefault="00F22B2C">
      <w:pPr>
        <w:ind w:left="547" w:hanging="360"/>
        <w:divId w:val="1729837082"/>
        <w:rPr>
          <w:rFonts w:eastAsia="Times New Roman"/>
          <w:sz w:val="20"/>
          <w:szCs w:val="20"/>
        </w:rPr>
      </w:pPr>
      <w:r>
        <w:rPr>
          <w:rFonts w:eastAsia="Times New Roman"/>
          <w:sz w:val="20"/>
          <w:szCs w:val="20"/>
        </w:rPr>
        <w:t>●</w:t>
      </w:r>
      <w:r>
        <w:rPr>
          <w:rFonts w:eastAsia="Times New Roman"/>
          <w:sz w:val="20"/>
          <w:szCs w:val="20"/>
        </w:rPr>
        <w:t>the design of the trial;</w:t>
      </w:r>
    </w:p>
    <w:p w:rsidR="00000000" w:rsidRDefault="00F22B2C">
      <w:pPr>
        <w:ind w:left="547" w:hanging="360"/>
        <w:divId w:val="1345127911"/>
        <w:rPr>
          <w:rFonts w:eastAsia="Times New Roman"/>
          <w:sz w:val="20"/>
          <w:szCs w:val="20"/>
        </w:rPr>
      </w:pPr>
      <w:r>
        <w:rPr>
          <w:rFonts w:eastAsia="Times New Roman"/>
          <w:sz w:val="20"/>
          <w:szCs w:val="20"/>
        </w:rPr>
        <w:t>●</w:t>
      </w:r>
      <w:r>
        <w:rPr>
          <w:rFonts w:eastAsia="Times New Roman"/>
          <w:sz w:val="20"/>
          <w:szCs w:val="20"/>
        </w:rPr>
        <w:t xml:space="preserve">our ability to recruit clinical trial </w:t>
      </w:r>
      <w:r>
        <w:rPr>
          <w:rFonts w:eastAsia="Times New Roman"/>
          <w:sz w:val="20"/>
          <w:szCs w:val="20"/>
        </w:rPr>
        <w:t>investigators with the appropriate competencies and experience;</w:t>
      </w:r>
    </w:p>
    <w:p w:rsidR="00000000" w:rsidRDefault="00F22B2C">
      <w:pPr>
        <w:ind w:left="547" w:hanging="360"/>
        <w:divId w:val="2041472688"/>
        <w:rPr>
          <w:rFonts w:eastAsia="Times New Roman"/>
          <w:sz w:val="20"/>
          <w:szCs w:val="20"/>
        </w:rPr>
      </w:pPr>
      <w:r>
        <w:rPr>
          <w:rFonts w:eastAsia="Times New Roman"/>
          <w:sz w:val="20"/>
          <w:szCs w:val="20"/>
        </w:rPr>
        <w:t>●</w:t>
      </w:r>
      <w:r>
        <w:rPr>
          <w:rFonts w:eastAsia="Times New Roman"/>
          <w:sz w:val="20"/>
          <w:szCs w:val="20"/>
        </w:rPr>
        <w:t>the efforts to facilitate timely enrollment in clinical trials and the effectiveness of recruiting publicity;</w:t>
      </w:r>
    </w:p>
    <w:p w:rsidR="00000000" w:rsidRDefault="00F22B2C">
      <w:pPr>
        <w:ind w:left="547" w:hanging="360"/>
        <w:divId w:val="539978035"/>
        <w:rPr>
          <w:rFonts w:eastAsia="Times New Roman"/>
          <w:sz w:val="20"/>
          <w:szCs w:val="20"/>
        </w:rPr>
      </w:pPr>
      <w:r>
        <w:rPr>
          <w:rFonts w:eastAsia="Times New Roman"/>
          <w:sz w:val="20"/>
          <w:szCs w:val="20"/>
        </w:rPr>
        <w:t>●</w:t>
      </w:r>
      <w:r>
        <w:rPr>
          <w:rFonts w:eastAsia="Times New Roman"/>
          <w:sz w:val="20"/>
          <w:szCs w:val="20"/>
        </w:rPr>
        <w:t>the patient referral practices of physicians;</w:t>
      </w:r>
    </w:p>
    <w:p w:rsidR="00000000" w:rsidRDefault="00F22B2C">
      <w:pPr>
        <w:ind w:left="547" w:hanging="360"/>
        <w:divId w:val="1896309562"/>
        <w:rPr>
          <w:rFonts w:eastAsia="Times New Roman"/>
          <w:sz w:val="20"/>
          <w:szCs w:val="20"/>
        </w:rPr>
      </w:pPr>
      <w:r>
        <w:rPr>
          <w:rFonts w:eastAsia="Times New Roman"/>
          <w:sz w:val="20"/>
          <w:szCs w:val="20"/>
        </w:rPr>
        <w:t>●</w:t>
      </w:r>
      <w:r>
        <w:rPr>
          <w:rFonts w:eastAsia="Times New Roman"/>
          <w:sz w:val="20"/>
          <w:szCs w:val="20"/>
        </w:rPr>
        <w:t>competing clinical trials for sim</w:t>
      </w:r>
      <w:r>
        <w:rPr>
          <w:rFonts w:eastAsia="Times New Roman"/>
          <w:sz w:val="20"/>
          <w:szCs w:val="20"/>
        </w:rPr>
        <w:t>ilar therapies or other new therapeutics not involving cell-based immunotherapy;</w:t>
      </w:r>
    </w:p>
    <w:p w:rsidR="00000000" w:rsidRDefault="00F22B2C">
      <w:pPr>
        <w:ind w:left="547" w:hanging="360"/>
        <w:divId w:val="1620138849"/>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effects of the product candidate being studied in relation to other available therapies, includi</w:t>
      </w:r>
      <w:r>
        <w:rPr>
          <w:rFonts w:eastAsia="Times New Roman"/>
          <w:sz w:val="20"/>
          <w:szCs w:val="20"/>
        </w:rPr>
        <w:t>ng any new drugs or treatments that may be approved for the indications we are investigating;</w:t>
      </w:r>
    </w:p>
    <w:p w:rsidR="00000000" w:rsidRDefault="00F22B2C">
      <w:pPr>
        <w:ind w:left="547" w:hanging="360"/>
        <w:divId w:val="774329194"/>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enrollment criteria, requiring the inclusion of additional patients in the clinical trial;</w:t>
      </w:r>
    </w:p>
    <w:p w:rsidR="00000000" w:rsidRDefault="00F22B2C">
      <w:pPr>
        <w:pStyle w:val="a3"/>
        <w:spacing w:before="480" w:beforeAutospacing="0" w:after="0" w:afterAutospacing="0"/>
        <w:jc w:val="center"/>
        <w:divId w:val="1388530174"/>
        <w:rPr>
          <w:sz w:val="20"/>
          <w:szCs w:val="20"/>
        </w:rPr>
      </w:pPr>
      <w:r>
        <w:rPr>
          <w:sz w:val="20"/>
          <w:szCs w:val="20"/>
        </w:rPr>
        <w:t>48</w:t>
      </w:r>
    </w:p>
    <w:p w:rsidR="00000000" w:rsidRDefault="00F22B2C">
      <w:pPr>
        <w:pStyle w:val="a3"/>
        <w:spacing w:before="0" w:beforeAutospacing="0" w:after="600" w:afterAutospacing="0"/>
        <w:divId w:val="7058738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147475125"/>
        </w:trPr>
        <w:tc>
          <w:tcPr>
            <w:tcW w:w="540"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the ongoing COVID-19 pandemic limiting our access to patients who would otherwise be eligible for enrollment, including treatment-naïve patients who may be more likely to seek standard of care therapies available a</w:t>
            </w:r>
            <w:r>
              <w:rPr>
                <w:rFonts w:eastAsia="Times New Roman"/>
                <w:sz w:val="20"/>
                <w:szCs w:val="20"/>
              </w:rPr>
              <w:t>t local treatment centers rather than enroll in a clinical trial at a larger hospital;</w:t>
            </w:r>
          </w:p>
        </w:tc>
      </w:tr>
    </w:tbl>
    <w:p w:rsidR="00000000" w:rsidRDefault="00F22B2C">
      <w:pPr>
        <w:ind w:left="547" w:hanging="360"/>
        <w:divId w:val="1140809826"/>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rsidR="00000000" w:rsidRDefault="00F22B2C">
      <w:pPr>
        <w:ind w:left="547" w:hanging="360"/>
        <w:divId w:val="889802349"/>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rsidR="00000000" w:rsidRDefault="00F22B2C">
      <w:pPr>
        <w:ind w:left="547" w:hanging="360"/>
        <w:divId w:val="1290011360"/>
        <w:rPr>
          <w:rFonts w:eastAsia="Times New Roman"/>
          <w:sz w:val="20"/>
          <w:szCs w:val="20"/>
        </w:rPr>
      </w:pPr>
      <w:r>
        <w:rPr>
          <w:rFonts w:eastAsia="Times New Roman"/>
          <w:sz w:val="20"/>
          <w:szCs w:val="20"/>
        </w:rPr>
        <w:t>●</w:t>
      </w:r>
      <w:r>
        <w:rPr>
          <w:rFonts w:eastAsia="Times New Roman"/>
          <w:sz w:val="20"/>
          <w:szCs w:val="20"/>
        </w:rPr>
        <w:t>the risk that pa</w:t>
      </w:r>
      <w:r>
        <w:rPr>
          <w:rFonts w:eastAsia="Times New Roman"/>
          <w:sz w:val="20"/>
          <w:szCs w:val="20"/>
        </w:rPr>
        <w:t>tients enrolled in clinical trials will not complete a clinical trial, return for post-treatment follow-up, or follow the required study procedures. For instance, patients, including patients in any control groups, may withdraw from the clinical trial if t</w:t>
      </w:r>
      <w:r>
        <w:rPr>
          <w:rFonts w:eastAsia="Times New Roman"/>
          <w:sz w:val="20"/>
          <w:szCs w:val="20"/>
        </w:rPr>
        <w:t>hey are not experiencing improvement in their underlying disease or condition. Withdrawal of patients from our clinical trials may compromise the quality of our data.</w:t>
      </w:r>
    </w:p>
    <w:p w:rsidR="00000000" w:rsidRDefault="00F22B2C">
      <w:pPr>
        <w:pStyle w:val="a3"/>
        <w:spacing w:before="0" w:beforeAutospacing="0" w:after="200" w:afterAutospacing="0"/>
        <w:ind w:firstLine="547"/>
        <w:divId w:val="1147475125"/>
        <w:rPr>
          <w:sz w:val="20"/>
          <w:szCs w:val="20"/>
        </w:rPr>
      </w:pPr>
      <w:r>
        <w:rPr>
          <w:sz w:val="20"/>
          <w:szCs w:val="20"/>
        </w:rPr>
        <w:t>In addition, our clinical trials will compete with other clinical trials for product cand</w:t>
      </w:r>
      <w:r>
        <w:rPr>
          <w:sz w:val="20"/>
          <w:szCs w:val="20"/>
        </w:rPr>
        <w:t>idates that are in the same therapeutic areas as our product candidates, and this competition will reduce the number and types of patients available to us, because some patients who might have opted to enroll in our trials may instead opt to enroll in a tr</w:t>
      </w:r>
      <w:r>
        <w:rPr>
          <w:sz w:val="20"/>
          <w:szCs w:val="20"/>
        </w:rPr>
        <w:t>ial being conducted by one of our competitors. Because the number of qualified clinical investigators is limited, we expect to conduct some of our clinical trials at the same clinical trial sites that some of our competitor’s use, which will reduce the num</w:t>
      </w:r>
      <w:r>
        <w:rPr>
          <w:sz w:val="20"/>
          <w:szCs w:val="20"/>
        </w:rPr>
        <w:t>ber of patients who are available for our clinical trials at such clinical trial sites. Moreover, because our product candidates represent a departure from more commonly used methods for cancer treatment, potential patients and their doctors may be incline</w:t>
      </w:r>
      <w:r>
        <w:rPr>
          <w:sz w:val="20"/>
          <w:szCs w:val="20"/>
        </w:rPr>
        <w:t>d to use conventional therapies, such as chemotherapy and approved immunotherapies, rather than enroll patients in any future clinical trial. In addition, potential enrollees may opt to participate in other clinical trials because of the length of time bet</w:t>
      </w:r>
      <w:r>
        <w:rPr>
          <w:sz w:val="20"/>
          <w:szCs w:val="20"/>
        </w:rPr>
        <w:t xml:space="preserve">ween the time that their tumor is excised and the TIL is infused back into the patient. Amendments to our clinical protocols may affect enrollment in, or results of, our trials, including amendments we have made to further define the patient population to </w:t>
      </w:r>
      <w:r>
        <w:rPr>
          <w:sz w:val="20"/>
          <w:szCs w:val="20"/>
        </w:rPr>
        <w:t>be studied.</w:t>
      </w:r>
    </w:p>
    <w:p w:rsidR="00000000" w:rsidRDefault="00F22B2C">
      <w:pPr>
        <w:pStyle w:val="a3"/>
        <w:spacing w:before="0" w:beforeAutospacing="0" w:after="200" w:afterAutospacing="0"/>
        <w:ind w:firstLine="547"/>
        <w:divId w:val="1147475125"/>
        <w:rPr>
          <w:sz w:val="20"/>
          <w:szCs w:val="20"/>
        </w:rPr>
      </w:pPr>
      <w:r>
        <w:rPr>
          <w:sz w:val="20"/>
          <w:szCs w:val="20"/>
        </w:rPr>
        <w:t>Even if we are able to enroll a sufficient number of patients in our clinical trials, delays in patient enrollment or small population size may result in increased costs or may affect the timing or outcome of the planned clinical trials, which could preven</w:t>
      </w:r>
      <w:r>
        <w:rPr>
          <w:sz w:val="20"/>
          <w:szCs w:val="20"/>
        </w:rPr>
        <w:t>t completion of these trials and adversely affect our ability to advance the development of our product candidates.</w:t>
      </w:r>
    </w:p>
    <w:p w:rsidR="00000000" w:rsidRDefault="00F22B2C">
      <w:pPr>
        <w:pStyle w:val="a3"/>
        <w:spacing w:before="0" w:beforeAutospacing="0" w:after="200" w:afterAutospacing="0"/>
        <w:ind w:firstLine="540"/>
        <w:divId w:val="1147475125"/>
        <w:rPr>
          <w:sz w:val="20"/>
          <w:szCs w:val="20"/>
        </w:rPr>
      </w:pPr>
      <w:r>
        <w:rPr>
          <w:b/>
          <w:bCs/>
          <w:i/>
          <w:iCs/>
          <w:sz w:val="20"/>
          <w:szCs w:val="20"/>
        </w:rPr>
        <w:t>Our product candidates may cause undesirable side effects or have other properties that could halt their clinical development, prevent their</w:t>
      </w:r>
      <w:r>
        <w:rPr>
          <w:b/>
          <w:bCs/>
          <w:i/>
          <w:iCs/>
          <w:sz w:val="20"/>
          <w:szCs w:val="20"/>
        </w:rPr>
        <w:t xml:space="preserve"> regulatory approval, limit their commercial potential or result in significant negative consequences.</w:t>
      </w:r>
    </w:p>
    <w:p w:rsidR="00000000" w:rsidRDefault="00F22B2C">
      <w:pPr>
        <w:pStyle w:val="a3"/>
        <w:spacing w:before="0" w:beforeAutospacing="0" w:after="200" w:afterAutospacing="0"/>
        <w:ind w:firstLine="540"/>
        <w:divId w:val="1147475125"/>
        <w:rPr>
          <w:sz w:val="20"/>
          <w:szCs w:val="20"/>
        </w:rPr>
      </w:pPr>
      <w:r>
        <w:rPr>
          <w:sz w:val="20"/>
          <w:szCs w:val="20"/>
        </w:rPr>
        <w:t>Results of our trials could reveal a high and unacceptable severity and prevalence of side effects or unexpected characteristics. Undesirable side effect</w:t>
      </w:r>
      <w:r>
        <w:rPr>
          <w:sz w:val="20"/>
          <w:szCs w:val="20"/>
        </w:rPr>
        <w:t xml:space="preserve">s caused by our product candidates could cause us, IRBs, DSMBs, or regulatory authorities to interrupt, delay or halt clinical trials and could result in a more restrictive label or the delay or denial of regulatory approval by the FDA or other comparable </w:t>
      </w:r>
      <w:r>
        <w:rPr>
          <w:sz w:val="20"/>
          <w:szCs w:val="20"/>
        </w:rPr>
        <w:t>foreign regulatory authorities. Even if we were to receive product approval, such approval could be contingent on inclusion of unfavorable information in our product labeling, such as limitations on the indications for use for which the products may be mar</w:t>
      </w:r>
      <w:r>
        <w:rPr>
          <w:sz w:val="20"/>
          <w:szCs w:val="20"/>
        </w:rPr>
        <w:t>keted or distributed, a label with significant safety warnings, including boxed warnings, contraindications, and precautions, a label without statements necessary or desirable for successful commercialization, or requirements for costly post marketing test</w:t>
      </w:r>
      <w:r>
        <w:rPr>
          <w:sz w:val="20"/>
          <w:szCs w:val="20"/>
        </w:rPr>
        <w:t>ing and surveillance, or other requirements, including a Risk Evaluation and Mitigations Strategy or REMS, to monitor the safety or efficacy of the products, and in turn prevent us from commercializing and generating revenues from the sale of our current o</w:t>
      </w:r>
      <w:r>
        <w:rPr>
          <w:sz w:val="20"/>
          <w:szCs w:val="20"/>
        </w:rPr>
        <w:t>r future product candidates.</w:t>
      </w:r>
    </w:p>
    <w:p w:rsidR="00000000" w:rsidRDefault="00F22B2C">
      <w:pPr>
        <w:pStyle w:val="a3"/>
        <w:spacing w:before="0" w:beforeAutospacing="0" w:after="200" w:afterAutospacing="0"/>
        <w:ind w:firstLine="540"/>
        <w:divId w:val="1147475125"/>
        <w:rPr>
          <w:sz w:val="20"/>
          <w:szCs w:val="20"/>
        </w:rPr>
      </w:pPr>
      <w:r>
        <w:rPr>
          <w:sz w:val="20"/>
          <w:szCs w:val="20"/>
        </w:rPr>
        <w:t>If unacceptable toxicities or side effects arise in the development of our product candidates, we, an IRB, DSMB or the FDA or comparable foreign regulatory authorities could order us to cease clinical trials, order our clinical</w:t>
      </w:r>
      <w:r>
        <w:rPr>
          <w:sz w:val="20"/>
          <w:szCs w:val="20"/>
        </w:rPr>
        <w:t xml:space="preserve"> trials to be placed on clinical hold, or deny approval of our product candidates for any or all targeted indications. The FDA or comparable foreign regulatory authorities may also require additional data, clinical, or pre-clinical studies should unaccepta</w:t>
      </w:r>
      <w:r>
        <w:rPr>
          <w:sz w:val="20"/>
          <w:szCs w:val="20"/>
        </w:rPr>
        <w:t>ble toxicities arise. We may need to abandon development or limit development of that product candidate to certain uses or subpopulations in which the undesirable side effects or other characteristics are less prevalent, less severe or more acceptable from</w:t>
      </w:r>
      <w:r>
        <w:rPr>
          <w:sz w:val="20"/>
          <w:szCs w:val="20"/>
        </w:rPr>
        <w:t xml:space="preserve"> a risk/benefit perspective. Toxicities associated with our trials and products may also negatively impact our ability to conduct clinical trials using TIL therapy in larger patient populations, such as in patients that have not yet been treated with other</w:t>
      </w:r>
      <w:r>
        <w:rPr>
          <w:sz w:val="20"/>
          <w:szCs w:val="20"/>
        </w:rPr>
        <w:t xml:space="preserve"> therapies or have not yet progressed on other therapies.</w:t>
      </w:r>
    </w:p>
    <w:p w:rsidR="00000000" w:rsidRDefault="00F22B2C">
      <w:pPr>
        <w:pStyle w:val="a3"/>
        <w:spacing w:before="0" w:beforeAutospacing="0" w:after="200" w:afterAutospacing="0"/>
        <w:ind w:firstLine="540"/>
        <w:divId w:val="1147475125"/>
        <w:rPr>
          <w:sz w:val="20"/>
          <w:szCs w:val="20"/>
        </w:rPr>
      </w:pPr>
      <w:r>
        <w:rPr>
          <w:sz w:val="20"/>
          <w:szCs w:val="20"/>
        </w:rPr>
        <w:t>Treatment-related side effects could also affect patient recruitment or the ability of enrolled subjects to complete our trials or result in potential product liability claims. Such toxicities, whic</w:t>
      </w:r>
      <w:r>
        <w:rPr>
          <w:sz w:val="20"/>
          <w:szCs w:val="20"/>
        </w:rPr>
        <w:t>h may arise from TIL therapy in general, including co-therapies, may include, for example, thrombocytopenia, chills, anemia, pyrexia, febrile neutropenia, diarrhea, neutropenia, vomiting, hypotension, and dyspnea. For example, the update in October 2018 fr</w:t>
      </w:r>
      <w:r>
        <w:rPr>
          <w:sz w:val="20"/>
          <w:szCs w:val="20"/>
        </w:rPr>
        <w:t>om the C-144-01 trial included two grade 5 treatment emergent adverse events. In addition, these side effects and deaths may not be appropriately recognized or managed by the treating medical staff, as toxicities resulting from personalized cell therapy ar</w:t>
      </w:r>
      <w:r>
        <w:rPr>
          <w:sz w:val="20"/>
          <w:szCs w:val="20"/>
        </w:rPr>
        <w:t>e not normally encountered in the general patient population and by medical personnel. Any of these occurrences may harm our business, financial condition and prospects significantly.</w:t>
      </w:r>
    </w:p>
    <w:p w:rsidR="00000000" w:rsidRDefault="00F22B2C">
      <w:pPr>
        <w:pStyle w:val="a3"/>
        <w:spacing w:before="480" w:beforeAutospacing="0" w:after="0" w:afterAutospacing="0"/>
        <w:jc w:val="center"/>
        <w:divId w:val="1989630634"/>
        <w:rPr>
          <w:sz w:val="20"/>
          <w:szCs w:val="20"/>
        </w:rPr>
      </w:pPr>
      <w:r>
        <w:rPr>
          <w:sz w:val="20"/>
          <w:szCs w:val="20"/>
        </w:rPr>
        <w:t>49</w:t>
      </w:r>
    </w:p>
    <w:p w:rsidR="00000000" w:rsidRDefault="00F22B2C">
      <w:pPr>
        <w:pStyle w:val="a3"/>
        <w:spacing w:before="0" w:beforeAutospacing="0" w:after="600" w:afterAutospacing="0"/>
        <w:divId w:val="1083262827"/>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0"/>
        <w:divId w:val="1653633271"/>
        <w:rPr>
          <w:sz w:val="20"/>
          <w:szCs w:val="20"/>
        </w:rPr>
      </w:pPr>
      <w:r>
        <w:rPr>
          <w:b/>
          <w:bCs/>
          <w:i/>
          <w:iCs/>
          <w:sz w:val="20"/>
          <w:szCs w:val="20"/>
        </w:rPr>
        <w:t>The manufacture of our pr</w:t>
      </w:r>
      <w:r>
        <w:rPr>
          <w:b/>
          <w:bCs/>
          <w:i/>
          <w:iCs/>
          <w:sz w:val="20"/>
          <w:szCs w:val="20"/>
        </w:rPr>
        <w:t xml:space="preserve">oduct candidates is complex, and we may encounter difficulties in production, particularly with respect to process development, quality control, or scaling-up of our manufacturing capabilities. If we, or any of our third-party manufacturers encounter such </w:t>
      </w:r>
      <w:r>
        <w:rPr>
          <w:b/>
          <w:bCs/>
          <w:i/>
          <w:iCs/>
          <w:sz w:val="20"/>
          <w:szCs w:val="20"/>
        </w:rPr>
        <w:t>difficulties, our ability to provide supply of our product candidates for clinical trials or our products for patients, if approved, could be delayed or stopped, or we may be unable to maintain a commercially viable cost structure.</w:t>
      </w:r>
    </w:p>
    <w:p w:rsidR="00000000" w:rsidRDefault="00F22B2C">
      <w:pPr>
        <w:pStyle w:val="a3"/>
        <w:spacing w:before="0" w:beforeAutospacing="0" w:after="200" w:afterAutospacing="0"/>
        <w:ind w:firstLine="547"/>
        <w:divId w:val="1653633271"/>
        <w:rPr>
          <w:sz w:val="20"/>
          <w:szCs w:val="20"/>
        </w:rPr>
      </w:pPr>
      <w:r>
        <w:rPr>
          <w:sz w:val="20"/>
          <w:szCs w:val="20"/>
        </w:rPr>
        <w:t>Our product candidates a</w:t>
      </w:r>
      <w:r>
        <w:rPr>
          <w:sz w:val="20"/>
          <w:szCs w:val="20"/>
        </w:rPr>
        <w:t>re biologics and the process of manufacturing our products is complex, highly regulated and subject to multiple risks. The manufacture of our product candidates involves complex processes, including harvesting tumor fragments from patients, isolating the T</w:t>
      </w:r>
      <w:r>
        <w:rPr>
          <w:sz w:val="20"/>
          <w:szCs w:val="20"/>
        </w:rPr>
        <w:t xml:space="preserve"> cells from the tumor fragments, multiplying the T cells to obtain the desired dose, and ultimately infusing the T cells back into a patient. As a result of the complexities, the cost to manufacture biologics is generally higher than traditional small mole</w:t>
      </w:r>
      <w:r>
        <w:rPr>
          <w:sz w:val="20"/>
          <w:szCs w:val="20"/>
        </w:rPr>
        <w:t>cule chemical compounds, and the manufacturing process is less reliable and is more difficult to reproduce. Our manufacturing process will be susceptible to product loss or failure due to logistical issues associated with the collection of tumor fragments,</w:t>
      </w:r>
      <w:r>
        <w:rPr>
          <w:sz w:val="20"/>
          <w:szCs w:val="20"/>
        </w:rPr>
        <w:t xml:space="preserve"> or starting material, from the patient, shipping such material to the manufacturing site, shipping the final product back to the patient, and infusing the patient with the product, manufacturing issues associated with the differences in patient starting m</w:t>
      </w:r>
      <w:r>
        <w:rPr>
          <w:sz w:val="20"/>
          <w:szCs w:val="20"/>
        </w:rPr>
        <w:t>aterial, interruptions in the manufacturing process, contamination, equipment failure, assay failures, improper installation or operation of equipment, vendor or operator error, inconsistency in cell growth, meeting pre-specified release criteria, and vari</w:t>
      </w:r>
      <w:r>
        <w:rPr>
          <w:sz w:val="20"/>
          <w:szCs w:val="20"/>
        </w:rPr>
        <w:t>ability in product characteristics. Even minor deviations from normal manufacturing processes could result in reduced production yields, product defects, and other supply disruptions. If for any reason we lose a patient’s starting material, or later-develo</w:t>
      </w:r>
      <w:r>
        <w:rPr>
          <w:sz w:val="20"/>
          <w:szCs w:val="20"/>
        </w:rPr>
        <w:t>ped product at any point in the process, or if any product does not meet the applicable specifications, the manufacturing process for that patient will need to be restarted, including resection of the proper amount of tumor fragment and the resulting delay</w:t>
      </w:r>
      <w:r>
        <w:rPr>
          <w:sz w:val="20"/>
          <w:szCs w:val="20"/>
        </w:rPr>
        <w:t xml:space="preserve"> may adversely affect that patient’s outcome. If microbial, viral, environmental or other contaminations are discovered in our product candidates or in the manufacturing facilities in which our product candidates are made, such manufacturing facilities may</w:t>
      </w:r>
      <w:r>
        <w:rPr>
          <w:sz w:val="20"/>
          <w:szCs w:val="20"/>
        </w:rPr>
        <w:t xml:space="preserve"> need to be closed for an extended period of time to investigate and remedy the contamination.</w:t>
      </w:r>
    </w:p>
    <w:p w:rsidR="00000000" w:rsidRDefault="00F22B2C">
      <w:pPr>
        <w:pStyle w:val="a3"/>
        <w:spacing w:before="0" w:beforeAutospacing="0" w:after="200" w:afterAutospacing="0"/>
        <w:ind w:firstLine="540"/>
        <w:divId w:val="1653633271"/>
        <w:rPr>
          <w:sz w:val="20"/>
          <w:szCs w:val="20"/>
        </w:rPr>
      </w:pPr>
      <w:r>
        <w:rPr>
          <w:sz w:val="20"/>
          <w:szCs w:val="20"/>
        </w:rPr>
        <w:t>Because our product candidates are manufactured specifically for each individual patient, we will be required to maintain a chain of identity with respect to the</w:t>
      </w:r>
      <w:r>
        <w:rPr>
          <w:sz w:val="20"/>
          <w:szCs w:val="20"/>
        </w:rPr>
        <w:t xml:space="preserve"> patient’s tumor as it moves from the patient to the manufacturing facility, through the manufacturing process, and back to the patient. Maintaining such a chain of identity is difficult and complex, and failure to do so could result in adverse patient out</w:t>
      </w:r>
      <w:r>
        <w:rPr>
          <w:sz w:val="20"/>
          <w:szCs w:val="20"/>
        </w:rPr>
        <w:t>comes, loss of product, or regulatory action including withdrawal of our products from the market. Further, as product candidates are developed through preclinical to late-stage clinical trials towards approval and commercialization, it is common that vari</w:t>
      </w:r>
      <w:r>
        <w:rPr>
          <w:sz w:val="20"/>
          <w:szCs w:val="20"/>
        </w:rPr>
        <w:t>ous aspects of the development program, such as manufacturing methods, are altered along the way to optimize processes and results. Such changes carry the risk that they will not achieve these intended objectives, and any of these changes could cause our p</w:t>
      </w:r>
      <w:r>
        <w:rPr>
          <w:sz w:val="20"/>
          <w:szCs w:val="20"/>
        </w:rPr>
        <w:t>roduct candidates to perform differently and affect the results of planned clinical trials or other future clinical trials or otherwise necessitate the conduct of additional studies.</w:t>
      </w:r>
    </w:p>
    <w:p w:rsidR="00000000" w:rsidRDefault="00F22B2C">
      <w:pPr>
        <w:pStyle w:val="a3"/>
        <w:spacing w:before="0" w:beforeAutospacing="0" w:after="200" w:afterAutospacing="0"/>
        <w:ind w:firstLine="547"/>
        <w:divId w:val="1653633271"/>
        <w:rPr>
          <w:sz w:val="20"/>
          <w:szCs w:val="20"/>
        </w:rPr>
      </w:pPr>
      <w:r>
        <w:rPr>
          <w:sz w:val="20"/>
          <w:szCs w:val="20"/>
        </w:rPr>
        <w:t>Currently, our product candidates are manufactured using processes develo</w:t>
      </w:r>
      <w:r>
        <w:rPr>
          <w:sz w:val="20"/>
          <w:szCs w:val="20"/>
        </w:rPr>
        <w:t>ped or modified by us or by our third-party research institution collaborators that we may not intend to use for more advanced clinical trials or commercialization. We have selected Gen 2 as the manufacturing process for product registration, and all ongoi</w:t>
      </w:r>
      <w:r>
        <w:rPr>
          <w:sz w:val="20"/>
          <w:szCs w:val="20"/>
        </w:rPr>
        <w:t>ng and future company-sponsored clinical trials. Although we believe Gen 2 is a commercially viable process, there are risks associated with scaling to the level required for advanced clinical trials or commercialization, including, among others, cost over</w:t>
      </w:r>
      <w:r>
        <w:rPr>
          <w:sz w:val="20"/>
          <w:szCs w:val="20"/>
        </w:rPr>
        <w:t>runs, potential problems with process scale-up, process reproducibility, stability issues, lot consistency, and timely availability of raw materials. This includes potential risks associated with the FDA not agreeing with all of the details of our validati</w:t>
      </w:r>
      <w:r>
        <w:rPr>
          <w:sz w:val="20"/>
          <w:szCs w:val="20"/>
        </w:rPr>
        <w:t>on data or other aspects of our potency assay or assays for Cohort 4 of our C-144-01 clinical trial. For example, on October 5, 2020, we announced that we and the FDA have not been able to agree on the required potency assays to fully define our TIL therap</w:t>
      </w:r>
      <w:r>
        <w:rPr>
          <w:sz w:val="20"/>
          <w:szCs w:val="20"/>
        </w:rPr>
        <w:t>y, which is required as part of a BLA submission, and that as a result of these developments, our BLA submission was not expected by the end of 2020 and was anticipated instead to occur in 2021. Previously, we reported the submission of assay data to the F</w:t>
      </w:r>
      <w:r>
        <w:rPr>
          <w:sz w:val="20"/>
          <w:szCs w:val="20"/>
        </w:rPr>
        <w:t>DA, and on May 18, 2021, we announced that we had received regulatory feedback from the FDA regarding our potency assays for lifileucel. Following FDA feedback regarding the potency assays for lifileucel, we have continued ongoing work developing and valid</w:t>
      </w:r>
      <w:r>
        <w:rPr>
          <w:sz w:val="20"/>
          <w:szCs w:val="20"/>
        </w:rPr>
        <w:t>ating our potency assays and have engaged in discussions with the FDA during the second half of 2021. Our BLA submission for lifileucel is now expected to occur during the first half of 2022. As a result of these challenges, we may experience delays in our</w:t>
      </w:r>
      <w:r>
        <w:rPr>
          <w:sz w:val="20"/>
          <w:szCs w:val="20"/>
        </w:rPr>
        <w:t xml:space="preserve"> clinical development and/or commercialization plans. Furthermore, we may ultimately be unable to reduce the cost of goods for our product candidates to levels that will allow for an attractive return on investment if and when those product candidates are </w:t>
      </w:r>
      <w:r>
        <w:rPr>
          <w:sz w:val="20"/>
          <w:szCs w:val="20"/>
        </w:rPr>
        <w:t>commercialized.</w:t>
      </w:r>
    </w:p>
    <w:p w:rsidR="00000000" w:rsidRDefault="00F22B2C">
      <w:pPr>
        <w:pStyle w:val="a3"/>
        <w:spacing w:before="0" w:beforeAutospacing="0" w:after="0" w:afterAutospacing="0"/>
        <w:ind w:firstLine="547"/>
        <w:divId w:val="1653633271"/>
        <w:rPr>
          <w:sz w:val="20"/>
          <w:szCs w:val="20"/>
        </w:rPr>
      </w:pPr>
      <w:r>
        <w:rPr>
          <w:sz w:val="20"/>
          <w:szCs w:val="20"/>
        </w:rPr>
        <w:t>Our current manufacturing strategy involves the use of CMOs. Currently our product candidates are manufactured by WuXi, Lonza, and Moffitt. Should we continue to use CMOs, we may not succeed in maintaining our relationships with our current</w:t>
      </w:r>
      <w:r>
        <w:rPr>
          <w:sz w:val="20"/>
          <w:szCs w:val="20"/>
        </w:rPr>
        <w:t xml:space="preserve"> CMOs or establishing relationships with additional or alternative CMOs. Our product candidates may compete with other products and product candidates for access to manufacturing facilities. There are a limited number of manufacturers that operate under cG</w:t>
      </w:r>
      <w:r>
        <w:rPr>
          <w:sz w:val="20"/>
          <w:szCs w:val="20"/>
        </w:rPr>
        <w:t xml:space="preserve">MP regulations and that are both capable of manufacturing for us and willing to do so. If our CMOs should cease manufacturing for us, we would </w:t>
      </w:r>
    </w:p>
    <w:p w:rsidR="00000000" w:rsidRDefault="00F22B2C">
      <w:pPr>
        <w:pStyle w:val="a3"/>
        <w:spacing w:before="480" w:beforeAutospacing="0" w:after="0" w:afterAutospacing="0"/>
        <w:jc w:val="center"/>
        <w:divId w:val="1807772836"/>
        <w:rPr>
          <w:sz w:val="20"/>
          <w:szCs w:val="20"/>
        </w:rPr>
      </w:pPr>
      <w:r>
        <w:rPr>
          <w:sz w:val="20"/>
          <w:szCs w:val="20"/>
        </w:rPr>
        <w:t>50</w:t>
      </w:r>
    </w:p>
    <w:p w:rsidR="00000000" w:rsidRDefault="00F22B2C">
      <w:pPr>
        <w:pStyle w:val="a3"/>
        <w:spacing w:before="0" w:beforeAutospacing="0" w:after="600" w:afterAutospacing="0"/>
        <w:divId w:val="1962153416"/>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1622614093"/>
        <w:rPr>
          <w:sz w:val="20"/>
          <w:szCs w:val="20"/>
        </w:rPr>
      </w:pPr>
      <w:r>
        <w:rPr>
          <w:sz w:val="20"/>
          <w:szCs w:val="20"/>
        </w:rPr>
        <w:t>experience delays in obtaining sufficient quantities of our produ</w:t>
      </w:r>
      <w:r>
        <w:rPr>
          <w:sz w:val="20"/>
          <w:szCs w:val="20"/>
        </w:rPr>
        <w:t>ct candidates for clinical trials and, if approved, commercial supply. Further, our CMOs may breach, terminate, or not renew these agreements. If we were to need to find alternative manufacturing facilities it would significantly impact our ability to deve</w:t>
      </w:r>
      <w:r>
        <w:rPr>
          <w:sz w:val="20"/>
          <w:szCs w:val="20"/>
        </w:rPr>
        <w:t>lop, obtain regulatory approval for or market our product candidates, if approved. The commercial terms of any new arrangement could be less favorable than our existing arrangements and the expenses relating to the transfer of necessary technology and proc</w:t>
      </w:r>
      <w:r>
        <w:rPr>
          <w:sz w:val="20"/>
          <w:szCs w:val="20"/>
        </w:rPr>
        <w:t>esses could be significant.</w:t>
      </w:r>
    </w:p>
    <w:p w:rsidR="00000000" w:rsidRDefault="00F22B2C">
      <w:pPr>
        <w:pStyle w:val="a3"/>
        <w:spacing w:before="0" w:beforeAutospacing="0" w:after="200" w:afterAutospacing="0"/>
        <w:ind w:firstLine="547"/>
        <w:divId w:val="1622614093"/>
        <w:rPr>
          <w:sz w:val="20"/>
          <w:szCs w:val="20"/>
        </w:rPr>
      </w:pPr>
      <w:r>
        <w:rPr>
          <w:sz w:val="20"/>
          <w:szCs w:val="20"/>
        </w:rPr>
        <w:t>Reliance on third-party manufacturers entails exposure to risks to which we would not be subject if we manufactured the product candidate ourselves, including:</w:t>
      </w:r>
    </w:p>
    <w:p w:rsidR="00000000" w:rsidRDefault="00F22B2C">
      <w:pPr>
        <w:ind w:left="547" w:hanging="360"/>
        <w:divId w:val="629895009"/>
        <w:rPr>
          <w:rFonts w:eastAsia="Times New Roman"/>
          <w:sz w:val="20"/>
          <w:szCs w:val="20"/>
        </w:rPr>
      </w:pPr>
      <w:r>
        <w:rPr>
          <w:rFonts w:eastAsia="Times New Roman"/>
          <w:sz w:val="20"/>
          <w:szCs w:val="20"/>
        </w:rPr>
        <w:t>●</w:t>
      </w:r>
      <w:r>
        <w:rPr>
          <w:rFonts w:eastAsia="Times New Roman"/>
          <w:sz w:val="20"/>
          <w:szCs w:val="20"/>
        </w:rPr>
        <w:t>inability to negotiate manufacturing and quality agreements with th</w:t>
      </w:r>
      <w:r>
        <w:rPr>
          <w:rFonts w:eastAsia="Times New Roman"/>
          <w:sz w:val="20"/>
          <w:szCs w:val="20"/>
        </w:rPr>
        <w:t>ird parties under commercially reasonable terms;</w:t>
      </w:r>
    </w:p>
    <w:p w:rsidR="00000000" w:rsidRDefault="00F22B2C">
      <w:pPr>
        <w:ind w:left="547" w:hanging="360"/>
        <w:divId w:val="342516003"/>
        <w:rPr>
          <w:rFonts w:eastAsia="Times New Roman"/>
          <w:sz w:val="20"/>
          <w:szCs w:val="20"/>
        </w:rPr>
      </w:pPr>
      <w:r>
        <w:rPr>
          <w:rFonts w:eastAsia="Times New Roman"/>
          <w:sz w:val="20"/>
          <w:szCs w:val="20"/>
        </w:rPr>
        <w:t>●</w:t>
      </w:r>
      <w:r>
        <w:rPr>
          <w:rFonts w:eastAsia="Times New Roman"/>
          <w:sz w:val="20"/>
          <w:szCs w:val="20"/>
        </w:rPr>
        <w:t>reduced day-to-day control over the manufacturing process for our product candidates as a result of using third-party manufacturers for all aspects of manufacturing activities;</w:t>
      </w:r>
    </w:p>
    <w:p w:rsidR="00000000" w:rsidRDefault="00F22B2C">
      <w:pPr>
        <w:ind w:left="547" w:hanging="360"/>
        <w:divId w:val="653068187"/>
        <w:rPr>
          <w:rFonts w:eastAsia="Times New Roman"/>
          <w:sz w:val="20"/>
          <w:szCs w:val="20"/>
        </w:rPr>
      </w:pPr>
      <w:r>
        <w:rPr>
          <w:rFonts w:eastAsia="Times New Roman"/>
          <w:sz w:val="20"/>
          <w:szCs w:val="20"/>
        </w:rPr>
        <w:t>●</w:t>
      </w:r>
      <w:r>
        <w:rPr>
          <w:rFonts w:eastAsia="Times New Roman"/>
          <w:sz w:val="20"/>
          <w:szCs w:val="20"/>
        </w:rPr>
        <w:t>reduced control over the pro</w:t>
      </w:r>
      <w:r>
        <w:rPr>
          <w:rFonts w:eastAsia="Times New Roman"/>
          <w:sz w:val="20"/>
          <w:szCs w:val="20"/>
        </w:rPr>
        <w:t>tection of our trade secrets and know-how from misappropriation or inadvertent disclosure;</w:t>
      </w:r>
    </w:p>
    <w:p w:rsidR="00000000" w:rsidRDefault="00F22B2C">
      <w:pPr>
        <w:ind w:left="547" w:hanging="360"/>
        <w:divId w:val="1201477054"/>
        <w:rPr>
          <w:rFonts w:eastAsia="Times New Roman"/>
          <w:sz w:val="20"/>
          <w:szCs w:val="20"/>
        </w:rPr>
      </w:pPr>
      <w:r>
        <w:rPr>
          <w:rFonts w:eastAsia="Times New Roman"/>
          <w:sz w:val="20"/>
          <w:szCs w:val="20"/>
        </w:rPr>
        <w:t>●</w:t>
      </w:r>
      <w:r>
        <w:rPr>
          <w:rFonts w:eastAsia="Times New Roman"/>
          <w:sz w:val="20"/>
          <w:szCs w:val="20"/>
        </w:rPr>
        <w:t>termination or nonrenewal of manufacturing agreements with third parties in a manner or at a time that may be costly or damaging to us or result in delays in the de</w:t>
      </w:r>
      <w:r>
        <w:rPr>
          <w:rFonts w:eastAsia="Times New Roman"/>
          <w:sz w:val="20"/>
          <w:szCs w:val="20"/>
        </w:rPr>
        <w:t>velopment or commercialization of our product candidates; and</w:t>
      </w:r>
    </w:p>
    <w:p w:rsidR="00000000" w:rsidRDefault="00F22B2C">
      <w:pPr>
        <w:ind w:left="547" w:hanging="360"/>
        <w:divId w:val="947733391"/>
        <w:rPr>
          <w:rFonts w:eastAsia="Times New Roman"/>
          <w:sz w:val="20"/>
          <w:szCs w:val="20"/>
        </w:rPr>
      </w:pPr>
      <w:r>
        <w:rPr>
          <w:rFonts w:eastAsia="Times New Roman"/>
          <w:sz w:val="20"/>
          <w:szCs w:val="20"/>
        </w:rPr>
        <w:t>●</w:t>
      </w:r>
      <w:r>
        <w:rPr>
          <w:rFonts w:eastAsia="Times New Roman"/>
          <w:sz w:val="20"/>
          <w:szCs w:val="20"/>
        </w:rPr>
        <w:t>disruptions to the operations of our third-party manufacturers or suppliers caused by conditions unrelated to our business or operations, including the bankruptcy of the manufacturer or supplier.</w:t>
      </w:r>
    </w:p>
    <w:p w:rsidR="00000000" w:rsidRDefault="00F22B2C">
      <w:pPr>
        <w:pStyle w:val="a3"/>
        <w:spacing w:before="0" w:beforeAutospacing="0" w:after="200" w:afterAutospacing="0"/>
        <w:ind w:firstLine="540"/>
        <w:divId w:val="1622614093"/>
        <w:rPr>
          <w:sz w:val="20"/>
          <w:szCs w:val="20"/>
        </w:rPr>
      </w:pPr>
      <w:r>
        <w:rPr>
          <w:sz w:val="20"/>
          <w:szCs w:val="20"/>
        </w:rPr>
        <w:t>In May 2019 we entered into a lease agreement to build a com</w:t>
      </w:r>
      <w:r>
        <w:rPr>
          <w:sz w:val="20"/>
          <w:szCs w:val="20"/>
        </w:rPr>
        <w:t>mercial-scale manufacturing facility in Philadelphia, Pennsylvania for commercial and clinical production of autologous TIL products, including our product candidate lifileucel. We expect that development of our own manufacturing facility will provide us w</w:t>
      </w:r>
      <w:r>
        <w:rPr>
          <w:sz w:val="20"/>
          <w:szCs w:val="20"/>
        </w:rPr>
        <w:t>ith enhanced control of material supply for both clinical trials and the commercial market, enable the more rapid implementation of process changes, and allow for better long-term margins. However, we have no experience as a company in developing a manufac</w:t>
      </w:r>
      <w:r>
        <w:rPr>
          <w:sz w:val="20"/>
          <w:szCs w:val="20"/>
        </w:rPr>
        <w:t xml:space="preserve">turing facility and we may not be successful in finalizing the development of our own manufacturing facility or capability. We may establish multiple manufacturing facilities as we expand our commercial footprint to multiple geographies, which may lead to </w:t>
      </w:r>
      <w:r>
        <w:rPr>
          <w:sz w:val="20"/>
          <w:szCs w:val="20"/>
        </w:rPr>
        <w:t>regulatory delays or prove costly. Even if we are successful, our manufacturing capabilities could be affected by cost-overruns, unexpected delays, equipment failures, labor shortages, natural disasters, power failures, and numerous other factors that coul</w:t>
      </w:r>
      <w:r>
        <w:rPr>
          <w:sz w:val="20"/>
          <w:szCs w:val="20"/>
        </w:rPr>
        <w:t>d prevent us from realizing the intended benefits of our manufacturing strategy and have a material adverse effect on our business.</w:t>
      </w:r>
    </w:p>
    <w:p w:rsidR="00000000" w:rsidRDefault="00F22B2C">
      <w:pPr>
        <w:pStyle w:val="a3"/>
        <w:spacing w:before="0" w:beforeAutospacing="0" w:after="200" w:afterAutospacing="0"/>
        <w:ind w:firstLine="540"/>
        <w:divId w:val="1622614093"/>
        <w:rPr>
          <w:sz w:val="20"/>
          <w:szCs w:val="20"/>
        </w:rPr>
      </w:pPr>
      <w:r>
        <w:rPr>
          <w:sz w:val="20"/>
          <w:szCs w:val="20"/>
        </w:rPr>
        <w:t>The manufacture of cell therapy products requires significant expertise and capital investment, including the development of</w:t>
      </w:r>
      <w:r>
        <w:rPr>
          <w:sz w:val="20"/>
          <w:szCs w:val="20"/>
        </w:rPr>
        <w:t xml:space="preserve"> advanced manufacturing techniques and process controls. Manufacturers of cell therapy products often encounter difficulties in production, particularly in scaling up initial production. These problems include difficulties with production costs and yields,</w:t>
      </w:r>
      <w:r>
        <w:rPr>
          <w:sz w:val="20"/>
          <w:szCs w:val="20"/>
        </w:rPr>
        <w:t xml:space="preserve"> quality control, including stability of the product candidate and quality assurance testing, shortages of qualified personnel, and compliance with strictly enforced federal, state, local and foreign regulations.</w:t>
      </w:r>
    </w:p>
    <w:p w:rsidR="00000000" w:rsidRDefault="00F22B2C">
      <w:pPr>
        <w:pStyle w:val="a3"/>
        <w:spacing w:before="0" w:beforeAutospacing="0" w:after="200" w:afterAutospacing="0"/>
        <w:ind w:firstLine="540"/>
        <w:divId w:val="1622614093"/>
        <w:rPr>
          <w:sz w:val="20"/>
          <w:szCs w:val="20"/>
        </w:rPr>
      </w:pPr>
      <w:r>
        <w:rPr>
          <w:sz w:val="20"/>
          <w:szCs w:val="20"/>
        </w:rPr>
        <w:t xml:space="preserve">Moreover, any problems or delays we or our </w:t>
      </w:r>
      <w:r>
        <w:rPr>
          <w:sz w:val="20"/>
          <w:szCs w:val="20"/>
        </w:rPr>
        <w:t>CMOs experience in preparing for commercial scale manufacturing of a product candidate or component may result in a delay in the FDA approval of the product candidate or may impair our ability to manufacture commercial quantities or such quantities at an a</w:t>
      </w:r>
      <w:r>
        <w:rPr>
          <w:sz w:val="20"/>
          <w:szCs w:val="20"/>
        </w:rPr>
        <w:t>cceptable cost, which could result in the delay, prevention, or impairment of clinical development and commercialization of our product candidates and could adversely affect our business. Furthermore, if we or our commercial manufacturers fail to deliver t</w:t>
      </w:r>
      <w:r>
        <w:rPr>
          <w:sz w:val="20"/>
          <w:szCs w:val="20"/>
        </w:rPr>
        <w:t>he required commercial quantities of our product candidates on a timely basis and at reasonable costs, we would likely be unable to meet demand for our products and we would lose potential revenues.</w:t>
      </w:r>
    </w:p>
    <w:p w:rsidR="00000000" w:rsidRDefault="00F22B2C">
      <w:pPr>
        <w:pStyle w:val="a3"/>
        <w:spacing w:before="0" w:beforeAutospacing="0" w:after="200" w:afterAutospacing="0"/>
        <w:ind w:firstLine="540"/>
        <w:divId w:val="1622614093"/>
        <w:rPr>
          <w:sz w:val="20"/>
          <w:szCs w:val="20"/>
        </w:rPr>
      </w:pPr>
      <w:r>
        <w:rPr>
          <w:sz w:val="20"/>
          <w:szCs w:val="20"/>
        </w:rPr>
        <w:t>In addition, the manufacturing process and facilities for</w:t>
      </w:r>
      <w:r>
        <w:rPr>
          <w:sz w:val="20"/>
          <w:szCs w:val="20"/>
        </w:rPr>
        <w:t xml:space="preserve"> any products that we may develop is subject to FDA and foreign regulatory authority approval processes, and we or our CMOs will need to meet all applicable FDA and foreign regulatory authority requirements, including cGMPs, on an ongoing basis. The cGMP r</w:t>
      </w:r>
      <w:r>
        <w:rPr>
          <w:sz w:val="20"/>
          <w:szCs w:val="20"/>
        </w:rPr>
        <w:t>equirements include quality control, quality assurance, and the maintenance of records and documentation. The FDA and other regulatory authorities enforce these requirements through facility inspections. Manufacturing facilities must submit to pre-approval</w:t>
      </w:r>
      <w:r>
        <w:rPr>
          <w:sz w:val="20"/>
          <w:szCs w:val="20"/>
        </w:rPr>
        <w:t xml:space="preserve"> inspections by the FDA that will be conducted after we submit our marketing applications, including our BLAs, to the FDA. Manufacturers are also subject to continuing regulatory oversight by FDA and other regulatory authorities, including inspections foll</w:t>
      </w:r>
      <w:r>
        <w:rPr>
          <w:sz w:val="20"/>
          <w:szCs w:val="20"/>
        </w:rPr>
        <w:t>owing marketing approval. Further, we, in cooperation with our CMOs, must supply all necessary chemistry, manufacturing, and control documentation for a pre-approval inspection</w:t>
      </w:r>
      <w:r>
        <w:rPr>
          <w:sz w:val="20"/>
          <w:szCs w:val="20"/>
        </w:rPr>
        <w:t xml:space="preserve"> </w:t>
      </w:r>
      <w:r>
        <w:rPr>
          <w:sz w:val="20"/>
          <w:szCs w:val="20"/>
        </w:rPr>
        <w:t>in support of a BLA on a timely basis. There is no guarantee that</w:t>
      </w:r>
      <w:r>
        <w:rPr>
          <w:sz w:val="20"/>
          <w:szCs w:val="20"/>
        </w:rPr>
        <w:t xml:space="preserve"> </w:t>
      </w:r>
      <w:r>
        <w:rPr>
          <w:sz w:val="20"/>
          <w:szCs w:val="20"/>
        </w:rPr>
        <w:t>we or our CMO</w:t>
      </w:r>
      <w:r>
        <w:rPr>
          <w:sz w:val="20"/>
          <w:szCs w:val="20"/>
        </w:rPr>
        <w:t>s will be able to successfully pass all aspects of a pre-approval inspection by the FDA or other foreign regulatory authorities.</w:t>
      </w:r>
    </w:p>
    <w:p w:rsidR="00000000" w:rsidRDefault="00F22B2C">
      <w:pPr>
        <w:pStyle w:val="a3"/>
        <w:spacing w:before="0" w:beforeAutospacing="0" w:after="0" w:afterAutospacing="0"/>
        <w:ind w:firstLine="540"/>
        <w:divId w:val="1622614093"/>
        <w:rPr>
          <w:sz w:val="20"/>
          <w:szCs w:val="20"/>
        </w:rPr>
      </w:pPr>
      <w:r>
        <w:rPr>
          <w:sz w:val="20"/>
          <w:szCs w:val="20"/>
        </w:rPr>
        <w:t>Our, or our CMOs’ manufacturing facilities may be unable to comply with our specifications, cGMPs, and with other FDA, state, a</w:t>
      </w:r>
      <w:r>
        <w:rPr>
          <w:sz w:val="20"/>
          <w:szCs w:val="20"/>
        </w:rPr>
        <w:t xml:space="preserve">nd foreign regulatory requirements. Poor control of production processes can lead to the introduction of adventitious agents or other contaminants, or to inadvertent changes in the properties or stability of product candidate that may not be detectable in </w:t>
      </w:r>
      <w:r>
        <w:rPr>
          <w:sz w:val="20"/>
          <w:szCs w:val="20"/>
        </w:rPr>
        <w:t xml:space="preserve">final </w:t>
      </w:r>
    </w:p>
    <w:p w:rsidR="00000000" w:rsidRDefault="00F22B2C">
      <w:pPr>
        <w:pStyle w:val="a3"/>
        <w:spacing w:before="480" w:beforeAutospacing="0" w:after="0" w:afterAutospacing="0"/>
        <w:jc w:val="center"/>
        <w:divId w:val="1046444847"/>
        <w:rPr>
          <w:sz w:val="20"/>
          <w:szCs w:val="20"/>
        </w:rPr>
      </w:pPr>
      <w:r>
        <w:rPr>
          <w:sz w:val="20"/>
          <w:szCs w:val="20"/>
        </w:rPr>
        <w:t>51</w:t>
      </w:r>
    </w:p>
    <w:p w:rsidR="00000000" w:rsidRDefault="00F22B2C">
      <w:pPr>
        <w:pStyle w:val="a3"/>
        <w:spacing w:before="0" w:beforeAutospacing="0" w:after="600" w:afterAutospacing="0"/>
        <w:divId w:val="1233999807"/>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1808742163"/>
        <w:rPr>
          <w:sz w:val="20"/>
          <w:szCs w:val="20"/>
        </w:rPr>
      </w:pPr>
      <w:r>
        <w:rPr>
          <w:sz w:val="20"/>
          <w:szCs w:val="20"/>
        </w:rPr>
        <w:t>product testing. If we or our CMOs are unable to reliably produce products to specifications acceptable to the FDA or other regulatory authorities, or in accordance with the strict regulatory requiremen</w:t>
      </w:r>
      <w:r>
        <w:rPr>
          <w:sz w:val="20"/>
          <w:szCs w:val="20"/>
        </w:rPr>
        <w:t>ts, we may not obtain or maintain the approvals we need to commercialize such products. Even if we obtain regulatory approval for any of our product candidates, there is no assurance that either we or our CMOs will be able to manufacture the approved produ</w:t>
      </w:r>
      <w:r>
        <w:rPr>
          <w:sz w:val="20"/>
          <w:szCs w:val="20"/>
        </w:rPr>
        <w:t>ct to specifications acceptable to the FDA or other regulatory authorities, to produce it in sufficient quantities to meet the requirements for the potential launch of the product, or to meet potential future demand. Deviations from manufacturing requireme</w:t>
      </w:r>
      <w:r>
        <w:rPr>
          <w:sz w:val="20"/>
          <w:szCs w:val="20"/>
        </w:rPr>
        <w:t>nts may further require remedial measures that may be costly and/or time-consuming for us or a third party to implement and may include the temporary or permanent suspension of a clinical trial or commercial sales or the temporary or permanent closure of a</w:t>
      </w:r>
      <w:r>
        <w:rPr>
          <w:sz w:val="20"/>
          <w:szCs w:val="20"/>
        </w:rPr>
        <w:t xml:space="preserve"> facility. Any such remedial measures imposed upon us or third parties with whom we contract could materially harm our business.</w:t>
      </w:r>
    </w:p>
    <w:p w:rsidR="00000000" w:rsidRDefault="00F22B2C">
      <w:pPr>
        <w:pStyle w:val="a3"/>
        <w:spacing w:before="0" w:beforeAutospacing="0" w:after="200" w:afterAutospacing="0"/>
        <w:ind w:firstLine="540"/>
        <w:divId w:val="1808742163"/>
        <w:rPr>
          <w:sz w:val="20"/>
          <w:szCs w:val="20"/>
        </w:rPr>
      </w:pPr>
      <w:r>
        <w:rPr>
          <w:sz w:val="20"/>
          <w:szCs w:val="20"/>
        </w:rPr>
        <w:t>Even to the extent we use and continue to use CMOs, we are ultimately responsible for the manufacture of our products and produ</w:t>
      </w:r>
      <w:r>
        <w:rPr>
          <w:sz w:val="20"/>
          <w:szCs w:val="20"/>
        </w:rPr>
        <w:t>ct candidates. A failure to comply with these requirements may result in regulatory enforcement actions against our manufacturers or us, including fines and civil and criminal penalties, which could result in imprisonment, suspension or restrictions of pro</w:t>
      </w:r>
      <w:r>
        <w:rPr>
          <w:sz w:val="20"/>
          <w:szCs w:val="20"/>
        </w:rPr>
        <w:t>duction, injunctions, delay or denial of product approval or supplements to approved products, clinical holds or termination of clinical studies, warning or untitled letters, regulatory authority communications warning the public about safety issues with t</w:t>
      </w:r>
      <w:r>
        <w:rPr>
          <w:sz w:val="20"/>
          <w:szCs w:val="20"/>
        </w:rPr>
        <w:t>he biologic, refusal to permit the import or export of the products, product seizure, detention, or recall, operating restrictions, suits under the civil False Claims Act, corporate integrity agreements, consent decrees, or withdrawal of product approval.</w:t>
      </w:r>
    </w:p>
    <w:p w:rsidR="00000000" w:rsidRDefault="00F22B2C">
      <w:pPr>
        <w:pStyle w:val="a3"/>
        <w:spacing w:before="0" w:beforeAutospacing="0" w:after="200" w:afterAutospacing="0"/>
        <w:ind w:firstLine="540"/>
        <w:divId w:val="1808742163"/>
        <w:rPr>
          <w:sz w:val="20"/>
          <w:szCs w:val="20"/>
        </w:rPr>
      </w:pPr>
      <w:r>
        <w:rPr>
          <w:sz w:val="20"/>
          <w:szCs w:val="20"/>
        </w:rPr>
        <w:t xml:space="preserve">Any of these challenges could delay completion of clinical trials, require bridging clinical trials or the repetition of one or more clinical trials, increase clinical trial costs, delay approval of our product candidate, impair commercialization efforts, </w:t>
      </w:r>
      <w:r>
        <w:rPr>
          <w:sz w:val="20"/>
          <w:szCs w:val="20"/>
        </w:rPr>
        <w:t>increase our cost of goods, and have an adverse effect on our business, financial condition, results of operations and growth prospects.</w:t>
      </w:r>
    </w:p>
    <w:p w:rsidR="00000000" w:rsidRDefault="00F22B2C">
      <w:pPr>
        <w:pStyle w:val="a3"/>
        <w:spacing w:before="0" w:beforeAutospacing="0" w:after="200" w:afterAutospacing="0"/>
        <w:ind w:firstLine="540"/>
        <w:divId w:val="1808742163"/>
        <w:rPr>
          <w:sz w:val="20"/>
          <w:szCs w:val="20"/>
        </w:rPr>
      </w:pPr>
      <w:r>
        <w:rPr>
          <w:b/>
          <w:bCs/>
          <w:i/>
          <w:iCs/>
          <w:sz w:val="20"/>
          <w:szCs w:val="20"/>
        </w:rPr>
        <w:t>Cell-based therapies and biologics rely on the availability of reagents, specialized equipment, and other specialty mat</w:t>
      </w:r>
      <w:r>
        <w:rPr>
          <w:b/>
          <w:bCs/>
          <w:i/>
          <w:iCs/>
          <w:sz w:val="20"/>
          <w:szCs w:val="20"/>
        </w:rPr>
        <w:t>erials, which may not be available to us on acceptable terms or at all. For some of these reagents, equipment, and materials, we rely or may rely on sole source vendors or a limited number of vendors, which could impair our ability to manufacture and suppl</w:t>
      </w:r>
      <w:r>
        <w:rPr>
          <w:b/>
          <w:bCs/>
          <w:i/>
          <w:iCs/>
          <w:sz w:val="20"/>
          <w:szCs w:val="20"/>
        </w:rPr>
        <w:t>y our products.</w:t>
      </w:r>
    </w:p>
    <w:p w:rsidR="00000000" w:rsidRDefault="00F22B2C">
      <w:pPr>
        <w:pStyle w:val="a3"/>
        <w:spacing w:before="0" w:beforeAutospacing="0" w:after="200" w:afterAutospacing="0"/>
        <w:ind w:firstLine="540"/>
        <w:divId w:val="1808742163"/>
        <w:rPr>
          <w:sz w:val="20"/>
          <w:szCs w:val="20"/>
        </w:rPr>
      </w:pPr>
      <w:r>
        <w:rPr>
          <w:sz w:val="20"/>
          <w:szCs w:val="20"/>
        </w:rPr>
        <w:t>Manufacturing our product candidates requires many reagents, which are substances used in our manufacturing processes to bring about chemical or biological reactions, and other specialty materials and equipment, some of which are manufactur</w:t>
      </w:r>
      <w:r>
        <w:rPr>
          <w:sz w:val="20"/>
          <w:szCs w:val="20"/>
        </w:rPr>
        <w:t>ed or supplied by small companies with limited resources and experience to support commercial biologics production. We currently depend on a limited number of vendors for certain materials and equipment used in the manufacture of our product candidates. So</w:t>
      </w:r>
      <w:r>
        <w:rPr>
          <w:sz w:val="20"/>
          <w:szCs w:val="20"/>
        </w:rPr>
        <w:t>me of these suppliers may not have the capacity to support clinical trials and commercial products manufactured under cGMP by biopharmaceutical firms or may otherwise be ill-equipped to support our needs. We also do not have supply contracts with many of t</w:t>
      </w:r>
      <w:r>
        <w:rPr>
          <w:sz w:val="20"/>
          <w:szCs w:val="20"/>
        </w:rPr>
        <w:t>hese suppliers and may not be able to obtain supply contracts with them on acceptable terms or at all. Accordingly, we may experience delays in receiving key materials and equipment to support clinical or commercial manufacturing.</w:t>
      </w:r>
    </w:p>
    <w:p w:rsidR="00000000" w:rsidRDefault="00F22B2C">
      <w:pPr>
        <w:pStyle w:val="a3"/>
        <w:spacing w:before="0" w:beforeAutospacing="0" w:after="200" w:afterAutospacing="0"/>
        <w:ind w:firstLine="540"/>
        <w:divId w:val="1808742163"/>
        <w:rPr>
          <w:sz w:val="20"/>
          <w:szCs w:val="20"/>
        </w:rPr>
      </w:pPr>
      <w:r>
        <w:rPr>
          <w:sz w:val="20"/>
          <w:szCs w:val="20"/>
        </w:rPr>
        <w:t>For some of these reagent</w:t>
      </w:r>
      <w:r>
        <w:rPr>
          <w:sz w:val="20"/>
          <w:szCs w:val="20"/>
        </w:rPr>
        <w:t>s, equipment, and materials, we rely and may in the future rely on sole source vendors or a limited number of vendors. An inability to continue to source product from any of these suppliers, which could be due to a number of issues, including regulatory ac</w:t>
      </w:r>
      <w:r>
        <w:rPr>
          <w:sz w:val="20"/>
          <w:szCs w:val="20"/>
        </w:rPr>
        <w:t>tions or requirements affecting the supplier, adverse financial or other strategic developments experienced by a supplier, labor disputes or shortages, unexpected demands, or quality issues, could adversely affect our ability to satisfy demand for our prod</w:t>
      </w:r>
      <w:r>
        <w:rPr>
          <w:sz w:val="20"/>
          <w:szCs w:val="20"/>
        </w:rPr>
        <w:t>uct candidates, which could adversely and materially affect our product sales and operating results or our ability to conduct clinical trials, either of which could significantly harm our business.</w:t>
      </w:r>
    </w:p>
    <w:p w:rsidR="00000000" w:rsidRDefault="00F22B2C">
      <w:pPr>
        <w:pStyle w:val="a3"/>
        <w:spacing w:before="0" w:beforeAutospacing="0" w:after="200" w:afterAutospacing="0"/>
        <w:ind w:firstLine="547"/>
        <w:divId w:val="1808742163"/>
        <w:rPr>
          <w:sz w:val="20"/>
          <w:szCs w:val="20"/>
        </w:rPr>
      </w:pPr>
      <w:r>
        <w:rPr>
          <w:sz w:val="20"/>
          <w:szCs w:val="20"/>
        </w:rPr>
        <w:t>As we continue to develop and scale our manufacturing proc</w:t>
      </w:r>
      <w:r>
        <w:rPr>
          <w:sz w:val="20"/>
          <w:szCs w:val="20"/>
        </w:rPr>
        <w:t>ess, we expect that we will need to obtain rights to and supplies of certain materials and equipment to be used as part of that process. We may not be able to obtain rights to such materials on commercially reasonable terms, or at all, and if we are unable</w:t>
      </w:r>
      <w:r>
        <w:rPr>
          <w:sz w:val="20"/>
          <w:szCs w:val="20"/>
        </w:rPr>
        <w:t xml:space="preserve"> to alter our process in a commercially viable manner to avoid the use of such materials or find a suitable substitute, it would have a material adverse effect on our business. Even if we are able to alter our process so as to use other materials or equipm</w:t>
      </w:r>
      <w:r>
        <w:rPr>
          <w:sz w:val="20"/>
          <w:szCs w:val="20"/>
        </w:rPr>
        <w:t>ent, such a change may lead to a delay in our clinical development and/or commercialization plans. If such a change occurs for product candidate that is already in clinical testing, the change may require us to perform both </w:t>
      </w:r>
      <w:r>
        <w:rPr>
          <w:i/>
          <w:iCs/>
          <w:sz w:val="20"/>
          <w:szCs w:val="20"/>
        </w:rPr>
        <w:t xml:space="preserve">ex vivo </w:t>
      </w:r>
      <w:r>
        <w:rPr>
          <w:sz w:val="20"/>
          <w:szCs w:val="20"/>
        </w:rPr>
        <w:t>comparability studies an</w:t>
      </w:r>
      <w:r>
        <w:rPr>
          <w:sz w:val="20"/>
          <w:szCs w:val="20"/>
        </w:rPr>
        <w:t>d to collect additional data from patients prior to undertaking more advanced clinical trials.</w:t>
      </w:r>
    </w:p>
    <w:p w:rsidR="00000000" w:rsidRDefault="00F22B2C">
      <w:pPr>
        <w:pStyle w:val="a3"/>
        <w:spacing w:before="0" w:beforeAutospacing="0" w:after="200" w:afterAutospacing="0"/>
        <w:ind w:firstLine="547"/>
        <w:divId w:val="1808742163"/>
        <w:rPr>
          <w:sz w:val="20"/>
          <w:szCs w:val="20"/>
        </w:rPr>
      </w:pPr>
      <w:r>
        <w:rPr>
          <w:b/>
          <w:bCs/>
          <w:i/>
          <w:iCs/>
          <w:sz w:val="20"/>
          <w:szCs w:val="20"/>
        </w:rPr>
        <w:t>We will be unable to commercialize our products if our trials are not successful.</w:t>
      </w:r>
    </w:p>
    <w:p w:rsidR="00000000" w:rsidRDefault="00F22B2C">
      <w:pPr>
        <w:pStyle w:val="a3"/>
        <w:spacing w:before="0" w:beforeAutospacing="0" w:after="0" w:afterAutospacing="0"/>
        <w:ind w:firstLine="547"/>
        <w:divId w:val="1808742163"/>
        <w:rPr>
          <w:sz w:val="20"/>
          <w:szCs w:val="20"/>
        </w:rPr>
      </w:pPr>
      <w:r>
        <w:rPr>
          <w:sz w:val="20"/>
          <w:szCs w:val="20"/>
        </w:rPr>
        <w:t>With the exception of lifileucel for metastatic melanoma and metastatic cervica</w:t>
      </w:r>
      <w:r>
        <w:rPr>
          <w:sz w:val="20"/>
          <w:szCs w:val="20"/>
        </w:rPr>
        <w:t xml:space="preserve">l cancer, our research and development programs are at an early stage. We must demonstrate our products’ safety and efficacy in humans through extensive clinical testing. </w:t>
      </w:r>
    </w:p>
    <w:p w:rsidR="00000000" w:rsidRDefault="00F22B2C">
      <w:pPr>
        <w:pStyle w:val="a3"/>
        <w:spacing w:before="480" w:beforeAutospacing="0" w:after="0" w:afterAutospacing="0"/>
        <w:jc w:val="center"/>
        <w:divId w:val="1508212494"/>
        <w:rPr>
          <w:sz w:val="20"/>
          <w:szCs w:val="20"/>
        </w:rPr>
      </w:pPr>
      <w:r>
        <w:rPr>
          <w:sz w:val="20"/>
          <w:szCs w:val="20"/>
        </w:rPr>
        <w:t>52</w:t>
      </w:r>
    </w:p>
    <w:p w:rsidR="00000000" w:rsidRDefault="00F22B2C">
      <w:pPr>
        <w:pStyle w:val="a3"/>
        <w:spacing w:before="0" w:beforeAutospacing="0" w:after="600" w:afterAutospacing="0"/>
        <w:divId w:val="503325569"/>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1959412216"/>
        <w:rPr>
          <w:sz w:val="20"/>
          <w:szCs w:val="20"/>
        </w:rPr>
      </w:pPr>
      <w:r>
        <w:rPr>
          <w:sz w:val="20"/>
          <w:szCs w:val="20"/>
        </w:rPr>
        <w:t>We may experience numerous unforeseen events during, or as a result of, the testing process that could delay or prevent commercialization of our products, including but not limited to the following:</w:t>
      </w:r>
    </w:p>
    <w:p w:rsidR="00000000" w:rsidRDefault="00F22B2C">
      <w:pPr>
        <w:ind w:left="547" w:hanging="360"/>
        <w:divId w:val="522785679"/>
        <w:rPr>
          <w:rFonts w:eastAsia="Times New Roman"/>
          <w:sz w:val="20"/>
          <w:szCs w:val="20"/>
        </w:rPr>
      </w:pPr>
      <w:r>
        <w:rPr>
          <w:rFonts w:eastAsia="Times New Roman"/>
          <w:sz w:val="20"/>
          <w:szCs w:val="20"/>
        </w:rPr>
        <w:t>●</w:t>
      </w:r>
      <w:r>
        <w:rPr>
          <w:rFonts w:eastAsia="Times New Roman"/>
          <w:sz w:val="20"/>
          <w:szCs w:val="20"/>
        </w:rPr>
        <w:t>safety and efficacy results in various human clinical tr</w:t>
      </w:r>
      <w:r>
        <w:rPr>
          <w:rFonts w:eastAsia="Times New Roman"/>
          <w:sz w:val="20"/>
          <w:szCs w:val="20"/>
        </w:rPr>
        <w:t>ials reported in scientific and medical literature may not be indicative of results we obtain in our clinical trials;</w:t>
      </w:r>
    </w:p>
    <w:p w:rsidR="00000000" w:rsidRDefault="00F22B2C">
      <w:pPr>
        <w:ind w:left="547" w:hanging="360"/>
        <w:divId w:val="1454985043"/>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previously have believed to be promising;</w:t>
      </w:r>
    </w:p>
    <w:p w:rsidR="00000000" w:rsidRDefault="00F22B2C">
      <w:pPr>
        <w:ind w:left="547" w:hanging="360"/>
        <w:divId w:val="983193015"/>
        <w:rPr>
          <w:rFonts w:eastAsia="Times New Roman"/>
          <w:sz w:val="20"/>
          <w:szCs w:val="20"/>
        </w:rPr>
      </w:pPr>
      <w:r>
        <w:rPr>
          <w:rFonts w:eastAsia="Times New Roman"/>
          <w:sz w:val="20"/>
          <w:szCs w:val="20"/>
        </w:rPr>
        <w:t>●</w:t>
      </w:r>
      <w:r>
        <w:rPr>
          <w:rFonts w:eastAsia="Times New Roman"/>
          <w:sz w:val="20"/>
          <w:szCs w:val="20"/>
        </w:rPr>
        <w:t>we, o</w:t>
      </w:r>
      <w:r>
        <w:rPr>
          <w:rFonts w:eastAsia="Times New Roman"/>
          <w:sz w:val="20"/>
          <w:szCs w:val="20"/>
        </w:rPr>
        <w:t>ur collaborators or regulators, may suspend or terminate clinical trials if the participating subjects or patients are being exposed to unacceptable health risks;</w:t>
      </w:r>
    </w:p>
    <w:p w:rsidR="00000000" w:rsidRDefault="00F22B2C">
      <w:pPr>
        <w:ind w:left="547" w:hanging="360"/>
        <w:divId w:val="1704400332"/>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w:t>
      </w:r>
      <w:r>
        <w:rPr>
          <w:rFonts w:eastAsia="Times New Roman"/>
          <w:sz w:val="20"/>
          <w:szCs w:val="20"/>
        </w:rPr>
        <w:t>rable side effects or other characteristics that preclude regulatory approval or limit their commercial use if approved;</w:t>
      </w:r>
    </w:p>
    <w:p w:rsidR="00000000" w:rsidRDefault="00F22B2C">
      <w:pPr>
        <w:ind w:left="547" w:hanging="360"/>
        <w:divId w:val="1357972188"/>
        <w:rPr>
          <w:rFonts w:eastAsia="Times New Roman"/>
          <w:sz w:val="20"/>
          <w:szCs w:val="20"/>
        </w:rPr>
      </w:pPr>
      <w:r>
        <w:rPr>
          <w:rFonts w:eastAsia="Times New Roman"/>
          <w:sz w:val="20"/>
          <w:szCs w:val="20"/>
        </w:rPr>
        <w:t>●</w:t>
      </w:r>
      <w:r>
        <w:rPr>
          <w:rFonts w:eastAsia="Times New Roman"/>
          <w:sz w:val="20"/>
          <w:szCs w:val="20"/>
        </w:rPr>
        <w:t>manufacturers may not meet the necessary standards for the production of the product candidates or may not be able to supply the produ</w:t>
      </w:r>
      <w:r>
        <w:rPr>
          <w:rFonts w:eastAsia="Times New Roman"/>
          <w:sz w:val="20"/>
          <w:szCs w:val="20"/>
        </w:rPr>
        <w:t>ct candidates in a sufficient quantity; and</w:t>
      </w:r>
    </w:p>
    <w:p w:rsidR="00000000" w:rsidRDefault="00F22B2C">
      <w:pPr>
        <w:ind w:left="547" w:hanging="360"/>
        <w:divId w:val="942684604"/>
        <w:rPr>
          <w:rFonts w:eastAsia="Times New Roman"/>
          <w:sz w:val="20"/>
          <w:szCs w:val="20"/>
        </w:rPr>
      </w:pPr>
      <w:r>
        <w:rPr>
          <w:rFonts w:eastAsia="Times New Roman"/>
          <w:sz w:val="20"/>
          <w:szCs w:val="20"/>
        </w:rPr>
        <w:t>●</w:t>
      </w:r>
      <w:r>
        <w:rPr>
          <w:rFonts w:eastAsia="Times New Roman"/>
          <w:sz w:val="20"/>
          <w:szCs w:val="20"/>
        </w:rPr>
        <w:t>regulatory authorities may find that our clinical trial design or conduct does not meet the applicable approval requirements.</w:t>
      </w:r>
    </w:p>
    <w:p w:rsidR="00000000" w:rsidRDefault="00F22B2C">
      <w:pPr>
        <w:pStyle w:val="a3"/>
        <w:spacing w:before="0" w:beforeAutospacing="0" w:after="200" w:afterAutospacing="0"/>
        <w:ind w:firstLine="540"/>
        <w:divId w:val="1959412216"/>
        <w:rPr>
          <w:sz w:val="20"/>
          <w:szCs w:val="20"/>
        </w:rPr>
      </w:pPr>
      <w:r>
        <w:rPr>
          <w:sz w:val="20"/>
          <w:szCs w:val="20"/>
        </w:rPr>
        <w:t>Clinical testing is very expensive, can take many years, and the outcome is uncertain</w:t>
      </w:r>
      <w:r>
        <w:rPr>
          <w:sz w:val="20"/>
          <w:szCs w:val="20"/>
        </w:rPr>
        <w:t>. It could take as much as 12 months or more before we learn the results from any clinical trial using our adoptive cell therapy with TIL. The data collected from our clinical trials may not be sufficient to support approval by the FDA of our TIL-based pro</w:t>
      </w:r>
      <w:r>
        <w:rPr>
          <w:sz w:val="20"/>
          <w:szCs w:val="20"/>
        </w:rPr>
        <w:t>duct candidates for the treatment of solid tumors. The clinical trials for our products under development may not be completed on schedule and the FDA may not ultimately approve any of our product candidates for commercial sale. If we fail to adequately de</w:t>
      </w:r>
      <w:r>
        <w:rPr>
          <w:sz w:val="20"/>
          <w:szCs w:val="20"/>
        </w:rPr>
        <w:t>monstrate the safety and efficacy of any product candidate under development, we may not receive regulatory approval for those products, which would prevent us from generating revenues or achieving profitability.</w:t>
      </w:r>
    </w:p>
    <w:p w:rsidR="00000000" w:rsidRDefault="00F22B2C">
      <w:pPr>
        <w:pStyle w:val="a3"/>
        <w:spacing w:before="0" w:beforeAutospacing="0" w:after="200" w:afterAutospacing="0"/>
        <w:ind w:firstLine="540"/>
        <w:divId w:val="1959412216"/>
        <w:rPr>
          <w:sz w:val="20"/>
          <w:szCs w:val="20"/>
        </w:rPr>
      </w:pPr>
      <w:r>
        <w:rPr>
          <w:b/>
          <w:bCs/>
          <w:i/>
          <w:iCs/>
          <w:sz w:val="20"/>
          <w:szCs w:val="20"/>
        </w:rPr>
        <w:t>Even if our lead product lifileucel is appr</w:t>
      </w:r>
      <w:r>
        <w:rPr>
          <w:b/>
          <w:bCs/>
          <w:i/>
          <w:iCs/>
          <w:sz w:val="20"/>
          <w:szCs w:val="20"/>
        </w:rPr>
        <w:t>oved and commercialized, we may not become profitable.</w:t>
      </w:r>
    </w:p>
    <w:p w:rsidR="00000000" w:rsidRDefault="00F22B2C">
      <w:pPr>
        <w:pStyle w:val="a3"/>
        <w:spacing w:before="0" w:beforeAutospacing="0" w:after="200" w:afterAutospacing="0"/>
        <w:ind w:firstLine="540"/>
        <w:divId w:val="1959412216"/>
        <w:rPr>
          <w:sz w:val="20"/>
          <w:szCs w:val="20"/>
        </w:rPr>
      </w:pPr>
      <w:r>
        <w:rPr>
          <w:sz w:val="20"/>
          <w:szCs w:val="20"/>
        </w:rPr>
        <w:t>Our lead product, lifileucel, is initially targeting a small population of refractory patients that suffer from metastatic melanoma and metastatic cervical cancer. Even if the FDA approves these new th</w:t>
      </w:r>
      <w:r>
        <w:rPr>
          <w:sz w:val="20"/>
          <w:szCs w:val="20"/>
        </w:rPr>
        <w:t>erapies, and even if we obtain significant market share for each product candidate, because the potential target population for lifileucel in refractory patients may be small, we may never achieve profitability without obtaining regulatory approval for add</w:t>
      </w:r>
      <w:r>
        <w:rPr>
          <w:sz w:val="20"/>
          <w:szCs w:val="20"/>
        </w:rPr>
        <w:t>itional indications. The FDA often approves new therapies initially only for use in patients with relapsed or refractory metastatic disease. We expect to initially seek approval of our product candidates in this setting and are currently studying these pat</w:t>
      </w:r>
      <w:r>
        <w:rPr>
          <w:sz w:val="20"/>
          <w:szCs w:val="20"/>
        </w:rPr>
        <w:t>ient populations</w:t>
      </w:r>
      <w:r>
        <w:rPr>
          <w:sz w:val="20"/>
          <w:szCs w:val="20"/>
        </w:rPr>
        <w:t>.</w:t>
      </w:r>
    </w:p>
    <w:p w:rsidR="00000000" w:rsidRDefault="00F22B2C">
      <w:pPr>
        <w:pStyle w:val="a3"/>
        <w:spacing w:before="0" w:beforeAutospacing="0" w:after="200" w:afterAutospacing="0"/>
        <w:ind w:firstLine="540"/>
        <w:divId w:val="1959412216"/>
        <w:rPr>
          <w:sz w:val="20"/>
          <w:szCs w:val="20"/>
        </w:rPr>
      </w:pPr>
      <w:r>
        <w:rPr>
          <w:b/>
          <w:bCs/>
          <w:i/>
          <w:iCs/>
          <w:sz w:val="20"/>
          <w:szCs w:val="20"/>
        </w:rPr>
        <w:t>We collaborate with governmental, academic and corporate partners to improve and develop TIL therapies for new indications for use in combination with other therapies and to evaluate new TIL manufacturing methods, the results of which, be</w:t>
      </w:r>
      <w:r>
        <w:rPr>
          <w:b/>
          <w:bCs/>
          <w:i/>
          <w:iCs/>
          <w:sz w:val="20"/>
          <w:szCs w:val="20"/>
        </w:rPr>
        <w:t>cause the manufacturing processes are not within our control, may be incorrect or unreliable.</w:t>
      </w:r>
    </w:p>
    <w:p w:rsidR="00000000" w:rsidRDefault="00F22B2C">
      <w:pPr>
        <w:pStyle w:val="a3"/>
        <w:spacing w:before="0" w:beforeAutospacing="0" w:after="200" w:afterAutospacing="0"/>
        <w:ind w:firstLine="540"/>
        <w:divId w:val="1959412216"/>
        <w:rPr>
          <w:sz w:val="20"/>
          <w:szCs w:val="20"/>
        </w:rPr>
      </w:pPr>
      <w:r>
        <w:rPr>
          <w:sz w:val="20"/>
          <w:szCs w:val="20"/>
        </w:rPr>
        <w:t xml:space="preserve">In addition to our own research and process development efforts, we seek to collaborate with government, academic research institutions and corporate partners to </w:t>
      </w:r>
      <w:r>
        <w:rPr>
          <w:sz w:val="20"/>
          <w:szCs w:val="20"/>
        </w:rPr>
        <w:t>improve TIL manufacturing and to develop TIL therapies for new indications. In 2017-2020, we announced our continued collaborations with Moffitt, MDACC, and The Ohio State University to evaluate several new solid tumor and hematologic indications for TIL t</w:t>
      </w:r>
      <w:r>
        <w:rPr>
          <w:sz w:val="20"/>
          <w:szCs w:val="20"/>
        </w:rPr>
        <w:t>herapy in clinical and preclinical studies as well as, in some cases, new TIL manufacturing approaches. The results of these collaborations may be used to support our filing with the FDA of INDs to conduct more advanced clinical trials of our product candi</w:t>
      </w:r>
      <w:r>
        <w:rPr>
          <w:sz w:val="20"/>
          <w:szCs w:val="20"/>
        </w:rPr>
        <w:t>dates, or to otherwise analyze or make predictions or decisions with respect to our current or future product candidates. However, because the majority of our collaborations are conducted at outside laboratories and we do not have complete control over how</w:t>
      </w:r>
      <w:r>
        <w:rPr>
          <w:sz w:val="20"/>
          <w:szCs w:val="20"/>
        </w:rPr>
        <w:t xml:space="preserve"> the studies are conducted or reported or over the manufacturing methods used to manufacture TIL product, the results of such studies, which we may use as the basis for our conclusions, projections or decisions with respect to our current or future product</w:t>
      </w:r>
      <w:r>
        <w:rPr>
          <w:sz w:val="20"/>
          <w:szCs w:val="20"/>
        </w:rPr>
        <w:t xml:space="preserve"> candidates, may be incorrect or unreliable, or may have a negative impact on us if the results of such studies are imputed to our products or proposed indications, even if such imputation is improper. For example, we have entered into collaborations with </w:t>
      </w:r>
      <w:r>
        <w:rPr>
          <w:sz w:val="20"/>
          <w:szCs w:val="20"/>
        </w:rPr>
        <w:t>Moffitt, and MDACC to perform clinical trials using TIL products that differ from our products, but the results of these clinical trials, if negative, may adversely impact our stock price and our development plans for our products. Additionally, we may use</w:t>
      </w:r>
      <w:r>
        <w:rPr>
          <w:sz w:val="20"/>
          <w:szCs w:val="20"/>
        </w:rPr>
        <w:t xml:space="preserve"> third party data to analyze, reach conclusions or make predictions or decisions with respect to our product candidates that may be incomplete, inaccurate or otherwise unreliable.</w:t>
      </w:r>
    </w:p>
    <w:p w:rsidR="00000000" w:rsidRDefault="00F22B2C">
      <w:pPr>
        <w:pStyle w:val="a3"/>
        <w:spacing w:before="480" w:beforeAutospacing="0" w:after="0" w:afterAutospacing="0"/>
        <w:jc w:val="center"/>
        <w:divId w:val="1740051565"/>
        <w:rPr>
          <w:sz w:val="20"/>
          <w:szCs w:val="20"/>
        </w:rPr>
      </w:pPr>
      <w:r>
        <w:rPr>
          <w:sz w:val="20"/>
          <w:szCs w:val="20"/>
        </w:rPr>
        <w:t>53</w:t>
      </w:r>
    </w:p>
    <w:p w:rsidR="00000000" w:rsidRDefault="00F22B2C">
      <w:pPr>
        <w:pStyle w:val="a3"/>
        <w:spacing w:before="0" w:beforeAutospacing="0" w:after="600" w:afterAutospacing="0"/>
        <w:divId w:val="720977924"/>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0"/>
        <w:divId w:val="1949122635"/>
        <w:rPr>
          <w:sz w:val="20"/>
          <w:szCs w:val="20"/>
        </w:rPr>
      </w:pPr>
      <w:r>
        <w:rPr>
          <w:b/>
          <w:bCs/>
          <w:i/>
          <w:iCs/>
          <w:sz w:val="20"/>
          <w:szCs w:val="20"/>
        </w:rPr>
        <w:t>We may need additional financ</w:t>
      </w:r>
      <w:r>
        <w:rPr>
          <w:b/>
          <w:bCs/>
          <w:i/>
          <w:iCs/>
          <w:sz w:val="20"/>
          <w:szCs w:val="20"/>
        </w:rPr>
        <w:t>ing to fund our operations and complete the development and commercialization of our various product candidates, and if we are unable to obtain such financing, we may be unable to complete the development and commercialization of our product candidates. Ra</w:t>
      </w:r>
      <w:r>
        <w:rPr>
          <w:b/>
          <w:bCs/>
          <w:i/>
          <w:iCs/>
          <w:sz w:val="20"/>
          <w:szCs w:val="20"/>
        </w:rPr>
        <w:t>ising additional capital may cause dilution to our existing stockholders, restrict our operations or require us to relinquish rights to our technologies or product candidates.</w:t>
      </w:r>
    </w:p>
    <w:p w:rsidR="00000000" w:rsidRDefault="00F22B2C">
      <w:pPr>
        <w:pStyle w:val="a3"/>
        <w:spacing w:before="0" w:beforeAutospacing="0" w:after="200" w:afterAutospacing="0"/>
        <w:ind w:firstLine="547"/>
        <w:divId w:val="1949122635"/>
        <w:rPr>
          <w:sz w:val="20"/>
          <w:szCs w:val="20"/>
        </w:rPr>
      </w:pPr>
      <w:r>
        <w:rPr>
          <w:sz w:val="20"/>
          <w:szCs w:val="20"/>
        </w:rPr>
        <w:t>Our operations have consumed substantial amounts of cash since inception. From o</w:t>
      </w:r>
      <w:r>
        <w:rPr>
          <w:sz w:val="20"/>
          <w:szCs w:val="20"/>
        </w:rPr>
        <w:t>ur inception to December 31, 2021, we have an accumulated deficit of $1.2 billion. In addition, our research and development and our operating costs have also been substantial and are expected to increase. For example, in October 2018, we closed an underwr</w:t>
      </w:r>
      <w:r>
        <w:rPr>
          <w:sz w:val="20"/>
          <w:szCs w:val="20"/>
        </w:rPr>
        <w:t xml:space="preserve">itten public offering of our common stock. The net proceeds from the offering, after deducting the underwriting discounts and commissions and other offering expenses payable by us, were $236.7 million. In June 2020, we closed another underwritten offering </w:t>
      </w:r>
      <w:r>
        <w:rPr>
          <w:sz w:val="20"/>
          <w:szCs w:val="20"/>
        </w:rPr>
        <w:t>of our common stock. The net proceeds from the offering, after deducting the underwriting discounts and commissions and other offering expenses payable by us, were $567.0 million. In February 2021 we entered into an open market sale agreement, or the Sales</w:t>
      </w:r>
      <w:r>
        <w:rPr>
          <w:sz w:val="20"/>
          <w:szCs w:val="20"/>
        </w:rPr>
        <w:t xml:space="preserve"> Agreement, with Jefferies LLC, which provides for the sale of up to $350.0 million of our common stock from time to time. For the year ended December 31, 2021, we received $203.2 million in net proceeds through the sale of 6,474,099 shares of our common s</w:t>
      </w:r>
      <w:r>
        <w:rPr>
          <w:sz w:val="20"/>
          <w:szCs w:val="20"/>
        </w:rPr>
        <w:t>tock. As of December 31, 2021, we had $602.1 million in cash, cash equivalents and investments ($78.2 million of cash and cash equivalents, $426.2 million in short-term investments, $91.6 million of long-term investments, and restricted cash of $6.1 millio</w:t>
      </w:r>
      <w:r>
        <w:rPr>
          <w:sz w:val="20"/>
          <w:szCs w:val="20"/>
        </w:rPr>
        <w:t>n)</w:t>
      </w:r>
      <w:r>
        <w:rPr>
          <w:sz w:val="20"/>
          <w:szCs w:val="20"/>
        </w:rPr>
        <w:t>.</w:t>
      </w:r>
    </w:p>
    <w:p w:rsidR="00000000" w:rsidRDefault="00F22B2C">
      <w:pPr>
        <w:pStyle w:val="a3"/>
        <w:spacing w:before="0" w:beforeAutospacing="0" w:after="200" w:afterAutospacing="0"/>
        <w:ind w:firstLine="540"/>
        <w:divId w:val="1949122635"/>
        <w:rPr>
          <w:sz w:val="20"/>
          <w:szCs w:val="20"/>
        </w:rPr>
      </w:pPr>
      <w:r>
        <w:rPr>
          <w:sz w:val="20"/>
          <w:szCs w:val="20"/>
        </w:rPr>
        <w:t>Accordingly, we believe that our existing cash, cash equivalents and investments will be sufficient to fund our operations for at least the next twelve months from the date this Annual Report on Form 10-K is issued. However, in order to complete the de</w:t>
      </w:r>
      <w:r>
        <w:rPr>
          <w:sz w:val="20"/>
          <w:szCs w:val="20"/>
        </w:rPr>
        <w:t>velopment of our current product candidates, and in order to affect our business plan, including establishing our own manufacturing facility, we anticipate that we will have to spend more than the funds currently available to us. Furthermore, changing circ</w:t>
      </w:r>
      <w:r>
        <w:rPr>
          <w:sz w:val="20"/>
          <w:szCs w:val="20"/>
        </w:rPr>
        <w:t>umstances may cause us to increase our spending significantly faster than we currently anticipate, and we may require additional capital for the further development and commercialization of our product candidates and may need to raise additional funds soon</w:t>
      </w:r>
      <w:r>
        <w:rPr>
          <w:sz w:val="20"/>
          <w:szCs w:val="20"/>
        </w:rPr>
        <w:t>er if we choose to expand more rapidly than we presently anticipate. Moreover, our fixed expenses such as rent, minimum payments to our contract manufacturers, and other contractual commitments, including those for our research collaborations, are substant</w:t>
      </w:r>
      <w:r>
        <w:rPr>
          <w:sz w:val="20"/>
          <w:szCs w:val="20"/>
        </w:rPr>
        <w:t>ial and are expected to increase in the future.</w:t>
      </w:r>
    </w:p>
    <w:p w:rsidR="00000000" w:rsidRDefault="00F22B2C">
      <w:pPr>
        <w:pStyle w:val="a3"/>
        <w:spacing w:before="0" w:beforeAutospacing="0" w:after="200" w:afterAutospacing="0"/>
        <w:ind w:firstLine="540"/>
        <w:divId w:val="1949122635"/>
        <w:rPr>
          <w:sz w:val="20"/>
          <w:szCs w:val="20"/>
        </w:rPr>
      </w:pPr>
      <w:r>
        <w:rPr>
          <w:sz w:val="20"/>
          <w:szCs w:val="20"/>
        </w:rPr>
        <w:t xml:space="preserve">We will need to obtain additional financing to fund our future operations, including completing the development and commercialization of our product candidates. Our future funding requirements will depend on </w:t>
      </w:r>
      <w:r>
        <w:rPr>
          <w:sz w:val="20"/>
          <w:szCs w:val="20"/>
        </w:rPr>
        <w:t>many factors, including, but not limited to:</w:t>
      </w:r>
    </w:p>
    <w:p w:rsidR="00000000" w:rsidRDefault="00F22B2C">
      <w:pPr>
        <w:ind w:left="547" w:hanging="360"/>
        <w:divId w:val="1691955044"/>
        <w:rPr>
          <w:rFonts w:eastAsia="Times New Roman"/>
          <w:sz w:val="20"/>
          <w:szCs w:val="20"/>
        </w:rPr>
      </w:pPr>
      <w:r>
        <w:rPr>
          <w:rFonts w:eastAsia="Times New Roman"/>
          <w:sz w:val="20"/>
          <w:szCs w:val="20"/>
        </w:rPr>
        <w:t>●</w:t>
      </w:r>
      <w:r>
        <w:rPr>
          <w:rFonts w:eastAsia="Times New Roman"/>
          <w:sz w:val="20"/>
          <w:szCs w:val="20"/>
        </w:rPr>
        <w:t>progress, timing, scope and costs of our clinical trials, including the ability to timely initiate clinical sites, enroll subjects and manufacture TIL for treatment for patients in our ongoing, planned and pote</w:t>
      </w:r>
      <w:r>
        <w:rPr>
          <w:rFonts w:eastAsia="Times New Roman"/>
          <w:sz w:val="20"/>
          <w:szCs w:val="20"/>
        </w:rPr>
        <w:t>ntial future clinical trials;</w:t>
      </w:r>
    </w:p>
    <w:p w:rsidR="00000000" w:rsidRDefault="00F22B2C">
      <w:pPr>
        <w:ind w:left="547" w:hanging="360"/>
        <w:divId w:val="936060444"/>
        <w:rPr>
          <w:rFonts w:eastAsia="Times New Roman"/>
          <w:sz w:val="20"/>
          <w:szCs w:val="20"/>
        </w:rPr>
      </w:pPr>
      <w:r>
        <w:rPr>
          <w:rFonts w:eastAsia="Times New Roman"/>
          <w:sz w:val="20"/>
          <w:szCs w:val="20"/>
        </w:rPr>
        <w:t>●</w:t>
      </w:r>
      <w:r>
        <w:rPr>
          <w:rFonts w:eastAsia="Times New Roman"/>
          <w:sz w:val="20"/>
          <w:szCs w:val="20"/>
        </w:rPr>
        <w:t>time and cost necessary to obtain regulatory approvals that may be required by regulatory authorities to execute clinical trials or commercialize our product;</w:t>
      </w:r>
    </w:p>
    <w:p w:rsidR="00000000" w:rsidRDefault="00F22B2C">
      <w:pPr>
        <w:ind w:left="547" w:hanging="360"/>
        <w:divId w:val="640887548"/>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w:t>
      </w:r>
      <w:r>
        <w:rPr>
          <w:rFonts w:eastAsia="Times New Roman"/>
          <w:sz w:val="20"/>
          <w:szCs w:val="20"/>
        </w:rPr>
        <w:t xml:space="preserve"> if approved;</w:t>
      </w:r>
    </w:p>
    <w:p w:rsidR="00000000" w:rsidRDefault="00F22B2C">
      <w:pPr>
        <w:ind w:left="547" w:hanging="360"/>
        <w:divId w:val="140197749"/>
        <w:rPr>
          <w:rFonts w:eastAsia="Times New Roman"/>
          <w:sz w:val="20"/>
          <w:szCs w:val="20"/>
        </w:rPr>
      </w:pPr>
      <w:r>
        <w:rPr>
          <w:rFonts w:eastAsia="Times New Roman"/>
          <w:sz w:val="20"/>
          <w:szCs w:val="20"/>
        </w:rPr>
        <w:t>●</w:t>
      </w:r>
      <w:r>
        <w:rPr>
          <w:rFonts w:eastAsia="Times New Roman"/>
          <w:sz w:val="20"/>
          <w:szCs w:val="20"/>
        </w:rPr>
        <w:t>our ability to have clinical and commercial product successfully manufactured consistent with FDA and European Medicines Agency, or EMA, regulations;</w:t>
      </w:r>
    </w:p>
    <w:p w:rsidR="00000000" w:rsidRDefault="00F22B2C">
      <w:pPr>
        <w:ind w:left="547" w:hanging="360"/>
        <w:divId w:val="29115598"/>
        <w:rPr>
          <w:rFonts w:eastAsia="Times New Roman"/>
          <w:sz w:val="20"/>
          <w:szCs w:val="20"/>
        </w:rPr>
      </w:pPr>
      <w:r>
        <w:rPr>
          <w:rFonts w:eastAsia="Times New Roman"/>
          <w:sz w:val="20"/>
          <w:szCs w:val="20"/>
        </w:rPr>
        <w:t>●</w:t>
      </w:r>
      <w:r>
        <w:rPr>
          <w:rFonts w:eastAsia="Times New Roman"/>
          <w:sz w:val="20"/>
          <w:szCs w:val="20"/>
        </w:rPr>
        <w:t>amount of sales and other revenues from product candidates that we may commercialize, if any, including the selling prices for such potential products and the availability of adequate third-party coverage and reimbursement for patients;</w:t>
      </w:r>
    </w:p>
    <w:p w:rsidR="00000000" w:rsidRDefault="00F22B2C">
      <w:pPr>
        <w:ind w:left="547" w:hanging="360"/>
        <w:divId w:val="548343299"/>
        <w:rPr>
          <w:rFonts w:eastAsia="Times New Roman"/>
          <w:sz w:val="20"/>
          <w:szCs w:val="20"/>
        </w:rPr>
      </w:pPr>
      <w:r>
        <w:rPr>
          <w:rFonts w:eastAsia="Times New Roman"/>
          <w:sz w:val="20"/>
          <w:szCs w:val="20"/>
        </w:rPr>
        <w:t>●</w:t>
      </w:r>
      <w:r>
        <w:rPr>
          <w:rFonts w:eastAsia="Times New Roman"/>
          <w:sz w:val="20"/>
          <w:szCs w:val="20"/>
        </w:rPr>
        <w:t>sales and marketin</w:t>
      </w:r>
      <w:r>
        <w:rPr>
          <w:rFonts w:eastAsia="Times New Roman"/>
          <w:sz w:val="20"/>
          <w:szCs w:val="20"/>
        </w:rPr>
        <w:t>g costs associated with commercializing our products, if approved, including the cost and timing of building our marketing and sales capabilities;</w:t>
      </w:r>
    </w:p>
    <w:p w:rsidR="00000000" w:rsidRDefault="00F22B2C">
      <w:pPr>
        <w:ind w:left="547" w:hanging="360"/>
        <w:divId w:val="477458374"/>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U.S.;</w:t>
      </w:r>
    </w:p>
    <w:p w:rsidR="00000000" w:rsidRDefault="00F22B2C">
      <w:pPr>
        <w:ind w:left="547" w:hanging="360"/>
        <w:divId w:val="722945943"/>
        <w:rPr>
          <w:rFonts w:eastAsia="Times New Roman"/>
          <w:sz w:val="20"/>
          <w:szCs w:val="20"/>
        </w:rPr>
      </w:pPr>
      <w:r>
        <w:rPr>
          <w:rFonts w:eastAsia="Times New Roman"/>
          <w:sz w:val="20"/>
          <w:szCs w:val="20"/>
        </w:rPr>
        <w:t>●</w:t>
      </w:r>
      <w:r>
        <w:rPr>
          <w:rFonts w:eastAsia="Times New Roman"/>
          <w:sz w:val="20"/>
          <w:szCs w:val="20"/>
        </w:rPr>
        <w:t>terms and timing of o</w:t>
      </w:r>
      <w:r>
        <w:rPr>
          <w:rFonts w:eastAsia="Times New Roman"/>
          <w:sz w:val="20"/>
          <w:szCs w:val="20"/>
        </w:rPr>
        <w:t>ur current and any potential future collaborations, licensing or other arrangements that we have established or may establish;</w:t>
      </w:r>
    </w:p>
    <w:p w:rsidR="00000000" w:rsidRDefault="00F22B2C">
      <w:pPr>
        <w:ind w:left="547" w:hanging="360"/>
        <w:divId w:val="457339961"/>
        <w:rPr>
          <w:rFonts w:eastAsia="Times New Roman"/>
          <w:sz w:val="20"/>
          <w:szCs w:val="20"/>
        </w:rPr>
      </w:pPr>
      <w:r>
        <w:rPr>
          <w:rFonts w:eastAsia="Times New Roman"/>
          <w:sz w:val="20"/>
          <w:szCs w:val="20"/>
        </w:rPr>
        <w:t>●</w:t>
      </w:r>
      <w:r>
        <w:rPr>
          <w:rFonts w:eastAsia="Times New Roman"/>
          <w:sz w:val="20"/>
          <w:szCs w:val="20"/>
        </w:rPr>
        <w:t>cash requirements of any future acquisitions or the development of other product candidates;</w:t>
      </w:r>
    </w:p>
    <w:p w:rsidR="00000000" w:rsidRDefault="00F22B2C">
      <w:pPr>
        <w:ind w:left="547" w:hanging="360"/>
        <w:divId w:val="1613125126"/>
        <w:rPr>
          <w:rFonts w:eastAsia="Times New Roman"/>
          <w:sz w:val="20"/>
          <w:szCs w:val="20"/>
        </w:rPr>
      </w:pPr>
      <w:r>
        <w:rPr>
          <w:rFonts w:eastAsia="Times New Roman"/>
          <w:sz w:val="20"/>
          <w:szCs w:val="20"/>
        </w:rPr>
        <w:t>●</w:t>
      </w:r>
      <w:r>
        <w:rPr>
          <w:rFonts w:eastAsia="Times New Roman"/>
          <w:sz w:val="20"/>
          <w:szCs w:val="20"/>
        </w:rPr>
        <w:t>costs of operating as a public com</w:t>
      </w:r>
      <w:r>
        <w:rPr>
          <w:rFonts w:eastAsia="Times New Roman"/>
          <w:sz w:val="20"/>
          <w:szCs w:val="20"/>
        </w:rPr>
        <w:t>pany;</w:t>
      </w:r>
    </w:p>
    <w:p w:rsidR="00000000" w:rsidRDefault="00F22B2C">
      <w:pPr>
        <w:ind w:left="547" w:hanging="360"/>
        <w:divId w:val="1209145869"/>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developments;</w:t>
      </w:r>
    </w:p>
    <w:p w:rsidR="00000000" w:rsidRDefault="00F22B2C">
      <w:pPr>
        <w:ind w:left="547" w:hanging="360"/>
        <w:divId w:val="1931310034"/>
        <w:rPr>
          <w:rFonts w:eastAsia="Times New Roman"/>
          <w:sz w:val="20"/>
          <w:szCs w:val="20"/>
        </w:rPr>
      </w:pPr>
      <w:r>
        <w:rPr>
          <w:rFonts w:eastAsia="Times New Roman"/>
          <w:sz w:val="20"/>
          <w:szCs w:val="20"/>
        </w:rPr>
        <w:t>●</w:t>
      </w:r>
      <w:r>
        <w:rPr>
          <w:rFonts w:eastAsia="Times New Roman"/>
          <w:sz w:val="20"/>
          <w:szCs w:val="20"/>
        </w:rPr>
        <w:t>costs of filing, prosecuting, defending and enforcing any patent claims and other intellectual property rights; and</w:t>
      </w:r>
    </w:p>
    <w:p w:rsidR="00000000" w:rsidRDefault="00F22B2C">
      <w:pPr>
        <w:ind w:left="547" w:hanging="360"/>
        <w:divId w:val="1749615025"/>
        <w:rPr>
          <w:rFonts w:eastAsia="Times New Roman"/>
          <w:sz w:val="20"/>
          <w:szCs w:val="20"/>
        </w:rPr>
      </w:pPr>
      <w:r>
        <w:rPr>
          <w:rFonts w:eastAsia="Times New Roman"/>
          <w:sz w:val="20"/>
          <w:szCs w:val="20"/>
        </w:rPr>
        <w:t>●</w:t>
      </w:r>
      <w:r>
        <w:rPr>
          <w:rFonts w:eastAsia="Times New Roman"/>
          <w:sz w:val="20"/>
          <w:szCs w:val="20"/>
        </w:rPr>
        <w:t>costs associated with any poten</w:t>
      </w:r>
      <w:r>
        <w:rPr>
          <w:rFonts w:eastAsia="Times New Roman"/>
          <w:sz w:val="20"/>
          <w:szCs w:val="20"/>
        </w:rPr>
        <w:t>tial business or product acquisitions, strategic collaborations, licensing agreements or other arrangements that we may establish.</w:t>
      </w:r>
    </w:p>
    <w:p w:rsidR="00000000" w:rsidRDefault="00F22B2C">
      <w:pPr>
        <w:pStyle w:val="a3"/>
        <w:spacing w:before="0" w:beforeAutospacing="0" w:after="0" w:afterAutospacing="0"/>
        <w:ind w:firstLine="540"/>
        <w:divId w:val="1949122635"/>
        <w:rPr>
          <w:sz w:val="20"/>
          <w:szCs w:val="20"/>
        </w:rPr>
      </w:pPr>
      <w:r>
        <w:rPr>
          <w:sz w:val="20"/>
          <w:szCs w:val="20"/>
        </w:rPr>
        <w:t>Unless and until we can generate a sufficient amount of revenue, we may finance future cash needs through public or private e</w:t>
      </w:r>
      <w:r>
        <w:rPr>
          <w:sz w:val="20"/>
          <w:szCs w:val="20"/>
        </w:rPr>
        <w:t>quity offerings, license agreements, debt financings, collaborations, strategic alliances and marketing or distribution arrangements. Additional funds may not be available when we need them on terms that are acceptable to us, or at all. We have no committe</w:t>
      </w:r>
      <w:r>
        <w:rPr>
          <w:sz w:val="20"/>
          <w:szCs w:val="20"/>
        </w:rPr>
        <w:t xml:space="preserve">d source </w:t>
      </w:r>
    </w:p>
    <w:p w:rsidR="00000000" w:rsidRDefault="00F22B2C">
      <w:pPr>
        <w:pStyle w:val="a3"/>
        <w:spacing w:before="480" w:beforeAutospacing="0" w:after="0" w:afterAutospacing="0"/>
        <w:jc w:val="center"/>
        <w:divId w:val="372922508"/>
        <w:rPr>
          <w:sz w:val="20"/>
          <w:szCs w:val="20"/>
        </w:rPr>
      </w:pPr>
      <w:r>
        <w:rPr>
          <w:sz w:val="20"/>
          <w:szCs w:val="20"/>
        </w:rPr>
        <w:t>54</w:t>
      </w:r>
    </w:p>
    <w:p w:rsidR="00000000" w:rsidRDefault="00F22B2C">
      <w:pPr>
        <w:pStyle w:val="a3"/>
        <w:spacing w:before="0" w:beforeAutospacing="0" w:after="600" w:afterAutospacing="0"/>
        <w:divId w:val="82188500"/>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7025561"/>
        <w:rPr>
          <w:sz w:val="20"/>
          <w:szCs w:val="20"/>
        </w:rPr>
      </w:pPr>
      <w:r>
        <w:rPr>
          <w:sz w:val="20"/>
          <w:szCs w:val="20"/>
        </w:rPr>
        <w:t xml:space="preserve">of additional capital and if we are unable to raise additional capital in sufficient amounts or on terms acceptable to us, we may be required to delay or reduce the scope of or eliminate one or more </w:t>
      </w:r>
      <w:r>
        <w:rPr>
          <w:sz w:val="20"/>
          <w:szCs w:val="20"/>
        </w:rPr>
        <w:t>of our research or development programs or our commercialization efforts. Our current license and collaboration agreements may also be terminated if we are unable to meet the payment obligations under those agreements. As a result, we may seek to access th</w:t>
      </w:r>
      <w:r>
        <w:rPr>
          <w:sz w:val="20"/>
          <w:szCs w:val="20"/>
        </w:rPr>
        <w:t>e public or private capital markets whenever conditions are favorable, even if we do not have an immediate need for additional capital at that time.</w:t>
      </w:r>
    </w:p>
    <w:p w:rsidR="00000000" w:rsidRDefault="00F22B2C">
      <w:pPr>
        <w:pStyle w:val="a3"/>
        <w:spacing w:before="0" w:beforeAutospacing="0" w:after="200" w:afterAutospacing="0"/>
        <w:ind w:firstLine="540"/>
        <w:divId w:val="7025561"/>
        <w:rPr>
          <w:sz w:val="20"/>
          <w:szCs w:val="20"/>
        </w:rPr>
      </w:pPr>
      <w:r>
        <w:rPr>
          <w:sz w:val="20"/>
          <w:szCs w:val="20"/>
        </w:rPr>
        <w:t>To the extent that we raise additional capital through the sale of equity or convertible debt securities, y</w:t>
      </w:r>
      <w:r>
        <w:rPr>
          <w:sz w:val="20"/>
          <w:szCs w:val="20"/>
        </w:rPr>
        <w:t>our ownership interest will be diluted, and the terms may include liquidation or other preferences that adversely affect your rights as a stockholder. The incurrence of indebtedness would result in increased fixed payment obligations and could involve cert</w:t>
      </w:r>
      <w:r>
        <w:rPr>
          <w:sz w:val="20"/>
          <w:szCs w:val="20"/>
        </w:rPr>
        <w:t>ain restrictive covenants, such as limitations on our ability to incur additional debt, limitations on our ability to acquire or license intellectual property rights and other operating restrictions that could adversely impact our ability to conduct our bu</w:t>
      </w:r>
      <w:r>
        <w:rPr>
          <w:sz w:val="20"/>
          <w:szCs w:val="20"/>
        </w:rPr>
        <w:t xml:space="preserve">siness. If we raise additional funds through strategic partnerships and alliances and licensing arrangements with third parties, we may have to relinquish valuable rights to our technologies or product candidates, or grant licenses on terms unfavorable to </w:t>
      </w:r>
      <w:r>
        <w:rPr>
          <w:sz w:val="20"/>
          <w:szCs w:val="20"/>
        </w:rPr>
        <w:t>us.</w:t>
      </w:r>
    </w:p>
    <w:p w:rsidR="00000000" w:rsidRDefault="00F22B2C">
      <w:pPr>
        <w:pStyle w:val="a3"/>
        <w:spacing w:before="0" w:beforeAutospacing="0" w:after="200" w:afterAutospacing="0"/>
        <w:ind w:firstLine="540"/>
        <w:divId w:val="7025561"/>
        <w:rPr>
          <w:sz w:val="20"/>
          <w:szCs w:val="20"/>
        </w:rPr>
      </w:pPr>
      <w:r>
        <w:rPr>
          <w:b/>
          <w:bCs/>
          <w:i/>
          <w:iCs/>
          <w:sz w:val="20"/>
          <w:szCs w:val="20"/>
        </w:rPr>
        <w:t>Subject to various spending levels approved by our Board of Directors, our management will have broad discretion in the use of the net proceeds from our capital raises, including our June 2020, October 2018 and January 2018 public offerings and the pro</w:t>
      </w:r>
      <w:r>
        <w:rPr>
          <w:b/>
          <w:bCs/>
          <w:i/>
          <w:iCs/>
          <w:sz w:val="20"/>
          <w:szCs w:val="20"/>
        </w:rPr>
        <w:t>ceeds from sales pursuant to our “at-the-market” sales agreement with Jefferies LLC, and may not use them effectively.</w:t>
      </w:r>
    </w:p>
    <w:p w:rsidR="00000000" w:rsidRDefault="00F22B2C">
      <w:pPr>
        <w:pStyle w:val="a3"/>
        <w:spacing w:before="0" w:beforeAutospacing="0" w:after="200" w:afterAutospacing="0"/>
        <w:ind w:firstLine="540"/>
        <w:divId w:val="7025561"/>
        <w:rPr>
          <w:sz w:val="20"/>
          <w:szCs w:val="20"/>
        </w:rPr>
      </w:pPr>
      <w:r>
        <w:rPr>
          <w:sz w:val="20"/>
          <w:szCs w:val="20"/>
        </w:rPr>
        <w:t>Our management will have discretion in the application of the net proceeds from our capital raises, including our June 2020, October 2018</w:t>
      </w:r>
      <w:r>
        <w:rPr>
          <w:sz w:val="20"/>
          <w:szCs w:val="20"/>
        </w:rPr>
        <w:t>, and January 2018 public offerings, and the proceeds from sales pursuant to the Sales Agreement with Jefferies LLC, which provides for the sale of up to $350.0 million of our common stock from time to time, and our stockholders will not have the opportuni</w:t>
      </w:r>
      <w:r>
        <w:rPr>
          <w:sz w:val="20"/>
          <w:szCs w:val="20"/>
        </w:rPr>
        <w:t>ty as part of their investment decision to assess whether the net proceeds from our capital raises are being used appropriately. You may not agree with our decisions, and our use of the proceeds from our capital raises may not yield any return to stockhold</w:t>
      </w:r>
      <w:r>
        <w:rPr>
          <w:sz w:val="20"/>
          <w:szCs w:val="20"/>
        </w:rPr>
        <w:t>ers. Because of the number and variability of factors that will determine our use of the net proceeds from our capital raises, their ultimate use may vary substantially from their currently intended use. Our failure to apply the net proceeds of our capital</w:t>
      </w:r>
      <w:r>
        <w:rPr>
          <w:sz w:val="20"/>
          <w:szCs w:val="20"/>
        </w:rPr>
        <w:t xml:space="preserve"> raises effectively could compromise our ability to pursue our growth strategy and we might not be able to yield a significant return, if any, on our investment of those net proceeds. Stockholders will not have the opportunity to influence our decisions on</w:t>
      </w:r>
      <w:r>
        <w:rPr>
          <w:sz w:val="20"/>
          <w:szCs w:val="20"/>
        </w:rPr>
        <w:t xml:space="preserve"> how to use our net proceeds from our capital raises. Pending their use, we may invest the net proceeds from our capital raises in interest and non-interest bearing cash accounts, short-term, investment-grade, interest-bearing instruments and U.S. governme</w:t>
      </w:r>
      <w:r>
        <w:rPr>
          <w:sz w:val="20"/>
          <w:szCs w:val="20"/>
        </w:rPr>
        <w:t>nt securities. These temporary investments are not likely to yield a significant return.</w:t>
      </w:r>
    </w:p>
    <w:p w:rsidR="00000000" w:rsidRDefault="00F22B2C">
      <w:pPr>
        <w:pStyle w:val="a3"/>
        <w:spacing w:before="0" w:beforeAutospacing="0" w:after="200" w:afterAutospacing="0"/>
        <w:ind w:firstLine="540"/>
        <w:divId w:val="7025561"/>
        <w:rPr>
          <w:sz w:val="20"/>
          <w:szCs w:val="20"/>
        </w:rPr>
      </w:pPr>
      <w:r>
        <w:rPr>
          <w:b/>
          <w:bCs/>
          <w:i/>
          <w:iCs/>
          <w:sz w:val="20"/>
          <w:szCs w:val="20"/>
        </w:rPr>
        <w:t>The use of our net operating loss carryforwards and research tax credits may be limited.</w:t>
      </w:r>
    </w:p>
    <w:p w:rsidR="00000000" w:rsidRDefault="00F22B2C">
      <w:pPr>
        <w:pStyle w:val="a3"/>
        <w:spacing w:before="0" w:beforeAutospacing="0" w:after="200" w:afterAutospacing="0"/>
        <w:ind w:firstLine="540"/>
        <w:divId w:val="7025561"/>
        <w:rPr>
          <w:sz w:val="20"/>
          <w:szCs w:val="20"/>
        </w:rPr>
      </w:pPr>
      <w:r>
        <w:rPr>
          <w:sz w:val="20"/>
          <w:szCs w:val="20"/>
        </w:rPr>
        <w:t>Our net operating loss carryforwards and any future research and development t</w:t>
      </w:r>
      <w:r>
        <w:rPr>
          <w:sz w:val="20"/>
          <w:szCs w:val="20"/>
        </w:rPr>
        <w:t>ax credits may expire and not be used. As of December 31, 2021, we had U.S. federal net operating loss carryforwards of approximately $945.3 million. Our net operating loss carryforwards arising in taxable years ending on or prior to December 31, 2017 will</w:t>
      </w:r>
      <w:r>
        <w:rPr>
          <w:sz w:val="20"/>
          <w:szCs w:val="20"/>
        </w:rPr>
        <w:t xml:space="preserve"> begin expiring in 2027 if we have not used them prior to that time. Net operating loss carryforwards arising in taxable years ending after December 31, 2017 are no longer subject to expiration under the Internal Revenue Code of 1986, as amended, or the Co</w:t>
      </w:r>
      <w:r>
        <w:rPr>
          <w:sz w:val="20"/>
          <w:szCs w:val="20"/>
        </w:rPr>
        <w:t>de. Additionally, our ability to use any net operating loss and credit carryforwards to offset taxable income or tax, respectively, in the future will be limited under Sections 382 and 383 of the Code, respectively, if we have a cumulative change in owners</w:t>
      </w:r>
      <w:r>
        <w:rPr>
          <w:sz w:val="20"/>
          <w:szCs w:val="20"/>
        </w:rPr>
        <w:t>hip of more than 50% within a three-year period.</w:t>
      </w:r>
    </w:p>
    <w:p w:rsidR="00000000" w:rsidRDefault="00F22B2C">
      <w:pPr>
        <w:pStyle w:val="a3"/>
        <w:spacing w:before="0" w:beforeAutospacing="0" w:after="200" w:afterAutospacing="0"/>
        <w:ind w:firstLine="540"/>
        <w:divId w:val="7025561"/>
        <w:rPr>
          <w:sz w:val="20"/>
          <w:szCs w:val="20"/>
        </w:rPr>
      </w:pPr>
      <w:r>
        <w:rPr>
          <w:sz w:val="20"/>
          <w:szCs w:val="20"/>
        </w:rPr>
        <w:t>Prior to December 31, 2020, we have experienced multiple ownership changes. As a result, the federal and state carryforwards associated with the net operating loss and credit deferred tax assets were reduced</w:t>
      </w:r>
      <w:r>
        <w:rPr>
          <w:sz w:val="20"/>
          <w:szCs w:val="20"/>
        </w:rPr>
        <w:t xml:space="preserve"> by the amount of tax attributes estimated to expire during their respective carryforward periods. In addition, since we will need to raise substantial additional funding to finance our operations, we may undergo further ownership changes in the future. An</w:t>
      </w:r>
      <w:r>
        <w:rPr>
          <w:sz w:val="20"/>
          <w:szCs w:val="20"/>
        </w:rPr>
        <w:t>y such annual limitation may significantly reduce the utilization of the net operating loss carryforwards and research tax credits before they expire. Depending on our future tax position, limitation of our ability to use net operating loss carryforwards i</w:t>
      </w:r>
      <w:r>
        <w:rPr>
          <w:sz w:val="20"/>
          <w:szCs w:val="20"/>
        </w:rPr>
        <w:t>n states in which we are subject to income tax could have an adverse impact on our results of operations and financial condition.</w:t>
      </w:r>
    </w:p>
    <w:p w:rsidR="00000000" w:rsidRDefault="00F22B2C">
      <w:pPr>
        <w:pStyle w:val="a3"/>
        <w:spacing w:before="0" w:beforeAutospacing="0" w:after="200" w:afterAutospacing="0"/>
        <w:ind w:firstLine="540"/>
        <w:divId w:val="7025561"/>
        <w:rPr>
          <w:sz w:val="20"/>
          <w:szCs w:val="20"/>
        </w:rPr>
      </w:pPr>
      <w:r>
        <w:rPr>
          <w:b/>
          <w:bCs/>
          <w:i/>
          <w:iCs/>
          <w:sz w:val="20"/>
          <w:szCs w:val="20"/>
        </w:rPr>
        <w:t>Recently enacted tax reform legislation in the U.S., changes to existing tax laws, or challenges to our tax positions could ad</w:t>
      </w:r>
      <w:r>
        <w:rPr>
          <w:b/>
          <w:bCs/>
          <w:i/>
          <w:iCs/>
          <w:sz w:val="20"/>
          <w:szCs w:val="20"/>
        </w:rPr>
        <w:t>versely affect our business and financial condition.</w:t>
      </w:r>
    </w:p>
    <w:p w:rsidR="00000000" w:rsidRDefault="00F22B2C">
      <w:pPr>
        <w:pStyle w:val="a3"/>
        <w:spacing w:before="0" w:beforeAutospacing="0" w:after="200" w:afterAutospacing="0"/>
        <w:ind w:firstLine="540"/>
        <w:divId w:val="7025561"/>
        <w:rPr>
          <w:sz w:val="20"/>
          <w:szCs w:val="20"/>
        </w:rPr>
      </w:pPr>
      <w:r>
        <w:rPr>
          <w:sz w:val="20"/>
          <w:szCs w:val="20"/>
        </w:rPr>
        <w:t>In recent years, various tax legislations were signed into law. On December 22, 2017, the Tax Cuts and Jobs Act of 2017, or the Tax Act, was signed into law, making significant changes to the Internal Re</w:t>
      </w:r>
      <w:r>
        <w:rPr>
          <w:sz w:val="20"/>
          <w:szCs w:val="20"/>
        </w:rPr>
        <w:t xml:space="preserve">venue Code. </w:t>
      </w:r>
    </w:p>
    <w:p w:rsidR="00000000" w:rsidRDefault="00F22B2C">
      <w:pPr>
        <w:pStyle w:val="a3"/>
        <w:spacing w:before="0" w:beforeAutospacing="0" w:after="0" w:afterAutospacing="0"/>
        <w:ind w:firstLine="540"/>
        <w:divId w:val="7025561"/>
        <w:rPr>
          <w:sz w:val="20"/>
          <w:szCs w:val="20"/>
        </w:rPr>
      </w:pPr>
      <w:r>
        <w:rPr>
          <w:sz w:val="20"/>
          <w:szCs w:val="20"/>
        </w:rPr>
        <w:t>On March 27, 2020, the Coronavirus Aid, Relief, and Economic Security Act, or the CARES Act, was enacted in response to the COVID-19 pandemic.</w:t>
      </w:r>
      <w:r>
        <w:rPr>
          <w:sz w:val="20"/>
          <w:szCs w:val="20"/>
        </w:rPr>
        <w:t> </w:t>
      </w:r>
      <w:r>
        <w:rPr>
          <w:sz w:val="20"/>
          <w:szCs w:val="20"/>
        </w:rPr>
        <w:t>Certain provisions of the CARES Act amend or suspend certain provisions of the Tax Act. For example,</w:t>
      </w:r>
      <w:r>
        <w:rPr>
          <w:sz w:val="20"/>
          <w:szCs w:val="20"/>
        </w:rPr>
        <w:t xml:space="preserve"> </w:t>
      </w:r>
    </w:p>
    <w:p w:rsidR="00000000" w:rsidRDefault="00F22B2C">
      <w:pPr>
        <w:pStyle w:val="a3"/>
        <w:spacing w:before="480" w:beforeAutospacing="0" w:after="0" w:afterAutospacing="0"/>
        <w:jc w:val="center"/>
        <w:divId w:val="396250380"/>
        <w:rPr>
          <w:sz w:val="20"/>
          <w:szCs w:val="20"/>
        </w:rPr>
      </w:pPr>
      <w:r>
        <w:rPr>
          <w:sz w:val="20"/>
          <w:szCs w:val="20"/>
        </w:rPr>
        <w:t>55</w:t>
      </w:r>
    </w:p>
    <w:p w:rsidR="00000000" w:rsidRDefault="00F22B2C">
      <w:pPr>
        <w:pStyle w:val="a3"/>
        <w:spacing w:before="0" w:beforeAutospacing="0" w:after="600" w:afterAutospacing="0"/>
        <w:divId w:val="1895462176"/>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2096170905"/>
        <w:rPr>
          <w:sz w:val="20"/>
          <w:szCs w:val="20"/>
        </w:rPr>
      </w:pPr>
      <w:r>
        <w:rPr>
          <w:sz w:val="20"/>
          <w:szCs w:val="20"/>
        </w:rPr>
        <w:t>the</w:t>
      </w:r>
      <w:r>
        <w:rPr>
          <w:sz w:val="20"/>
          <w:szCs w:val="20"/>
        </w:rPr>
        <w:t xml:space="preserve"> </w:t>
      </w:r>
      <w:r>
        <w:rPr>
          <w:sz w:val="20"/>
          <w:szCs w:val="20"/>
        </w:rPr>
        <w:t>tax relief measures under the CARES Act for businesses include a five-year </w:t>
      </w:r>
      <w:r>
        <w:rPr>
          <w:sz w:val="20"/>
          <w:szCs w:val="20"/>
        </w:rPr>
        <w:t>net operating loss carryback, suspension of annual deduction limitation of</w:t>
      </w:r>
      <w:r>
        <w:rPr>
          <w:sz w:val="20"/>
          <w:szCs w:val="20"/>
        </w:rPr>
        <w:t> </w:t>
      </w:r>
      <w:r>
        <w:rPr>
          <w:sz w:val="20"/>
          <w:szCs w:val="20"/>
        </w:rPr>
        <w:t>80% of taxable income from net operating losses generated in a tax year beginning after December 31, 2017, changes in the deductibility of interest, acceleration of alternative mini</w:t>
      </w:r>
      <w:r>
        <w:rPr>
          <w:sz w:val="20"/>
          <w:szCs w:val="20"/>
        </w:rPr>
        <w:t>mum tax credit refunds, payroll tax relief, and a technical correction to allow accelerated deductions for qualified improvement property.</w:t>
      </w:r>
      <w:r>
        <w:rPr>
          <w:sz w:val="20"/>
          <w:szCs w:val="20"/>
        </w:rPr>
        <w:t xml:space="preserve"> </w:t>
      </w:r>
      <w:r>
        <w:rPr>
          <w:sz w:val="20"/>
          <w:szCs w:val="20"/>
        </w:rPr>
        <w:t>On June 15, 2020, Assembly Bill 85 was passed in California which suspended the use of net operating losses and limit</w:t>
      </w:r>
      <w:r>
        <w:rPr>
          <w:sz w:val="20"/>
          <w:szCs w:val="20"/>
        </w:rPr>
        <w:t>ed the use of credits for certain corporations. Changes to existing federal and state tax laws could adversely impact our business, results of operations and financial position as the impact of recent tax legislation is uncertai</w:t>
      </w:r>
      <w:r>
        <w:rPr>
          <w:sz w:val="20"/>
          <w:szCs w:val="20"/>
        </w:rPr>
        <w:t>n</w:t>
      </w:r>
      <w:r>
        <w:rPr>
          <w:sz w:val="20"/>
          <w:szCs w:val="20"/>
        </w:rPr>
        <w:t>.</w:t>
      </w:r>
      <w:r>
        <w:rPr>
          <w:sz w:val="20"/>
          <w:szCs w:val="20"/>
        </w:rPr>
        <w:t xml:space="preserve"> </w:t>
      </w:r>
    </w:p>
    <w:p w:rsidR="00000000" w:rsidRDefault="00F22B2C">
      <w:pPr>
        <w:pStyle w:val="a3"/>
        <w:spacing w:before="0" w:beforeAutospacing="0" w:after="200" w:afterAutospacing="0"/>
        <w:ind w:firstLine="540"/>
        <w:divId w:val="2096170905"/>
        <w:rPr>
          <w:sz w:val="20"/>
          <w:szCs w:val="20"/>
        </w:rPr>
      </w:pPr>
      <w:r>
        <w:rPr>
          <w:sz w:val="20"/>
          <w:szCs w:val="20"/>
        </w:rPr>
        <w:t>In addition, U.S. federa</w:t>
      </w:r>
      <w:r>
        <w:rPr>
          <w:sz w:val="20"/>
          <w:szCs w:val="20"/>
        </w:rPr>
        <w:t xml:space="preserve">l, state and local tax laws are extremely complex and subject to various interpretations. Although we believe that our tax estimates and positions are reasonable, including our decision to build our </w:t>
      </w:r>
      <w:r>
        <w:rPr>
          <w:i/>
          <w:iCs/>
          <w:sz w:val="20"/>
          <w:szCs w:val="20"/>
        </w:rPr>
        <w:t>i</w:t>
      </w:r>
      <w:r>
        <w:rPr>
          <w:sz w:val="20"/>
          <w:szCs w:val="20"/>
        </w:rPr>
        <w:t>CTC facility at the Navy Yard in Philadelphia in order t</w:t>
      </w:r>
      <w:r>
        <w:rPr>
          <w:sz w:val="20"/>
          <w:szCs w:val="20"/>
        </w:rPr>
        <w:t>o take advantage of the site's designation as a Keystone Opportunity Zone, Keystone Opportunity Expansion Zone, or Keystone Opportunity Improvement Zone, or collectively KOZ, which allows incentives for business development, as well as certain other financ</w:t>
      </w:r>
      <w:r>
        <w:rPr>
          <w:sz w:val="20"/>
          <w:szCs w:val="20"/>
        </w:rPr>
        <w:t>ial incentives provided by the Commonwealth of Pennsylvania, the City of Philadelphia and the Philadelphia Industrial Development Corporation, there can be no assurance that our tax positions will not be challenged by relevant tax authorities or that we wo</w:t>
      </w:r>
      <w:r>
        <w:rPr>
          <w:sz w:val="20"/>
          <w:szCs w:val="20"/>
        </w:rPr>
        <w:t>uld be successful in any such challenge. Further, challenges to the site's designation as a KOZ or broader challenges to Pennsylvania's KOZ program could result in the revocation of the site's designation as a KOZ and the attendant tax advantages associate</w:t>
      </w:r>
      <w:r>
        <w:rPr>
          <w:sz w:val="20"/>
          <w:szCs w:val="20"/>
        </w:rPr>
        <w:t>d with such designation. If we are unsuccessful in such a challenge, or if the site's status as a KOZ is revoked, the relevant tax authorities may assess additional taxes, which could result in adjustments to, or impact the timing or amount of, taxable inc</w:t>
      </w:r>
      <w:r>
        <w:rPr>
          <w:sz w:val="20"/>
          <w:szCs w:val="20"/>
        </w:rPr>
        <w:t>ome, deductions or other tax allocations, which may adversely affect our results of operations and financial position.</w:t>
      </w:r>
    </w:p>
    <w:p w:rsidR="00000000" w:rsidRDefault="00F22B2C">
      <w:pPr>
        <w:pStyle w:val="a3"/>
        <w:spacing w:before="0" w:beforeAutospacing="0" w:after="200" w:afterAutospacing="0"/>
        <w:ind w:firstLine="540"/>
        <w:divId w:val="2096170905"/>
        <w:rPr>
          <w:sz w:val="20"/>
          <w:szCs w:val="20"/>
        </w:rPr>
      </w:pPr>
      <w:r>
        <w:rPr>
          <w:b/>
          <w:bCs/>
          <w:i/>
          <w:iCs/>
          <w:sz w:val="20"/>
          <w:szCs w:val="20"/>
        </w:rPr>
        <w:t>We are subject to extensive regulation, which can be costly, time consuming and can subject us to unanticipated delays; even if we obtain</w:t>
      </w:r>
      <w:r>
        <w:rPr>
          <w:b/>
          <w:bCs/>
          <w:i/>
          <w:iCs/>
          <w:sz w:val="20"/>
          <w:szCs w:val="20"/>
        </w:rPr>
        <w:t xml:space="preserve"> regulatory approval for some of our products, those products may still face regulatory difficulties.</w:t>
      </w:r>
    </w:p>
    <w:p w:rsidR="00000000" w:rsidRDefault="00F22B2C">
      <w:pPr>
        <w:pStyle w:val="a3"/>
        <w:spacing w:before="0" w:beforeAutospacing="0" w:after="200" w:afterAutospacing="0"/>
        <w:ind w:firstLine="540"/>
        <w:divId w:val="2096170905"/>
        <w:rPr>
          <w:sz w:val="20"/>
          <w:szCs w:val="20"/>
        </w:rPr>
      </w:pPr>
      <w:r>
        <w:rPr>
          <w:sz w:val="20"/>
          <w:szCs w:val="20"/>
        </w:rPr>
        <w:t>Our potential products, cell processing and manufacturing activities, are subject to comprehensive regulation by the FDA in the U.S. and by comparable aut</w:t>
      </w:r>
      <w:r>
        <w:rPr>
          <w:sz w:val="20"/>
          <w:szCs w:val="20"/>
        </w:rPr>
        <w:t>horities in other countries. The process of obtaining FDA and other required regulatory approvals, including foreign approvals, is expensive and often takes many years and can vary substantially based upon the type, complexity and novelty of the products i</w:t>
      </w:r>
      <w:r>
        <w:rPr>
          <w:sz w:val="20"/>
          <w:szCs w:val="20"/>
        </w:rPr>
        <w:t>nvolved. In addition, regulatory agencies may lack experience with our technologies and products, which may lengthen the regulatory review process, increase our development costs and delay or prevent their commercialization.</w:t>
      </w:r>
    </w:p>
    <w:p w:rsidR="00000000" w:rsidRDefault="00F22B2C">
      <w:pPr>
        <w:pStyle w:val="a3"/>
        <w:spacing w:before="0" w:beforeAutospacing="0" w:after="200" w:afterAutospacing="0"/>
        <w:ind w:firstLine="540"/>
        <w:divId w:val="2096170905"/>
        <w:rPr>
          <w:sz w:val="20"/>
          <w:szCs w:val="20"/>
        </w:rPr>
      </w:pPr>
      <w:r>
        <w:rPr>
          <w:sz w:val="20"/>
          <w:szCs w:val="20"/>
        </w:rPr>
        <w:t xml:space="preserve">No adoptive cell therapy using </w:t>
      </w:r>
      <w:r>
        <w:rPr>
          <w:sz w:val="20"/>
          <w:szCs w:val="20"/>
        </w:rPr>
        <w:t>TIL has been approved for marketing by the FDA. Consequently, there is no precedent for the successful commercialization of products based on our technologies. In addition, we have had only limited experience in filing and pursuing applications necessary t</w:t>
      </w:r>
      <w:r>
        <w:rPr>
          <w:sz w:val="20"/>
          <w:szCs w:val="20"/>
        </w:rPr>
        <w:t>o gain regulatory approvals, which may impede our ability to obtain timely FDA approvals, if at all. We have not yet sought FDA approval for any adoptive cell therapy product. We will not be able to commercialize any of our potential products until we obta</w:t>
      </w:r>
      <w:r>
        <w:rPr>
          <w:sz w:val="20"/>
          <w:szCs w:val="20"/>
        </w:rPr>
        <w:t>in FDA approval, and so any delay in obtaining, or inability to obtain, FDA approval would harm our business.</w:t>
      </w:r>
    </w:p>
    <w:p w:rsidR="00000000" w:rsidRDefault="00F22B2C">
      <w:pPr>
        <w:pStyle w:val="a3"/>
        <w:spacing w:before="0" w:beforeAutospacing="0" w:after="200" w:afterAutospacing="0"/>
        <w:ind w:firstLine="540"/>
        <w:divId w:val="2096170905"/>
        <w:rPr>
          <w:sz w:val="20"/>
          <w:szCs w:val="20"/>
        </w:rPr>
      </w:pPr>
      <w:r>
        <w:rPr>
          <w:sz w:val="20"/>
          <w:szCs w:val="20"/>
        </w:rPr>
        <w:t>If we violate regulatory requirements at any stage, whether before or after marketing approval is obtained, we may face a number of regulatory con</w:t>
      </w:r>
      <w:r>
        <w:rPr>
          <w:sz w:val="20"/>
          <w:szCs w:val="20"/>
        </w:rPr>
        <w:t>sequences, including refusal to approve pending applications, license suspension or revocation, withdrawal of an approval, imposition of a clinical hold or termination of clinical trials, warning letters, untitled letters, modification of promotional mater</w:t>
      </w:r>
      <w:r>
        <w:rPr>
          <w:sz w:val="20"/>
          <w:szCs w:val="20"/>
        </w:rPr>
        <w:t>ials or labeling, provision of corrective information, imposition of post-market requirements including the need for additional testing, imposition of distribution or other restrictions under a REMS, product recalls, product seizures or detentions, refusal</w:t>
      </w:r>
      <w:r>
        <w:rPr>
          <w:sz w:val="20"/>
          <w:szCs w:val="20"/>
        </w:rPr>
        <w:t xml:space="preserve"> to allow imports or exports, total or partial suspension of production or distribution, FDA debarment, injunctions, fines, consent decrees, corporate integrity agreements, debarment from receiving government contracts, and new orders under existing contra</w:t>
      </w:r>
      <w:r>
        <w:rPr>
          <w:sz w:val="20"/>
          <w:szCs w:val="20"/>
        </w:rPr>
        <w:t>cts, exclusion from participation in federal and state healthcare programs, restitution, disgorgement, or civil or criminal penalties, including fines and imprisonment, and adverse publicity, among other adverse consequences. Additionally, we may not be ab</w:t>
      </w:r>
      <w:r>
        <w:rPr>
          <w:sz w:val="20"/>
          <w:szCs w:val="20"/>
        </w:rPr>
        <w:t>le to obtain the labeling claims necessary or desirable for the promotion of our products. We may also be required to undertake post-marketing trials. In addition, if we or others identify side effects after any of our adoptive cell therapies are on the ma</w:t>
      </w:r>
      <w:r>
        <w:rPr>
          <w:sz w:val="20"/>
          <w:szCs w:val="20"/>
        </w:rPr>
        <w:t>rket, or if manufacturing problems occur, regulatory approval may be withdrawn, and reformulation of our products may be required.</w:t>
      </w:r>
    </w:p>
    <w:p w:rsidR="00000000" w:rsidRDefault="00F22B2C">
      <w:pPr>
        <w:pStyle w:val="a3"/>
        <w:spacing w:before="0" w:beforeAutospacing="0" w:after="200" w:afterAutospacing="0"/>
        <w:ind w:firstLine="540"/>
        <w:divId w:val="2096170905"/>
        <w:rPr>
          <w:sz w:val="20"/>
          <w:szCs w:val="20"/>
        </w:rPr>
      </w:pPr>
      <w:r>
        <w:rPr>
          <w:b/>
          <w:bCs/>
          <w:i/>
          <w:iCs/>
          <w:sz w:val="20"/>
          <w:szCs w:val="20"/>
        </w:rPr>
        <w:t>We may not be able to license new technology from third parties.</w:t>
      </w:r>
    </w:p>
    <w:p w:rsidR="00000000" w:rsidRDefault="00F22B2C">
      <w:pPr>
        <w:pStyle w:val="a3"/>
        <w:spacing w:before="0" w:beforeAutospacing="0" w:after="0" w:afterAutospacing="0"/>
        <w:ind w:firstLine="540"/>
        <w:divId w:val="2096170905"/>
        <w:rPr>
          <w:sz w:val="20"/>
          <w:szCs w:val="20"/>
        </w:rPr>
      </w:pPr>
      <w:r>
        <w:rPr>
          <w:sz w:val="20"/>
          <w:szCs w:val="20"/>
        </w:rPr>
        <w:t>An element of our intellectual property portfolio is to lice</w:t>
      </w:r>
      <w:r>
        <w:rPr>
          <w:sz w:val="20"/>
          <w:szCs w:val="20"/>
        </w:rPr>
        <w:t>nse additional rights and technologies from third parties, including the NIH and others. Our inability to license the rights and technologies that we have identified, or that we may in the future identify, could have a material adverse impact on our abilit</w:t>
      </w:r>
      <w:r>
        <w:rPr>
          <w:sz w:val="20"/>
          <w:szCs w:val="20"/>
        </w:rPr>
        <w:t xml:space="preserve">y to complete the development of our products or to develop additional products. No assurance can be given that we will be successful in licensing any additional rights or technologies from third parties, including the </w:t>
      </w:r>
    </w:p>
    <w:p w:rsidR="00000000" w:rsidRDefault="00F22B2C">
      <w:pPr>
        <w:pStyle w:val="a3"/>
        <w:spacing w:before="480" w:beforeAutospacing="0" w:after="0" w:afterAutospacing="0"/>
        <w:jc w:val="center"/>
        <w:divId w:val="2013725953"/>
        <w:rPr>
          <w:sz w:val="20"/>
          <w:szCs w:val="20"/>
        </w:rPr>
      </w:pPr>
      <w:r>
        <w:rPr>
          <w:sz w:val="20"/>
          <w:szCs w:val="20"/>
        </w:rPr>
        <w:t>56</w:t>
      </w:r>
    </w:p>
    <w:p w:rsidR="00000000" w:rsidRDefault="00F22B2C">
      <w:pPr>
        <w:pStyle w:val="a3"/>
        <w:spacing w:before="0" w:beforeAutospacing="0" w:after="600" w:afterAutospacing="0"/>
        <w:divId w:val="279386989"/>
        <w:rPr>
          <w:sz w:val="20"/>
          <w:szCs w:val="20"/>
        </w:rPr>
      </w:pPr>
      <w:hyperlink w:anchor="TOC" w:history="1">
        <w:r>
          <w:rPr>
            <w:rStyle w:val="a4"/>
            <w:sz w:val="20"/>
            <w:szCs w:val="20"/>
          </w:rPr>
          <w:t>Table o</w:t>
        </w:r>
        <w:r>
          <w:rPr>
            <w:rStyle w:val="a4"/>
            <w:sz w:val="20"/>
            <w:szCs w:val="20"/>
          </w:rPr>
          <w:t>f Contents</w:t>
        </w:r>
      </w:hyperlink>
    </w:p>
    <w:p w:rsidR="00000000" w:rsidRDefault="00F22B2C">
      <w:pPr>
        <w:pStyle w:val="a3"/>
        <w:spacing w:before="0" w:beforeAutospacing="0" w:after="200" w:afterAutospacing="0"/>
        <w:divId w:val="752045562"/>
        <w:rPr>
          <w:sz w:val="20"/>
          <w:szCs w:val="20"/>
        </w:rPr>
      </w:pPr>
      <w:r>
        <w:rPr>
          <w:sz w:val="20"/>
          <w:szCs w:val="20"/>
        </w:rPr>
        <w:t>NIH and others. Failure to obtain additional rights and licenses may detrimentally affect our planned development of additional product candidates and could increase the cost, and extend the timelines associated with our development of such othe</w:t>
      </w:r>
      <w:r>
        <w:rPr>
          <w:sz w:val="20"/>
          <w:szCs w:val="20"/>
        </w:rPr>
        <w:t>r products.</w:t>
      </w:r>
    </w:p>
    <w:p w:rsidR="00000000" w:rsidRDefault="00F22B2C">
      <w:pPr>
        <w:pStyle w:val="a3"/>
        <w:spacing w:before="0" w:beforeAutospacing="0" w:after="200" w:afterAutospacing="0"/>
        <w:ind w:firstLine="540"/>
        <w:divId w:val="752045562"/>
        <w:rPr>
          <w:sz w:val="20"/>
          <w:szCs w:val="20"/>
        </w:rPr>
      </w:pPr>
      <w:r>
        <w:rPr>
          <w:b/>
          <w:bCs/>
          <w:i/>
          <w:iCs/>
          <w:sz w:val="20"/>
          <w:szCs w:val="20"/>
        </w:rPr>
        <w:t>Our projections regarding the market opportunities for our product candidates may not be accurate, and the actual market for our products may be smaller than we estimate.</w:t>
      </w:r>
    </w:p>
    <w:p w:rsidR="00000000" w:rsidRDefault="00F22B2C">
      <w:pPr>
        <w:pStyle w:val="a3"/>
        <w:spacing w:before="0" w:beforeAutospacing="0" w:after="200" w:afterAutospacing="0"/>
        <w:ind w:firstLine="540"/>
        <w:divId w:val="752045562"/>
        <w:rPr>
          <w:sz w:val="20"/>
          <w:szCs w:val="20"/>
        </w:rPr>
      </w:pPr>
      <w:r>
        <w:rPr>
          <w:sz w:val="20"/>
          <w:szCs w:val="20"/>
        </w:rPr>
        <w:t xml:space="preserve">Our projections of both the number of people who have the cancers we are </w:t>
      </w:r>
      <w:r>
        <w:rPr>
          <w:sz w:val="20"/>
          <w:szCs w:val="20"/>
        </w:rPr>
        <w:t>targeting, as well as the subset of people with these cancers who are in a position to receive second- or third- line therapy, and who have the potential to benefit from treatment with our product candidates, are based on our beliefs and estimates. These e</w:t>
      </w:r>
      <w:r>
        <w:rPr>
          <w:sz w:val="20"/>
          <w:szCs w:val="20"/>
        </w:rPr>
        <w:t>stimates have been derived from a variety of sources, including scientific literature, surveys of clinics, patient foundations, or market research by third parties, and may prove to be incorrect. Further, new studies or approvals of new therapeutics may ch</w:t>
      </w:r>
      <w:r>
        <w:rPr>
          <w:sz w:val="20"/>
          <w:szCs w:val="20"/>
        </w:rPr>
        <w:t>ange the estimated incidence or prevalence of these cancers. The number of patients may turn out to be lower than expected. Additionally, the potentially addressable patient population for our product candidates may be limited or may not be amenable to tre</w:t>
      </w:r>
      <w:r>
        <w:rPr>
          <w:sz w:val="20"/>
          <w:szCs w:val="20"/>
        </w:rPr>
        <w:t>atment with our product candidates and may also be limited by the cost of our treatments and the reimbursement of those treatment costs by third-party payors. For instance, we expect lifileucel to initially target a small patient population that suffers fr</w:t>
      </w:r>
      <w:r>
        <w:rPr>
          <w:sz w:val="20"/>
          <w:szCs w:val="20"/>
        </w:rPr>
        <w:t>om metastatic melanoma. Even if we obtain significant market share for our product candidates, because the potential target populations are small, we may never achieve profitability without obtaining regulatory approval for additional indications.</w:t>
      </w:r>
    </w:p>
    <w:p w:rsidR="00000000" w:rsidRDefault="00F22B2C">
      <w:pPr>
        <w:pStyle w:val="a3"/>
        <w:spacing w:before="0" w:beforeAutospacing="0" w:after="200" w:afterAutospacing="0"/>
        <w:ind w:firstLine="540"/>
        <w:divId w:val="752045562"/>
        <w:rPr>
          <w:sz w:val="20"/>
          <w:szCs w:val="20"/>
        </w:rPr>
      </w:pPr>
      <w:r>
        <w:rPr>
          <w:b/>
          <w:bCs/>
          <w:i/>
          <w:iCs/>
          <w:sz w:val="20"/>
          <w:szCs w:val="20"/>
        </w:rPr>
        <w:t>We are r</w:t>
      </w:r>
      <w:r>
        <w:rPr>
          <w:b/>
          <w:bCs/>
          <w:i/>
          <w:iCs/>
          <w:sz w:val="20"/>
          <w:szCs w:val="20"/>
        </w:rPr>
        <w:t>equired to pay substantial royalties and lump sum benchmark payments under our license agreements with the NIH, Moffitt, Novartis, and Cellectis, and we must meet certain milestones to maintain our license rights.</w:t>
      </w:r>
    </w:p>
    <w:p w:rsidR="00000000" w:rsidRDefault="00F22B2C">
      <w:pPr>
        <w:pStyle w:val="a3"/>
        <w:spacing w:before="0" w:beforeAutospacing="0" w:after="200" w:afterAutospacing="0"/>
        <w:ind w:firstLine="540"/>
        <w:divId w:val="752045562"/>
        <w:rPr>
          <w:sz w:val="20"/>
          <w:szCs w:val="20"/>
        </w:rPr>
      </w:pPr>
      <w:r>
        <w:rPr>
          <w:sz w:val="20"/>
          <w:szCs w:val="20"/>
        </w:rPr>
        <w:t>Under our license agreements with the NIH,</w:t>
      </w:r>
      <w:r>
        <w:rPr>
          <w:sz w:val="20"/>
          <w:szCs w:val="20"/>
        </w:rPr>
        <w:t xml:space="preserve"> Novartis, and Cellectis for our adoptive cell therapy and immunotherapy technologies, we are currently required to pay both substantial benchmark payments and royalties to that institution based on our revenues from sales of our products utilizing the lic</w:t>
      </w:r>
      <w:r>
        <w:rPr>
          <w:sz w:val="20"/>
          <w:szCs w:val="20"/>
        </w:rPr>
        <w:t>ensed technologies. These payments could adversely affect the overall profitability for us of any products that we may seek to commercialize under these license agreements. In order to maintain our license rights under the NIH, Moffitt, Novartis, and Celle</w:t>
      </w:r>
      <w:r>
        <w:rPr>
          <w:sz w:val="20"/>
          <w:szCs w:val="20"/>
        </w:rPr>
        <w:t>ctis license agreements, we will need to meet certain specified milestones, subject to certain cure provisions, in the development of our product candidates. There is no assurance that we will be successful in meeting these milestones on a timely basis, or</w:t>
      </w:r>
      <w:r>
        <w:rPr>
          <w:sz w:val="20"/>
          <w:szCs w:val="20"/>
        </w:rPr>
        <w:t xml:space="preserve"> at all.</w:t>
      </w:r>
    </w:p>
    <w:p w:rsidR="00000000" w:rsidRDefault="00F22B2C">
      <w:pPr>
        <w:pStyle w:val="a3"/>
        <w:spacing w:before="0" w:beforeAutospacing="0" w:after="200" w:afterAutospacing="0"/>
        <w:ind w:firstLine="540"/>
        <w:divId w:val="752045562"/>
        <w:rPr>
          <w:sz w:val="20"/>
          <w:szCs w:val="20"/>
        </w:rPr>
      </w:pPr>
      <w:r>
        <w:rPr>
          <w:b/>
          <w:bCs/>
          <w:i/>
          <w:iCs/>
          <w:sz w:val="20"/>
          <w:szCs w:val="20"/>
        </w:rPr>
        <w:t>Because our current products represent, and our other potential product candidates will represent novel approaches to the treatment of disease, there are many uncertainties regarding the development, the market acceptance, third-party reimbursemen</w:t>
      </w:r>
      <w:r>
        <w:rPr>
          <w:b/>
          <w:bCs/>
          <w:i/>
          <w:iCs/>
          <w:sz w:val="20"/>
          <w:szCs w:val="20"/>
        </w:rPr>
        <w:t>t coverage and the commercial potential of our product candidates.</w:t>
      </w:r>
    </w:p>
    <w:p w:rsidR="00000000" w:rsidRDefault="00F22B2C">
      <w:pPr>
        <w:pStyle w:val="a3"/>
        <w:spacing w:before="0" w:beforeAutospacing="0" w:after="200" w:afterAutospacing="0"/>
        <w:ind w:firstLine="540"/>
        <w:divId w:val="752045562"/>
        <w:rPr>
          <w:sz w:val="20"/>
          <w:szCs w:val="20"/>
        </w:rPr>
      </w:pPr>
      <w:r>
        <w:rPr>
          <w:sz w:val="20"/>
          <w:szCs w:val="20"/>
        </w:rPr>
        <w:t>Human immunotherapy products are a new category of therapeutics. Because this is a relatively new and expanding area of novel therapeutic interventions, there are many uncertainties related</w:t>
      </w:r>
      <w:r>
        <w:rPr>
          <w:sz w:val="20"/>
          <w:szCs w:val="20"/>
        </w:rPr>
        <w:t xml:space="preserve"> to development, marketing, reimbursement, and the commercial potential for our product candidates. There can be no assurance as to the length of the trial period, the number of patients the FDA will require to be enrolled in the trials in order to establi</w:t>
      </w:r>
      <w:r>
        <w:rPr>
          <w:sz w:val="20"/>
          <w:szCs w:val="20"/>
        </w:rPr>
        <w:t>sh the safety, efficacy, purity and potency of immunotherapy products, or that the data generated in these trials will be acceptable to the FDA to support marketing approval. The FDA may take longer than usual to come to a decision on any BLA that we submi</w:t>
      </w:r>
      <w:r>
        <w:rPr>
          <w:sz w:val="20"/>
          <w:szCs w:val="20"/>
        </w:rPr>
        <w:t>t and may ultimately determine that there is not enough data, information, or experience with our product candidates to support an approval decision. The FDA may also require that we conduct additional post-marketing studies or implement risk management pr</w:t>
      </w:r>
      <w:r>
        <w:rPr>
          <w:sz w:val="20"/>
          <w:szCs w:val="20"/>
        </w:rPr>
        <w:t>ograms, such as REMS until more experience with our product candidates is obtained. Finally, after increased usage, we may find that our product candidates do not have the intended effect or have unanticipated side effects, potentially jeopardizing initial</w:t>
      </w:r>
      <w:r>
        <w:rPr>
          <w:sz w:val="20"/>
          <w:szCs w:val="20"/>
        </w:rPr>
        <w:t xml:space="preserve"> or continuing regulatory approval and commercial prospects.</w:t>
      </w:r>
    </w:p>
    <w:p w:rsidR="00000000" w:rsidRDefault="00F22B2C">
      <w:pPr>
        <w:pStyle w:val="a3"/>
        <w:spacing w:before="0" w:beforeAutospacing="0" w:after="200" w:afterAutospacing="0"/>
        <w:ind w:firstLine="540"/>
        <w:divId w:val="752045562"/>
        <w:rPr>
          <w:sz w:val="20"/>
          <w:szCs w:val="20"/>
        </w:rPr>
      </w:pPr>
      <w:r>
        <w:rPr>
          <w:sz w:val="20"/>
          <w:szCs w:val="20"/>
        </w:rPr>
        <w:t>We may also find that the manufacture of our product candidates is more difficult than anticipated, resulting in an inability to produce a sufficient amount of our product candidates for our clin</w:t>
      </w:r>
      <w:r>
        <w:rPr>
          <w:sz w:val="20"/>
          <w:szCs w:val="20"/>
        </w:rPr>
        <w:t>ical trials or, if approved, commercial supply. Moreover, because of the complexity and novelty of our manufacturing process, there are only a limited number of manufacturers who have the capability of producing our product candidates. Should any of our co</w:t>
      </w:r>
      <w:r>
        <w:rPr>
          <w:sz w:val="20"/>
          <w:szCs w:val="20"/>
        </w:rPr>
        <w:t>ntract manufacturers no longer produce our product candidates, it may take us significant time to find a replacement, if we are able to find a replacement at all.</w:t>
      </w:r>
    </w:p>
    <w:p w:rsidR="00000000" w:rsidRDefault="00F22B2C">
      <w:pPr>
        <w:pStyle w:val="a3"/>
        <w:spacing w:before="0" w:beforeAutospacing="0" w:after="0" w:afterAutospacing="0"/>
        <w:ind w:firstLine="540"/>
        <w:divId w:val="752045562"/>
        <w:rPr>
          <w:sz w:val="20"/>
          <w:szCs w:val="20"/>
        </w:rPr>
      </w:pPr>
      <w:r>
        <w:rPr>
          <w:sz w:val="20"/>
          <w:szCs w:val="20"/>
        </w:rPr>
        <w:t xml:space="preserve">There is no assurance that the approaches offered by our products will gain broad acceptance </w:t>
      </w:r>
      <w:r>
        <w:rPr>
          <w:sz w:val="20"/>
          <w:szCs w:val="20"/>
        </w:rPr>
        <w:t>among doctors or patients or that governmental agencies or third-party medical insurers will be willing to provide reimbursement coverage for proposed product candidates. Moreover, we do not have verifiable internal marketing data regarding the potential s</w:t>
      </w:r>
      <w:r>
        <w:rPr>
          <w:sz w:val="20"/>
          <w:szCs w:val="20"/>
        </w:rPr>
        <w:t>ize of the commercial market for our product candidates, nor have we obtained current independent marketing surveys to verify the potential size of the commercial markets for our current product candidates or any future product candidates. Since our curren</w:t>
      </w:r>
      <w:r>
        <w:rPr>
          <w:sz w:val="20"/>
          <w:szCs w:val="20"/>
        </w:rPr>
        <w:t xml:space="preserve">t product candidates and any future product candidates will represent novel approaches to treating various conditions, it may be difficult, in any event, to accurately </w:t>
      </w:r>
    </w:p>
    <w:p w:rsidR="00000000" w:rsidRDefault="00F22B2C">
      <w:pPr>
        <w:pStyle w:val="a3"/>
        <w:spacing w:before="480" w:beforeAutospacing="0" w:after="0" w:afterAutospacing="0"/>
        <w:jc w:val="center"/>
        <w:divId w:val="80807033"/>
        <w:rPr>
          <w:sz w:val="20"/>
          <w:szCs w:val="20"/>
        </w:rPr>
      </w:pPr>
      <w:r>
        <w:rPr>
          <w:sz w:val="20"/>
          <w:szCs w:val="20"/>
        </w:rPr>
        <w:t>57</w:t>
      </w:r>
    </w:p>
    <w:p w:rsidR="00000000" w:rsidRDefault="00F22B2C">
      <w:pPr>
        <w:pStyle w:val="a3"/>
        <w:spacing w:before="0" w:beforeAutospacing="0" w:after="600" w:afterAutospacing="0"/>
        <w:divId w:val="1336227558"/>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1659191114"/>
        <w:rPr>
          <w:sz w:val="20"/>
          <w:szCs w:val="20"/>
        </w:rPr>
      </w:pPr>
      <w:r>
        <w:rPr>
          <w:sz w:val="20"/>
          <w:szCs w:val="20"/>
        </w:rPr>
        <w:t>estimate the potential revenues from these product candidates. Accordingly, we may spend significant capital trying to obtain approval for product candidates that have an uncertain commercial market. The market for any products that we successfully develop</w:t>
      </w:r>
      <w:r>
        <w:rPr>
          <w:sz w:val="20"/>
          <w:szCs w:val="20"/>
        </w:rPr>
        <w:t xml:space="preserve"> will also depend on the cost of the product. We do not yet have sufficient information to reliably estimate what it will cost to commercially manufacture our current product candidates, and the actual cost to manufacture these products could materially an</w:t>
      </w:r>
      <w:r>
        <w:rPr>
          <w:sz w:val="20"/>
          <w:szCs w:val="20"/>
        </w:rPr>
        <w:t>d adversely affect the commercial viability of these products. Our goal is to reduce the cost of manufacturing and providing our therapies. However, unless we can reduce those costs to an acceptable amount, we may never be able to develop a commercially vi</w:t>
      </w:r>
      <w:r>
        <w:rPr>
          <w:sz w:val="20"/>
          <w:szCs w:val="20"/>
        </w:rPr>
        <w:t>able product. If we do not successfully develop and commercialize products based upon our approach or find suitable and economical sources for materials used in the production of our products, we will not become profitable, which would materially and adver</w:t>
      </w:r>
      <w:r>
        <w:rPr>
          <w:sz w:val="20"/>
          <w:szCs w:val="20"/>
        </w:rPr>
        <w:t>sely affect the value of our common stock.</w:t>
      </w:r>
    </w:p>
    <w:p w:rsidR="00000000" w:rsidRDefault="00F22B2C">
      <w:pPr>
        <w:pStyle w:val="a3"/>
        <w:spacing w:before="0" w:beforeAutospacing="0" w:after="200" w:afterAutospacing="0"/>
        <w:ind w:firstLine="540"/>
        <w:divId w:val="1659191114"/>
        <w:rPr>
          <w:sz w:val="20"/>
          <w:szCs w:val="20"/>
        </w:rPr>
      </w:pPr>
      <w:r>
        <w:rPr>
          <w:sz w:val="20"/>
          <w:szCs w:val="20"/>
        </w:rPr>
        <w:t>Our TIL therapies and our other therapies may be provided to patients in combination with other agents provided by third parties. The cost of such combination therapy may increase the overall cost of therapy and m</w:t>
      </w:r>
      <w:r>
        <w:rPr>
          <w:sz w:val="20"/>
          <w:szCs w:val="20"/>
        </w:rPr>
        <w:t>ay result in issues regarding the allocation of reimbursements between our therapy and the other agents, all of which may affect our ability to obtain reimbursement coverage for the combination therapy from governmental or private third party medical insur</w:t>
      </w:r>
      <w:r>
        <w:rPr>
          <w:sz w:val="20"/>
          <w:szCs w:val="20"/>
        </w:rPr>
        <w:t>ers.</w:t>
      </w:r>
    </w:p>
    <w:p w:rsidR="00000000" w:rsidRDefault="00F22B2C">
      <w:pPr>
        <w:pStyle w:val="a3"/>
        <w:spacing w:before="0" w:beforeAutospacing="0" w:after="200" w:afterAutospacing="0"/>
        <w:ind w:firstLine="540"/>
        <w:divId w:val="1659191114"/>
        <w:rPr>
          <w:sz w:val="20"/>
          <w:szCs w:val="20"/>
        </w:rPr>
      </w:pPr>
      <w:r>
        <w:rPr>
          <w:b/>
          <w:bCs/>
          <w:i/>
          <w:iCs/>
          <w:sz w:val="20"/>
          <w:szCs w:val="20"/>
        </w:rPr>
        <w:t>No assurance can be given that the Gen 2 manufacturing process we have selected will be FDA-compliant, more efficient and lower the cost to manufacture TIL products.</w:t>
      </w:r>
    </w:p>
    <w:p w:rsidR="00000000" w:rsidRDefault="00F22B2C">
      <w:pPr>
        <w:pStyle w:val="a3"/>
        <w:spacing w:before="0" w:beforeAutospacing="0" w:after="200" w:afterAutospacing="0"/>
        <w:ind w:firstLine="540"/>
        <w:divId w:val="1659191114"/>
        <w:rPr>
          <w:sz w:val="20"/>
          <w:szCs w:val="20"/>
        </w:rPr>
      </w:pPr>
      <w:r>
        <w:rPr>
          <w:sz w:val="20"/>
          <w:szCs w:val="20"/>
        </w:rPr>
        <w:t>Pursuant to the CRADA, and in cooperation with our contract manufacturers and potenti</w:t>
      </w:r>
      <w:r>
        <w:rPr>
          <w:sz w:val="20"/>
          <w:szCs w:val="20"/>
        </w:rPr>
        <w:t>ally other manufacturers, we have developed and are developing improved methods for the generating and selecting autologous TILs, and methods for large-scale production of autologous TILs that are in accord with current cGMP procedures. We have developed a</w:t>
      </w:r>
      <w:r>
        <w:rPr>
          <w:sz w:val="20"/>
          <w:szCs w:val="20"/>
        </w:rPr>
        <w:t xml:space="preserve"> new and more efficient TIL manufacturing process that we believe can be more efficient and cost effective, and in a more automated manner than previous processes. The production and control of the physical and/or chemical attributes of our products in a c</w:t>
      </w:r>
      <w:r>
        <w:rPr>
          <w:sz w:val="20"/>
          <w:szCs w:val="20"/>
        </w:rPr>
        <w:t>GMP facility is subject to many uncertainties and difficulties. We have never manufactured our adoptive cell therapy product candidate on a commercial scale, nor have our partners. As a result, we cannot give any assurance that the Gen 2 process or any fut</w:t>
      </w:r>
      <w:r>
        <w:rPr>
          <w:sz w:val="20"/>
          <w:szCs w:val="20"/>
        </w:rPr>
        <w:t>ure process that we select will be a manufacturing process that can produce our products in compliance with the applicable regulatory requirements, at a cost or in quantities necessary to make them commercially viable. Moreover, we and our third-party manu</w:t>
      </w:r>
      <w:r>
        <w:rPr>
          <w:sz w:val="20"/>
          <w:szCs w:val="20"/>
        </w:rPr>
        <w:t xml:space="preserve">facturers will have to continually adhere to current cGMP regulations enforced by the FDA through its facilities inspection program. If our facilities or any of the facilities of these manufacturers cannot demonstrate adequate assurance of compliance with </w:t>
      </w:r>
      <w:r>
        <w:rPr>
          <w:sz w:val="20"/>
          <w:szCs w:val="20"/>
        </w:rPr>
        <w:t>FDA standards during a pre-approval inspection, the FDA approval of our products will not be granted. In complying with cGMP and foreign regulatory requirements, we and any of our third-party manufacturers will be obligated to expend time, money and effort</w:t>
      </w:r>
      <w:r>
        <w:rPr>
          <w:sz w:val="20"/>
          <w:szCs w:val="20"/>
        </w:rPr>
        <w:t xml:space="preserve"> in production, record-keeping and quality control to assure that our products meet applicable specifications and other requirements. If we or any of our third-party manufacturers fail to comply with these requirements, we may be subject to regulatory acti</w:t>
      </w:r>
      <w:r>
        <w:rPr>
          <w:sz w:val="20"/>
          <w:szCs w:val="20"/>
        </w:rPr>
        <w:t>on. No assurance can be given that we will be able to develop such a manufacturing process, or that our partners will thereafter be able to establish and operate such a production facility.</w:t>
      </w:r>
    </w:p>
    <w:p w:rsidR="00000000" w:rsidRDefault="00F22B2C">
      <w:pPr>
        <w:pStyle w:val="a3"/>
        <w:spacing w:before="0" w:beforeAutospacing="0" w:after="200" w:afterAutospacing="0"/>
        <w:ind w:firstLine="540"/>
        <w:divId w:val="1659191114"/>
        <w:rPr>
          <w:sz w:val="20"/>
          <w:szCs w:val="20"/>
        </w:rPr>
      </w:pPr>
      <w:r>
        <w:rPr>
          <w:b/>
          <w:bCs/>
          <w:i/>
          <w:iCs/>
          <w:sz w:val="20"/>
          <w:szCs w:val="20"/>
        </w:rPr>
        <w:t>If product liability lawsuits are brought against us, we may incur</w:t>
      </w:r>
      <w:r>
        <w:rPr>
          <w:b/>
          <w:bCs/>
          <w:i/>
          <w:iCs/>
          <w:sz w:val="20"/>
          <w:szCs w:val="20"/>
        </w:rPr>
        <w:t xml:space="preserve"> substantial liabilities and may be required to limit commercialization of our product candidates.</w:t>
      </w:r>
    </w:p>
    <w:p w:rsidR="00000000" w:rsidRDefault="00F22B2C">
      <w:pPr>
        <w:pStyle w:val="a3"/>
        <w:spacing w:before="0" w:beforeAutospacing="0" w:after="200" w:afterAutospacing="0"/>
        <w:ind w:firstLine="547"/>
        <w:divId w:val="1659191114"/>
        <w:rPr>
          <w:sz w:val="20"/>
          <w:szCs w:val="20"/>
        </w:rPr>
      </w:pPr>
      <w:r>
        <w:rPr>
          <w:sz w:val="20"/>
          <w:szCs w:val="20"/>
        </w:rPr>
        <w:t>We face an inherent risk of product liability as a result of the clinical testing of our product candidates and will face an even greater risk if we commerci</w:t>
      </w:r>
      <w:r>
        <w:rPr>
          <w:sz w:val="20"/>
          <w:szCs w:val="20"/>
        </w:rPr>
        <w:t>alize any products. For example, we may be sued if our product candidates cause or are perceived to cause injury or are found to be otherwise unsuitable during clinical testing, manufacturing, marketing or sale. Any such product liability claims may includ</w:t>
      </w:r>
      <w:r>
        <w:rPr>
          <w:sz w:val="20"/>
          <w:szCs w:val="20"/>
        </w:rPr>
        <w:t>e allegations of defects in manufacturing, defects in design, a failure to warn of dangers inherent in the product, negligence, strict liability or a breach of warranties. Claims could also be asserted under state consumer protection acts. Large judgements</w:t>
      </w:r>
      <w:r>
        <w:rPr>
          <w:sz w:val="20"/>
          <w:szCs w:val="20"/>
        </w:rPr>
        <w:t xml:space="preserve"> have also been awarded in class action lawsuits based on therapeutics that had unanticipated side effects. If we cannot successfully defend ourselves against product liability claims, we may incur substantial liabilities or be required to limit commercial</w:t>
      </w:r>
      <w:r>
        <w:rPr>
          <w:sz w:val="20"/>
          <w:szCs w:val="20"/>
        </w:rPr>
        <w:t>ization of our product candidates. Even successful defense would require significant financial and management resources. Regardless of the merits or eventual outcome, liability claims may result in:</w:t>
      </w:r>
    </w:p>
    <w:p w:rsidR="00000000" w:rsidRDefault="00F22B2C">
      <w:pPr>
        <w:ind w:left="547" w:hanging="360"/>
        <w:divId w:val="982080688"/>
        <w:rPr>
          <w:rFonts w:eastAsia="Times New Roman"/>
          <w:sz w:val="20"/>
          <w:szCs w:val="20"/>
        </w:rPr>
      </w:pPr>
      <w:r>
        <w:rPr>
          <w:rFonts w:eastAsia="Times New Roman"/>
          <w:sz w:val="20"/>
          <w:szCs w:val="20"/>
        </w:rPr>
        <w:t>●</w:t>
      </w:r>
      <w:r>
        <w:rPr>
          <w:rFonts w:eastAsia="Times New Roman"/>
          <w:sz w:val="20"/>
          <w:szCs w:val="20"/>
        </w:rPr>
        <w:t>decreased demand for our product candidates;</w:t>
      </w:r>
    </w:p>
    <w:p w:rsidR="00000000" w:rsidRDefault="00F22B2C">
      <w:pPr>
        <w:ind w:left="547" w:hanging="360"/>
        <w:divId w:val="1785151317"/>
        <w:rPr>
          <w:rFonts w:eastAsia="Times New Roman"/>
          <w:sz w:val="20"/>
          <w:szCs w:val="20"/>
        </w:rPr>
      </w:pPr>
      <w:r>
        <w:rPr>
          <w:rFonts w:eastAsia="Times New Roman"/>
          <w:sz w:val="20"/>
          <w:szCs w:val="20"/>
        </w:rPr>
        <w:t>●</w:t>
      </w:r>
      <w:r>
        <w:rPr>
          <w:rFonts w:eastAsia="Times New Roman"/>
          <w:sz w:val="20"/>
          <w:szCs w:val="20"/>
        </w:rPr>
        <w:t xml:space="preserve">injury to </w:t>
      </w:r>
      <w:r>
        <w:rPr>
          <w:rFonts w:eastAsia="Times New Roman"/>
          <w:sz w:val="20"/>
          <w:szCs w:val="20"/>
        </w:rPr>
        <w:t>our reputation;</w:t>
      </w:r>
    </w:p>
    <w:p w:rsidR="00000000" w:rsidRDefault="00F22B2C">
      <w:pPr>
        <w:ind w:left="547" w:hanging="360"/>
        <w:divId w:val="1184633122"/>
        <w:rPr>
          <w:rFonts w:eastAsia="Times New Roman"/>
          <w:sz w:val="20"/>
          <w:szCs w:val="20"/>
        </w:rPr>
      </w:pPr>
      <w:r>
        <w:rPr>
          <w:rFonts w:eastAsia="Times New Roman"/>
          <w:sz w:val="20"/>
          <w:szCs w:val="20"/>
        </w:rPr>
        <w:t>●</w:t>
      </w:r>
      <w:r>
        <w:rPr>
          <w:rFonts w:eastAsia="Times New Roman"/>
          <w:sz w:val="20"/>
          <w:szCs w:val="20"/>
        </w:rPr>
        <w:t>withdrawal of clinical trial participants or sites and potential termination of clinical trial sites or entire clinical programs;</w:t>
      </w:r>
    </w:p>
    <w:p w:rsidR="00000000" w:rsidRDefault="00F22B2C">
      <w:pPr>
        <w:ind w:left="547" w:hanging="360"/>
        <w:divId w:val="1207911368"/>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applications or supplements, and wi</w:t>
      </w:r>
      <w:r>
        <w:rPr>
          <w:rFonts w:eastAsia="Times New Roman"/>
          <w:sz w:val="20"/>
          <w:szCs w:val="20"/>
        </w:rPr>
        <w:t>thdrawal or limitation of product approvals;</w:t>
      </w:r>
    </w:p>
    <w:p w:rsidR="00000000" w:rsidRDefault="00F22B2C">
      <w:pPr>
        <w:ind w:left="547" w:hanging="360"/>
        <w:divId w:val="1708262763"/>
        <w:rPr>
          <w:rFonts w:eastAsia="Times New Roman"/>
          <w:sz w:val="20"/>
          <w:szCs w:val="20"/>
        </w:rPr>
      </w:pPr>
      <w:r>
        <w:rPr>
          <w:rFonts w:eastAsia="Times New Roman"/>
          <w:sz w:val="20"/>
          <w:szCs w:val="20"/>
        </w:rPr>
        <w:t>●</w:t>
      </w:r>
      <w:r>
        <w:rPr>
          <w:rFonts w:eastAsia="Times New Roman"/>
          <w:sz w:val="20"/>
          <w:szCs w:val="20"/>
        </w:rPr>
        <w:t>costs to defend the related litigation;</w:t>
      </w:r>
    </w:p>
    <w:p w:rsidR="00000000" w:rsidRDefault="00F22B2C">
      <w:pPr>
        <w:ind w:left="547" w:hanging="360"/>
        <w:divId w:val="1739595667"/>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rsidR="00000000" w:rsidRDefault="00F22B2C">
      <w:pPr>
        <w:ind w:left="547" w:hanging="360"/>
        <w:divId w:val="1826974853"/>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rsidR="00000000" w:rsidRDefault="00F22B2C">
      <w:pPr>
        <w:pStyle w:val="a3"/>
        <w:spacing w:before="480" w:beforeAutospacing="0" w:after="0" w:afterAutospacing="0"/>
        <w:jc w:val="center"/>
        <w:divId w:val="510795784"/>
        <w:rPr>
          <w:sz w:val="20"/>
          <w:szCs w:val="20"/>
        </w:rPr>
      </w:pPr>
      <w:r>
        <w:rPr>
          <w:sz w:val="20"/>
          <w:szCs w:val="20"/>
        </w:rPr>
        <w:t>58</w:t>
      </w:r>
    </w:p>
    <w:p w:rsidR="00000000" w:rsidRDefault="00F22B2C">
      <w:pPr>
        <w:pStyle w:val="a3"/>
        <w:spacing w:before="0" w:beforeAutospacing="0" w:after="600" w:afterAutospacing="0"/>
        <w:divId w:val="856695898"/>
        <w:rPr>
          <w:sz w:val="20"/>
          <w:szCs w:val="20"/>
        </w:rPr>
      </w:pPr>
      <w:hyperlink w:anchor="TOC" w:history="1">
        <w:r>
          <w:rPr>
            <w:rStyle w:val="a4"/>
            <w:sz w:val="20"/>
            <w:szCs w:val="20"/>
          </w:rPr>
          <w:t>Table of Contents</w:t>
        </w:r>
      </w:hyperlink>
    </w:p>
    <w:p w:rsidR="00000000" w:rsidRDefault="00F22B2C">
      <w:pPr>
        <w:ind w:left="547" w:hanging="360"/>
        <w:divId w:val="401294164"/>
        <w:rPr>
          <w:rFonts w:eastAsia="Times New Roman"/>
          <w:sz w:val="20"/>
          <w:szCs w:val="20"/>
        </w:rPr>
      </w:pPr>
      <w:r>
        <w:rPr>
          <w:rFonts w:eastAsia="Times New Roman"/>
          <w:sz w:val="20"/>
          <w:szCs w:val="20"/>
        </w:rPr>
        <w:t>●</w:t>
      </w:r>
      <w:r>
        <w:rPr>
          <w:rFonts w:eastAsia="Times New Roman"/>
          <w:sz w:val="20"/>
          <w:szCs w:val="20"/>
        </w:rPr>
        <w:t>produ</w:t>
      </w:r>
      <w:r>
        <w:rPr>
          <w:rFonts w:eastAsia="Times New Roman"/>
          <w:sz w:val="20"/>
          <w:szCs w:val="20"/>
        </w:rPr>
        <w:t>ct recalls, withdrawals or labeling, marketing or promotional restrictions;</w:t>
      </w:r>
    </w:p>
    <w:p w:rsidR="00000000" w:rsidRDefault="00F22B2C">
      <w:pPr>
        <w:ind w:left="547" w:hanging="360"/>
        <w:divId w:val="243147941"/>
        <w:rPr>
          <w:rFonts w:eastAsia="Times New Roman"/>
          <w:sz w:val="20"/>
          <w:szCs w:val="20"/>
        </w:rPr>
      </w:pPr>
      <w:r>
        <w:rPr>
          <w:rFonts w:eastAsia="Times New Roman"/>
          <w:sz w:val="20"/>
          <w:szCs w:val="20"/>
        </w:rPr>
        <w:t>●</w:t>
      </w:r>
      <w:r>
        <w:rPr>
          <w:rFonts w:eastAsia="Times New Roman"/>
          <w:sz w:val="20"/>
          <w:szCs w:val="20"/>
        </w:rPr>
        <w:t>loss of revenue;</w:t>
      </w:r>
    </w:p>
    <w:p w:rsidR="00000000" w:rsidRDefault="00F22B2C">
      <w:pPr>
        <w:ind w:left="547" w:hanging="360"/>
        <w:divId w:val="1504784951"/>
        <w:rPr>
          <w:rFonts w:eastAsia="Times New Roman"/>
          <w:sz w:val="20"/>
          <w:szCs w:val="20"/>
        </w:rPr>
      </w:pPr>
      <w:r>
        <w:rPr>
          <w:rFonts w:eastAsia="Times New Roman"/>
          <w:sz w:val="20"/>
          <w:szCs w:val="20"/>
        </w:rPr>
        <w:t>●</w:t>
      </w:r>
      <w:r>
        <w:rPr>
          <w:rFonts w:eastAsia="Times New Roman"/>
          <w:sz w:val="20"/>
          <w:szCs w:val="20"/>
        </w:rPr>
        <w:t>significant negative media attention;</w:t>
      </w:r>
    </w:p>
    <w:p w:rsidR="00000000" w:rsidRDefault="00F22B2C">
      <w:pPr>
        <w:ind w:left="547" w:hanging="360"/>
        <w:divId w:val="1888223741"/>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rsidR="00000000" w:rsidRDefault="00F22B2C">
      <w:pPr>
        <w:ind w:left="547" w:hanging="360"/>
        <w:divId w:val="1607888669"/>
        <w:rPr>
          <w:rFonts w:eastAsia="Times New Roman"/>
          <w:sz w:val="20"/>
          <w:szCs w:val="20"/>
        </w:rPr>
      </w:pPr>
      <w:r>
        <w:rPr>
          <w:rFonts w:eastAsia="Times New Roman"/>
          <w:sz w:val="20"/>
          <w:szCs w:val="20"/>
        </w:rPr>
        <w:t>●</w:t>
      </w:r>
      <w:r>
        <w:rPr>
          <w:rFonts w:eastAsia="Times New Roman"/>
          <w:sz w:val="20"/>
          <w:szCs w:val="20"/>
        </w:rPr>
        <w:t>exhaustion of our available insurance coverage and o</w:t>
      </w:r>
      <w:r>
        <w:rPr>
          <w:rFonts w:eastAsia="Times New Roman"/>
          <w:sz w:val="20"/>
          <w:szCs w:val="20"/>
        </w:rPr>
        <w:t>ur capital resources; or</w:t>
      </w:r>
    </w:p>
    <w:p w:rsidR="00000000" w:rsidRDefault="00F22B2C">
      <w:pPr>
        <w:ind w:left="547" w:hanging="360"/>
        <w:divId w:val="1155535146"/>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rsidR="00000000" w:rsidRDefault="00F22B2C">
      <w:pPr>
        <w:pStyle w:val="a3"/>
        <w:spacing w:before="0" w:beforeAutospacing="0" w:after="200" w:afterAutospacing="0"/>
        <w:ind w:firstLine="547"/>
        <w:divId w:val="177349805"/>
        <w:rPr>
          <w:sz w:val="20"/>
          <w:szCs w:val="20"/>
        </w:rPr>
      </w:pPr>
      <w:r>
        <w:rPr>
          <w:sz w:val="20"/>
          <w:szCs w:val="20"/>
        </w:rPr>
        <w:t>Our inability to obtain sufficient product liability insurance at an acceptable cost to protect against potential product liability claims could prevent or inhibit the commerc</w:t>
      </w:r>
      <w:r>
        <w:rPr>
          <w:sz w:val="20"/>
          <w:szCs w:val="20"/>
        </w:rPr>
        <w:t>ialization of products we develop, alone or with corporate collaborators. Our insurance policies may also have various exclusions, and we may be subject to a product liability claim for which we have no coverage. While we have obtained clinical trial insur</w:t>
      </w:r>
      <w:r>
        <w:rPr>
          <w:sz w:val="20"/>
          <w:szCs w:val="20"/>
        </w:rPr>
        <w:t>ance for our Phase 2 clinical trials, we may have to pay amounts awarded by a court or negotiated in a settlement that exceed our coverage limitations or that are not covered by our insurance, and we may not have, or be able to obtain, sufficient capital t</w:t>
      </w:r>
      <w:r>
        <w:rPr>
          <w:sz w:val="20"/>
          <w:szCs w:val="20"/>
        </w:rPr>
        <w:t>o pay such amounts. Even if our agreements with any future corporate collaborators entitle us to indemnification against losses, such indemnification may not be available or adequate should any claim arise.</w:t>
      </w:r>
    </w:p>
    <w:p w:rsidR="00000000" w:rsidRDefault="00F22B2C">
      <w:pPr>
        <w:pStyle w:val="a3"/>
        <w:spacing w:before="0" w:beforeAutospacing="0" w:after="200" w:afterAutospacing="0"/>
        <w:ind w:firstLine="547"/>
        <w:divId w:val="177349805"/>
        <w:rPr>
          <w:sz w:val="20"/>
          <w:szCs w:val="20"/>
        </w:rPr>
      </w:pPr>
      <w:r>
        <w:rPr>
          <w:b/>
          <w:bCs/>
          <w:i/>
          <w:iCs/>
          <w:sz w:val="20"/>
          <w:szCs w:val="20"/>
        </w:rPr>
        <w:t>We face significant competition from other biotechnology and pharmaceutical companies and from non-profit institutions.</w:t>
      </w:r>
    </w:p>
    <w:p w:rsidR="00000000" w:rsidRDefault="00F22B2C">
      <w:pPr>
        <w:pStyle w:val="a3"/>
        <w:spacing w:before="0" w:beforeAutospacing="0" w:after="200" w:afterAutospacing="0"/>
        <w:ind w:firstLine="547"/>
        <w:divId w:val="177349805"/>
        <w:rPr>
          <w:sz w:val="20"/>
          <w:szCs w:val="20"/>
        </w:rPr>
      </w:pPr>
      <w:r>
        <w:rPr>
          <w:sz w:val="20"/>
          <w:szCs w:val="20"/>
        </w:rPr>
        <w:t>Competition in the field of cancer therapy is intense and is accentuated by the rapid pace of technological development. Research and di</w:t>
      </w:r>
      <w:r>
        <w:rPr>
          <w:sz w:val="20"/>
          <w:szCs w:val="20"/>
        </w:rPr>
        <w:t>scoveries by others may result in breakthroughs which may render our products obsolete even before they generate any revenue. There are products that are approved and currently under development by others that could compete with the products that we are de</w:t>
      </w:r>
      <w:r>
        <w:rPr>
          <w:sz w:val="20"/>
          <w:szCs w:val="20"/>
        </w:rPr>
        <w:t>veloping. Many of our potential competitors have substantially greater research and development capabilities and approval, manufacturing, marketing, financial and managerial resources and experience than we do. Our competitors may:</w:t>
      </w:r>
    </w:p>
    <w:p w:rsidR="00000000" w:rsidRDefault="00F22B2C">
      <w:pPr>
        <w:ind w:left="547" w:hanging="360"/>
        <w:divId w:val="344288415"/>
        <w:rPr>
          <w:rFonts w:eastAsia="Times New Roman"/>
          <w:sz w:val="20"/>
          <w:szCs w:val="20"/>
        </w:rPr>
      </w:pPr>
      <w:r>
        <w:rPr>
          <w:rFonts w:eastAsia="Times New Roman"/>
          <w:sz w:val="20"/>
          <w:szCs w:val="20"/>
        </w:rPr>
        <w:t>●</w:t>
      </w:r>
      <w:r>
        <w:rPr>
          <w:rFonts w:eastAsia="Times New Roman"/>
          <w:sz w:val="20"/>
          <w:szCs w:val="20"/>
        </w:rPr>
        <w:t>develop safer, more con</w:t>
      </w:r>
      <w:r>
        <w:rPr>
          <w:rFonts w:eastAsia="Times New Roman"/>
          <w:sz w:val="20"/>
          <w:szCs w:val="20"/>
        </w:rPr>
        <w:t>venient or more effective immunotherapies and other therapeutic products;</w:t>
      </w:r>
    </w:p>
    <w:p w:rsidR="00000000" w:rsidRDefault="00F22B2C">
      <w:pPr>
        <w:ind w:left="547" w:hanging="360"/>
        <w:divId w:val="894045671"/>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rsidR="00000000" w:rsidRDefault="00F22B2C">
      <w:pPr>
        <w:ind w:left="547" w:hanging="360"/>
        <w:divId w:val="1368331434"/>
        <w:rPr>
          <w:rFonts w:eastAsia="Times New Roman"/>
          <w:sz w:val="20"/>
          <w:szCs w:val="20"/>
        </w:rPr>
      </w:pPr>
      <w:r>
        <w:rPr>
          <w:rFonts w:eastAsia="Times New Roman"/>
          <w:sz w:val="20"/>
          <w:szCs w:val="20"/>
        </w:rPr>
        <w:t>●</w:t>
      </w:r>
      <w:r>
        <w:rPr>
          <w:rFonts w:eastAsia="Times New Roman"/>
          <w:sz w:val="20"/>
          <w:szCs w:val="20"/>
        </w:rPr>
        <w:t>reach the market more rapidly, reducing the potential sales of our products; o</w:t>
      </w:r>
      <w:r>
        <w:rPr>
          <w:rFonts w:eastAsia="Times New Roman"/>
          <w:sz w:val="20"/>
          <w:szCs w:val="20"/>
        </w:rPr>
        <w:t>r</w:t>
      </w:r>
    </w:p>
    <w:p w:rsidR="00000000" w:rsidRDefault="00F22B2C">
      <w:pPr>
        <w:ind w:left="547" w:hanging="360"/>
        <w:divId w:val="1130441668"/>
        <w:rPr>
          <w:rFonts w:eastAsia="Times New Roman"/>
          <w:sz w:val="20"/>
          <w:szCs w:val="20"/>
        </w:rPr>
      </w:pPr>
      <w:r>
        <w:rPr>
          <w:rFonts w:eastAsia="Times New Roman"/>
          <w:sz w:val="20"/>
          <w:szCs w:val="20"/>
        </w:rPr>
        <w:t>●</w:t>
      </w:r>
      <w:r>
        <w:rPr>
          <w:rFonts w:eastAsia="Times New Roman"/>
          <w:sz w:val="20"/>
          <w:szCs w:val="20"/>
        </w:rPr>
        <w:t>establish superior proprietary positions.</w:t>
      </w:r>
    </w:p>
    <w:p w:rsidR="00000000" w:rsidRDefault="00F22B2C">
      <w:pPr>
        <w:pStyle w:val="a3"/>
        <w:spacing w:before="0" w:beforeAutospacing="0" w:after="200" w:afterAutospacing="0"/>
        <w:ind w:firstLine="540"/>
        <w:divId w:val="177349805"/>
        <w:rPr>
          <w:sz w:val="20"/>
          <w:szCs w:val="20"/>
        </w:rPr>
      </w:pPr>
      <w:r>
        <w:rPr>
          <w:sz w:val="20"/>
          <w:szCs w:val="20"/>
        </w:rPr>
        <w:t>Due to the promising clinical therapeutic effect of competitor therapies in clinical exploratory trials, we anticipate substantial direct competition from other organizations developing advanced T cell therapies</w:t>
      </w:r>
      <w:r>
        <w:rPr>
          <w:sz w:val="20"/>
          <w:szCs w:val="20"/>
        </w:rPr>
        <w:t xml:space="preserve"> targeting patients who have received prior anti-PD-1/PD-L1 therapies. In particular, we expect to compete with other new therapies for our lead indications developed by companies such as Agenus, BeyondSpring, Bristol-Myers Squibb, Merck, Nektar Therapeuti</w:t>
      </w:r>
      <w:r>
        <w:rPr>
          <w:sz w:val="20"/>
          <w:szCs w:val="20"/>
        </w:rPr>
        <w:t xml:space="preserve">cs, Idera Pharmaceuticals, Checkmate Pharmaceuticals, Daiichi Sankyo, Eisai, Exelixis, Mirati Therapeutics, OncoSec Medical, Replimune, Regeneron Pharmaceuticals, Seagen, and Genmab. We also may compete with other TIL therapies in development by companies </w:t>
      </w:r>
      <w:r>
        <w:rPr>
          <w:sz w:val="20"/>
          <w:szCs w:val="20"/>
        </w:rPr>
        <w:t>such as Instil Bio, Achilles Therapeutics, KSQ Therapeutics, Obsidian Therapeutics, Immatics, TILT Biotherapeutics, WindMIL Therapeutics, GRIT Biotechnology, Lyell Immunopharma, Cellular Biomedicine Group, and others. We also may compete with therapies bas</w:t>
      </w:r>
      <w:r>
        <w:rPr>
          <w:sz w:val="20"/>
          <w:szCs w:val="20"/>
        </w:rPr>
        <w:t>ed on genetically engineered T cell receptors rendered reactive against tumor-associated antigens prior to their administration to patients, as well as TIL therapies that are designed to be specific to neoantigens, including products developed by Adaptimmu</w:t>
      </w:r>
      <w:r>
        <w:rPr>
          <w:sz w:val="20"/>
          <w:szCs w:val="20"/>
        </w:rPr>
        <w:t>ne Therapeutics, Alaunos Therapeutics, Marker Therapeutics, Turnstone Biologics, Neogene, and others. To date, these technologies have been primarily applicable to hematologic malignancies, but their application in solid tumor indications may create compet</w:t>
      </w:r>
      <w:r>
        <w:rPr>
          <w:sz w:val="20"/>
          <w:szCs w:val="20"/>
        </w:rPr>
        <w:t>ition with us. We may also face competition from immunotherapy treatments offered by companies such as Amgen, AstraZeneca, Bristol-Myers Squibb, Merck, Pfizer, Regeneron Pharmaceuticals, and Roche. We may also face competition from novel interleukin-2 (IL-</w:t>
      </w:r>
      <w:r>
        <w:rPr>
          <w:sz w:val="20"/>
          <w:szCs w:val="20"/>
        </w:rPr>
        <w:t>2) treatments in development by Werewolf, Nektar Therapeutics, Merck, Sanofi, Neoleukin Therapeutics and others. Many of these companies and our other current and potential competitors have substantially greater research and development capabilities and fi</w:t>
      </w:r>
      <w:r>
        <w:rPr>
          <w:sz w:val="20"/>
          <w:szCs w:val="20"/>
        </w:rPr>
        <w:t>nancial, scientific, regulatory, manufacturing, marketing, sales, human resources, and experience than we do. Many of our competitors have several therapeutic products that have already been developed, approved and successfully commercialized, or are in th</w:t>
      </w:r>
      <w:r>
        <w:rPr>
          <w:sz w:val="20"/>
          <w:szCs w:val="20"/>
        </w:rPr>
        <w:t>e process of obtaining regulatory approval for their therapeutic products in the U.S. and internationally. Our competitors may obtain regulatory approval for their products more rapidly than we may obtain approval for ours, which could result in competitor</w:t>
      </w:r>
      <w:r>
        <w:rPr>
          <w:sz w:val="20"/>
          <w:szCs w:val="20"/>
        </w:rPr>
        <w:t>s establishing a strong market position before we are able to enter the market.</w:t>
      </w:r>
    </w:p>
    <w:p w:rsidR="00000000" w:rsidRDefault="00F22B2C">
      <w:pPr>
        <w:pStyle w:val="a3"/>
        <w:spacing w:before="0" w:beforeAutospacing="0" w:after="200" w:afterAutospacing="0"/>
        <w:ind w:firstLine="540"/>
        <w:divId w:val="177349805"/>
        <w:rPr>
          <w:sz w:val="20"/>
          <w:szCs w:val="20"/>
        </w:rPr>
      </w:pPr>
      <w:r>
        <w:rPr>
          <w:sz w:val="20"/>
          <w:szCs w:val="20"/>
        </w:rPr>
        <w:t>Universities and public and private research institutions in the U.S. and Europe are also potential competitors. For example, a Phase 3 trial comparing TIL to standard ipilimum</w:t>
      </w:r>
      <w:r>
        <w:rPr>
          <w:sz w:val="20"/>
          <w:szCs w:val="20"/>
        </w:rPr>
        <w:t>ab in patients with metastatic melanoma is currently being conducted in Europe by the Netherlands Cancer Institute, the Copenhagen County Herlev University Hospital, and the University of Manchester. While these universities and public and private research</w:t>
      </w:r>
      <w:r>
        <w:rPr>
          <w:sz w:val="20"/>
          <w:szCs w:val="20"/>
        </w:rPr>
        <w:t xml:space="preserve"> institutions primarily have educational objectives, they may develop proprietary technologies that lead to other FDA approved therapies or that secure patent protection that we may need for the development of our technologies and products.</w:t>
      </w:r>
    </w:p>
    <w:p w:rsidR="00000000" w:rsidRDefault="00F22B2C">
      <w:pPr>
        <w:pStyle w:val="a3"/>
        <w:spacing w:before="480" w:beforeAutospacing="0" w:after="0" w:afterAutospacing="0"/>
        <w:jc w:val="center"/>
        <w:divId w:val="119230312"/>
        <w:rPr>
          <w:sz w:val="20"/>
          <w:szCs w:val="20"/>
        </w:rPr>
      </w:pPr>
      <w:r>
        <w:rPr>
          <w:sz w:val="20"/>
          <w:szCs w:val="20"/>
        </w:rPr>
        <w:t>59</w:t>
      </w:r>
    </w:p>
    <w:p w:rsidR="00000000" w:rsidRDefault="00F22B2C">
      <w:pPr>
        <w:pStyle w:val="a3"/>
        <w:spacing w:before="0" w:beforeAutospacing="0" w:after="600" w:afterAutospacing="0"/>
        <w:divId w:val="721177343"/>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7"/>
        <w:divId w:val="1697265488"/>
        <w:rPr>
          <w:sz w:val="20"/>
          <w:szCs w:val="20"/>
        </w:rPr>
      </w:pPr>
      <w:r>
        <w:rPr>
          <w:sz w:val="20"/>
          <w:szCs w:val="20"/>
        </w:rPr>
        <w:t>Our lead product candidate lifileucel is a therapy for the treatment of metastatic melanoma and metastatic cervical cancer. Currently, there are numerous companies that are developing various alternate treatments for melanom</w:t>
      </w:r>
      <w:r>
        <w:rPr>
          <w:sz w:val="20"/>
          <w:szCs w:val="20"/>
        </w:rPr>
        <w:t>a and cervical cancer, including patients that have progressed after prior treatment with checkpoint inhibitors and chemotherapy. Accordingly, lifileucel faces significant competition in the melanoma and cervical cancer treatment space from multiple compan</w:t>
      </w:r>
      <w:r>
        <w:rPr>
          <w:sz w:val="20"/>
          <w:szCs w:val="20"/>
        </w:rPr>
        <w:t>ies. Even if we obtain regulatory approval for lifileucel, the availability and price of our competitors’ products could limit the demand and the price we are able to charge for our therapies. We may not be able to implement our business plan if the accept</w:t>
      </w:r>
      <w:r>
        <w:rPr>
          <w:sz w:val="20"/>
          <w:szCs w:val="20"/>
        </w:rPr>
        <w:t>ance of our products is inhibited by price competition or the reluctance of physicians to switch from other methods of treatment to our product, or if physicians switch to other new therapies, drugs or biologic products or choose to reserve our product for</w:t>
      </w:r>
      <w:r>
        <w:rPr>
          <w:sz w:val="20"/>
          <w:szCs w:val="20"/>
        </w:rPr>
        <w:t xml:space="preserve"> use in limited circumstances.</w:t>
      </w:r>
    </w:p>
    <w:p w:rsidR="00000000" w:rsidRDefault="00F22B2C">
      <w:pPr>
        <w:pStyle w:val="a3"/>
        <w:spacing w:before="0" w:beforeAutospacing="0" w:after="200" w:afterAutospacing="0"/>
        <w:ind w:firstLine="547"/>
        <w:divId w:val="1697265488"/>
        <w:rPr>
          <w:sz w:val="20"/>
          <w:szCs w:val="20"/>
        </w:rPr>
      </w:pPr>
      <w:r>
        <w:rPr>
          <w:sz w:val="20"/>
          <w:szCs w:val="20"/>
        </w:rPr>
        <w:t>Mergers and acquisitions in the pharmaceutical and biotechnology industries may result in even more resources being concentrated among a smaller number of our competitors. Early-stage companies may also prove to be significan</w:t>
      </w:r>
      <w:r>
        <w:rPr>
          <w:sz w:val="20"/>
          <w:szCs w:val="20"/>
        </w:rPr>
        <w:t>t competitors, particularly through collaborative arrangements with large and established companies. These third parties compete with us in recruiting and retaining qualified scientific and management personnel and establishing clinical trial sites and pat</w:t>
      </w:r>
      <w:r>
        <w:rPr>
          <w:sz w:val="20"/>
          <w:szCs w:val="20"/>
        </w:rPr>
        <w:t>ient registration for clinical trials, as well as in acquiring technologies complementary to, or necessary for, our programs.</w:t>
      </w:r>
    </w:p>
    <w:p w:rsidR="00000000" w:rsidRDefault="00F22B2C">
      <w:pPr>
        <w:pStyle w:val="a3"/>
        <w:spacing w:before="0" w:beforeAutospacing="0" w:after="200" w:afterAutospacing="0"/>
        <w:ind w:firstLine="547"/>
        <w:divId w:val="1697265488"/>
        <w:rPr>
          <w:sz w:val="20"/>
          <w:szCs w:val="20"/>
        </w:rPr>
      </w:pPr>
      <w:r>
        <w:rPr>
          <w:b/>
          <w:bCs/>
          <w:i/>
          <w:iCs/>
          <w:sz w:val="20"/>
          <w:szCs w:val="20"/>
        </w:rPr>
        <w:t>We are dependent on third parties to support our research, development and manufacturing activities and, therefore, are subject to</w:t>
      </w:r>
      <w:r>
        <w:rPr>
          <w:b/>
          <w:bCs/>
          <w:i/>
          <w:iCs/>
          <w:sz w:val="20"/>
          <w:szCs w:val="20"/>
        </w:rPr>
        <w:t xml:space="preserve"> the efforts of these parties and our ability to successfully collaborate with these third parties.</w:t>
      </w:r>
    </w:p>
    <w:p w:rsidR="00000000" w:rsidRDefault="00F22B2C">
      <w:pPr>
        <w:pStyle w:val="a3"/>
        <w:spacing w:before="0" w:beforeAutospacing="0" w:after="200" w:afterAutospacing="0"/>
        <w:ind w:firstLine="547"/>
        <w:divId w:val="1697265488"/>
        <w:rPr>
          <w:sz w:val="20"/>
          <w:szCs w:val="20"/>
        </w:rPr>
      </w:pPr>
      <w:r>
        <w:rPr>
          <w:sz w:val="20"/>
          <w:szCs w:val="20"/>
        </w:rPr>
        <w:t>As a result of our current strategy to outsource most of our manufacturing, we rely very heavily on third parties to perform for us the manufacturing of our</w:t>
      </w:r>
      <w:r>
        <w:rPr>
          <w:sz w:val="20"/>
          <w:szCs w:val="20"/>
        </w:rPr>
        <w:t xml:space="preserve"> products for our clinical trials. We also license a portion of our technology from others. We intend to rely upon our contract manufacturers to produce large quantities of materials needed for clinical trials and potentially product commercialization. Thi</w:t>
      </w:r>
      <w:r>
        <w:rPr>
          <w:sz w:val="20"/>
          <w:szCs w:val="20"/>
        </w:rPr>
        <w:t>rd party manufacturers may not be able to meet our needs with respect to timing, quantity or quality. If we are unable to contract for a sufficient supply of needed materials on acceptable terms, or if we should encounter delays or difficulties in our rela</w:t>
      </w:r>
      <w:r>
        <w:rPr>
          <w:sz w:val="20"/>
          <w:szCs w:val="20"/>
        </w:rPr>
        <w:t>tionships with manufacturers, our clinical testing may be delayed, thereby delaying the submission of products for regulatory approval or the market introduction and subsequent sales of our products. Any such delay may lower our revenues and potential prof</w:t>
      </w:r>
      <w:r>
        <w:rPr>
          <w:sz w:val="20"/>
          <w:szCs w:val="20"/>
        </w:rPr>
        <w:t>itability.</w:t>
      </w:r>
    </w:p>
    <w:p w:rsidR="00000000" w:rsidRDefault="00F22B2C">
      <w:pPr>
        <w:pStyle w:val="a3"/>
        <w:spacing w:before="0" w:beforeAutospacing="0" w:after="200" w:afterAutospacing="0"/>
        <w:ind w:firstLine="547"/>
        <w:divId w:val="1697265488"/>
        <w:rPr>
          <w:sz w:val="20"/>
          <w:szCs w:val="20"/>
        </w:rPr>
      </w:pPr>
      <w:r>
        <w:rPr>
          <w:sz w:val="20"/>
          <w:szCs w:val="20"/>
        </w:rPr>
        <w:t>In addition, in order to supplement our own efforts to improve TIL manufacturing and develop TIL therapies in new indications in clinical trials, we currently work and collaborate with government and academic research institutions, medical insti</w:t>
      </w:r>
      <w:r>
        <w:rPr>
          <w:sz w:val="20"/>
          <w:szCs w:val="20"/>
        </w:rPr>
        <w:t>tutions and corporate partners such as the NCI, Moffitt, Cellectis, Yale University, and Novartis. We also intend to continue to enter into additional third-party collaborative agreements in the future. However, we may not be able to successfully negotiate</w:t>
      </w:r>
      <w:r>
        <w:rPr>
          <w:sz w:val="20"/>
          <w:szCs w:val="20"/>
        </w:rPr>
        <w:t xml:space="preserve"> any additional collaborative arrangements. If established, these relationships may not be scientifically or commercially successful, or may be unable to enroll patients, which has occurred in one of our prior collaborations. The success of these and futur</w:t>
      </w:r>
      <w:r>
        <w:rPr>
          <w:sz w:val="20"/>
          <w:szCs w:val="20"/>
        </w:rPr>
        <w:t>e collaborations and joint development arrangements may be subject to numerous risks and uncertainties, including the inability or unwillingness of our partners to perform in the manner, or to the extent anticipated, and may also be subject to disagreement</w:t>
      </w:r>
      <w:r>
        <w:rPr>
          <w:sz w:val="20"/>
          <w:szCs w:val="20"/>
        </w:rPr>
        <w:t>s regarding the rights, interests, and performance of the counterparties under our licenses and development agreements. Disagreements between parties to a collaboration arrangement regarding clinical development and commercialization matters can lead to de</w:t>
      </w:r>
      <w:r>
        <w:rPr>
          <w:sz w:val="20"/>
          <w:szCs w:val="20"/>
        </w:rPr>
        <w:t>lays in the development process or commercialization of the applicable product candidate and, in some cases, termination of the collaboration arrangement. These disagreements can be difficult to resolve if neither of the parties has final decision-making a</w:t>
      </w:r>
      <w:r>
        <w:rPr>
          <w:sz w:val="20"/>
          <w:szCs w:val="20"/>
        </w:rPr>
        <w:t>uthority under the collaboration agreement.</w:t>
      </w:r>
    </w:p>
    <w:p w:rsidR="00000000" w:rsidRDefault="00F22B2C">
      <w:pPr>
        <w:pStyle w:val="a3"/>
        <w:spacing w:before="0" w:beforeAutospacing="0" w:after="200" w:afterAutospacing="0"/>
        <w:ind w:firstLine="547"/>
        <w:divId w:val="1697265488"/>
        <w:rPr>
          <w:sz w:val="20"/>
          <w:szCs w:val="20"/>
        </w:rPr>
      </w:pPr>
      <w:r>
        <w:rPr>
          <w:sz w:val="20"/>
          <w:szCs w:val="20"/>
        </w:rPr>
        <w:t>With regard to future collaboration efforts, we face significant competition in seeking appropriate collaborators. Our ability to reach a definitive agreement for collaboration will depend, among other things, up</w:t>
      </w:r>
      <w:r>
        <w:rPr>
          <w:sz w:val="20"/>
          <w:szCs w:val="20"/>
        </w:rPr>
        <w:t>on our assessment of the collaborator’s resources and expertise, the terms and conditions of the proposed collaboration and, an evaluation by the proposed collaborator of a number of similar or unique factors.</w:t>
      </w:r>
    </w:p>
    <w:p w:rsidR="00000000" w:rsidRDefault="00F22B2C">
      <w:pPr>
        <w:pStyle w:val="a3"/>
        <w:spacing w:before="0" w:beforeAutospacing="0" w:after="200" w:afterAutospacing="0"/>
        <w:ind w:firstLine="547"/>
        <w:divId w:val="1697265488"/>
        <w:rPr>
          <w:sz w:val="20"/>
          <w:szCs w:val="20"/>
        </w:rPr>
      </w:pPr>
      <w:r>
        <w:rPr>
          <w:sz w:val="20"/>
          <w:szCs w:val="20"/>
        </w:rPr>
        <w:t>Collaborations with biopharmaceutical companie</w:t>
      </w:r>
      <w:r>
        <w:rPr>
          <w:sz w:val="20"/>
          <w:szCs w:val="20"/>
        </w:rPr>
        <w:t>s and other third parties often are terminated or allowed to expire by the other party. Any such termination or expiration would adversely affect us financially and could harm our business reputation. Any collaboration may pose a number of risks, including</w:t>
      </w:r>
      <w:r>
        <w:rPr>
          <w:sz w:val="20"/>
          <w:szCs w:val="20"/>
        </w:rPr>
        <w:t xml:space="preserve"> the following:</w:t>
      </w:r>
    </w:p>
    <w:p w:rsidR="00000000" w:rsidRDefault="00F22B2C">
      <w:pPr>
        <w:ind w:left="547" w:hanging="360"/>
        <w:divId w:val="997224921"/>
        <w:rPr>
          <w:rFonts w:eastAsia="Times New Roman"/>
          <w:sz w:val="20"/>
          <w:szCs w:val="20"/>
        </w:rPr>
      </w:pPr>
      <w:r>
        <w:rPr>
          <w:rFonts w:eastAsia="Times New Roman"/>
          <w:sz w:val="20"/>
          <w:szCs w:val="20"/>
        </w:rPr>
        <w:t>●</w:t>
      </w:r>
      <w:r>
        <w:rPr>
          <w:rFonts w:eastAsia="Times New Roman"/>
          <w:sz w:val="20"/>
          <w:szCs w:val="20"/>
        </w:rPr>
        <w:t>collaborators may not perform their obligations as expected;</w:t>
      </w:r>
    </w:p>
    <w:p w:rsidR="00000000" w:rsidRDefault="00F22B2C">
      <w:pPr>
        <w:ind w:left="547" w:hanging="360"/>
        <w:divId w:val="729502438"/>
        <w:rPr>
          <w:rFonts w:eastAsia="Times New Roman"/>
          <w:sz w:val="20"/>
          <w:szCs w:val="20"/>
        </w:rPr>
      </w:pPr>
      <w:r>
        <w:rPr>
          <w:rFonts w:eastAsia="Times New Roman"/>
          <w:sz w:val="20"/>
          <w:szCs w:val="20"/>
        </w:rPr>
        <w:t>●</w:t>
      </w:r>
      <w:r>
        <w:rPr>
          <w:rFonts w:eastAsia="Times New Roman"/>
          <w:sz w:val="20"/>
          <w:szCs w:val="20"/>
        </w:rPr>
        <w:t>collaborators may not pursue development and commercialization of any product candidates that achieve regulatory approval or may elect not to continue or renew development or co</w:t>
      </w:r>
      <w:r>
        <w:rPr>
          <w:rFonts w:eastAsia="Times New Roman"/>
          <w:sz w:val="20"/>
          <w:szCs w:val="20"/>
        </w:rPr>
        <w:t>mmercialization programs based on clinical trial results, changes in the collaborators’ strategic focus or available funding, or external factors, such as an acquisition, that divert resources or create competing priorities;</w:t>
      </w:r>
    </w:p>
    <w:p w:rsidR="00000000" w:rsidRDefault="00F22B2C">
      <w:pPr>
        <w:pStyle w:val="a3"/>
        <w:spacing w:before="480" w:beforeAutospacing="0" w:after="0" w:afterAutospacing="0"/>
        <w:jc w:val="center"/>
        <w:divId w:val="412169610"/>
        <w:rPr>
          <w:sz w:val="20"/>
          <w:szCs w:val="20"/>
        </w:rPr>
      </w:pPr>
      <w:r>
        <w:rPr>
          <w:sz w:val="20"/>
          <w:szCs w:val="20"/>
        </w:rPr>
        <w:t>60</w:t>
      </w:r>
    </w:p>
    <w:p w:rsidR="00000000" w:rsidRDefault="00F22B2C">
      <w:pPr>
        <w:pStyle w:val="a3"/>
        <w:spacing w:before="0" w:beforeAutospacing="0" w:after="600" w:afterAutospacing="0"/>
        <w:divId w:val="947273842"/>
        <w:rPr>
          <w:sz w:val="20"/>
          <w:szCs w:val="20"/>
        </w:rPr>
      </w:pPr>
      <w:hyperlink w:anchor="TOC" w:history="1">
        <w:r>
          <w:rPr>
            <w:rStyle w:val="a4"/>
            <w:sz w:val="20"/>
            <w:szCs w:val="20"/>
          </w:rPr>
          <w:t>Ta</w:t>
        </w:r>
        <w:r>
          <w:rPr>
            <w:rStyle w:val="a4"/>
            <w:sz w:val="20"/>
            <w:szCs w:val="20"/>
          </w:rPr>
          <w:t>ble of Contents</w:t>
        </w:r>
      </w:hyperlink>
    </w:p>
    <w:p w:rsidR="00000000" w:rsidRDefault="00F22B2C">
      <w:pPr>
        <w:ind w:left="547" w:hanging="360"/>
        <w:divId w:val="1893730845"/>
        <w:rPr>
          <w:rFonts w:eastAsia="Times New Roman"/>
          <w:sz w:val="20"/>
          <w:szCs w:val="20"/>
        </w:rPr>
      </w:pPr>
      <w:r>
        <w:rPr>
          <w:rFonts w:eastAsia="Times New Roman"/>
          <w:sz w:val="20"/>
          <w:szCs w:val="20"/>
        </w:rPr>
        <w:t>●</w:t>
      </w:r>
      <w:r>
        <w:rPr>
          <w:rFonts w:eastAsia="Times New Roman"/>
          <w:sz w:val="20"/>
          <w:szCs w:val="20"/>
        </w:rPr>
        <w:t>collaborators may delay clinical trials, provide insufficient funding for a clinical trial program, stop a clinical trial or abandon a product candidate, repeat or conduct new clinical trials or require a new formulation of a product candi</w:t>
      </w:r>
      <w:r>
        <w:rPr>
          <w:rFonts w:eastAsia="Times New Roman"/>
          <w:sz w:val="20"/>
          <w:szCs w:val="20"/>
        </w:rPr>
        <w:t>date for clinical testing;</w:t>
      </w:r>
    </w:p>
    <w:p w:rsidR="00000000" w:rsidRDefault="00F22B2C">
      <w:pPr>
        <w:ind w:left="547" w:hanging="360"/>
        <w:divId w:val="1996570485"/>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product candidate;</w:t>
      </w:r>
    </w:p>
    <w:p w:rsidR="00000000" w:rsidRDefault="00F22B2C">
      <w:pPr>
        <w:ind w:left="547" w:hanging="360"/>
        <w:divId w:val="54550898"/>
        <w:rPr>
          <w:rFonts w:eastAsia="Times New Roman"/>
          <w:sz w:val="20"/>
          <w:szCs w:val="20"/>
        </w:rPr>
      </w:pPr>
      <w:r>
        <w:rPr>
          <w:rFonts w:eastAsia="Times New Roman"/>
          <w:sz w:val="20"/>
          <w:szCs w:val="20"/>
        </w:rPr>
        <w:t>●</w:t>
      </w:r>
      <w:r>
        <w:rPr>
          <w:rFonts w:eastAsia="Times New Roman"/>
          <w:sz w:val="20"/>
          <w:szCs w:val="20"/>
        </w:rPr>
        <w:t>collaborators may not comply with all applicable regulatory requirements or may fail to report safety data in accordance with all applicable regulatory requirements;</w:t>
      </w:r>
    </w:p>
    <w:p w:rsidR="00000000" w:rsidRDefault="00F22B2C">
      <w:pPr>
        <w:ind w:left="547" w:hanging="360"/>
        <w:divId w:val="151454824"/>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parties, products that c</w:t>
      </w:r>
      <w:r>
        <w:rPr>
          <w:rFonts w:eastAsia="Times New Roman"/>
          <w:sz w:val="20"/>
          <w:szCs w:val="20"/>
        </w:rPr>
        <w:t>ompete directly or indirectly with our products or product candidates if the collaborators believe that competitive products are more likely to be successfully developed or can be commercialized under terms that are more economically attractive than ours;</w:t>
      </w:r>
    </w:p>
    <w:p w:rsidR="00000000" w:rsidRDefault="00F22B2C">
      <w:pPr>
        <w:ind w:left="547" w:hanging="360"/>
        <w:divId w:val="462500512"/>
        <w:rPr>
          <w:rFonts w:eastAsia="Times New Roman"/>
          <w:sz w:val="20"/>
          <w:szCs w:val="20"/>
        </w:rPr>
      </w:pPr>
      <w:r>
        <w:rPr>
          <w:rFonts w:eastAsia="Times New Roman"/>
          <w:sz w:val="20"/>
          <w:szCs w:val="20"/>
        </w:rPr>
        <w:t>●</w:t>
      </w:r>
      <w:r>
        <w:rPr>
          <w:rFonts w:eastAsia="Times New Roman"/>
          <w:sz w:val="20"/>
          <w:szCs w:val="20"/>
        </w:rPr>
        <w:t>product candidates discovered in collaboration with us may be viewed by our collaborators as competitive with their own product candidates or products, which may cause collaborators to cease to devote resources to the commercialization of our product cand</w:t>
      </w:r>
      <w:r>
        <w:rPr>
          <w:rFonts w:eastAsia="Times New Roman"/>
          <w:sz w:val="20"/>
          <w:szCs w:val="20"/>
        </w:rPr>
        <w:t>idates;</w:t>
      </w:r>
    </w:p>
    <w:p w:rsidR="00000000" w:rsidRDefault="00F22B2C">
      <w:pPr>
        <w:ind w:left="547" w:hanging="360"/>
        <w:divId w:val="849757540"/>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 not commit sufficient resources to the marketing and distribution of such product candidate or product;</w:t>
      </w:r>
    </w:p>
    <w:p w:rsidR="00000000" w:rsidRDefault="00F22B2C">
      <w:pPr>
        <w:ind w:left="547" w:hanging="360"/>
        <w:divId w:val="557473307"/>
        <w:rPr>
          <w:rFonts w:eastAsia="Times New Roman"/>
          <w:sz w:val="20"/>
          <w:szCs w:val="20"/>
        </w:rPr>
      </w:pPr>
      <w:r>
        <w:rPr>
          <w:rFonts w:eastAsia="Times New Roman"/>
          <w:sz w:val="20"/>
          <w:szCs w:val="20"/>
        </w:rPr>
        <w:t>●</w:t>
      </w:r>
      <w:r>
        <w:rPr>
          <w:rFonts w:eastAsia="Times New Roman"/>
          <w:sz w:val="20"/>
          <w:szCs w:val="20"/>
        </w:rPr>
        <w:t>disagreeme</w:t>
      </w:r>
      <w:r>
        <w:rPr>
          <w:rFonts w:eastAsia="Times New Roman"/>
          <w:sz w:val="20"/>
          <w:szCs w:val="20"/>
        </w:rPr>
        <w:t>nts with collaborators, including disagreements over proprietary rights, contract interpretation or the preferred course of development, might cause delays or termination of the research, development or commercialization of product candidates, might lead t</w:t>
      </w:r>
      <w:r>
        <w:rPr>
          <w:rFonts w:eastAsia="Times New Roman"/>
          <w:sz w:val="20"/>
          <w:szCs w:val="20"/>
        </w:rPr>
        <w:t>o additional responsibilities for us with respect to product candidates, or might result in litigation or arbitration, any of which would be time consuming and expensive;</w:t>
      </w:r>
    </w:p>
    <w:p w:rsidR="00000000" w:rsidRDefault="00F22B2C">
      <w:pPr>
        <w:ind w:left="547" w:hanging="360"/>
        <w:divId w:val="1348167520"/>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w:t>
      </w:r>
      <w:r>
        <w:rPr>
          <w:rFonts w:eastAsia="Times New Roman"/>
          <w:sz w:val="20"/>
          <w:szCs w:val="20"/>
        </w:rPr>
        <w:t>r may use our proprietary information in such a way as to invite litigation that could jeopardize or invalidate our intellectual property or proprietary information or expose us to potential litigation;</w:t>
      </w:r>
    </w:p>
    <w:p w:rsidR="00000000" w:rsidRDefault="00F22B2C">
      <w:pPr>
        <w:ind w:left="547" w:hanging="360"/>
        <w:divId w:val="2136949276"/>
        <w:rPr>
          <w:rFonts w:eastAsia="Times New Roman"/>
          <w:sz w:val="20"/>
          <w:szCs w:val="20"/>
        </w:rPr>
      </w:pPr>
      <w:r>
        <w:rPr>
          <w:rFonts w:eastAsia="Times New Roman"/>
          <w:sz w:val="20"/>
          <w:szCs w:val="20"/>
        </w:rPr>
        <w:t>●</w:t>
      </w:r>
      <w:r>
        <w:rPr>
          <w:rFonts w:eastAsia="Times New Roman"/>
          <w:sz w:val="20"/>
          <w:szCs w:val="20"/>
        </w:rPr>
        <w:t>collaborators may infringe the intellectual property</w:t>
      </w:r>
      <w:r>
        <w:rPr>
          <w:rFonts w:eastAsia="Times New Roman"/>
          <w:sz w:val="20"/>
          <w:szCs w:val="20"/>
        </w:rPr>
        <w:t xml:space="preserve"> rights of third parties, which may expose us to litigation and potential liability;</w:t>
      </w:r>
    </w:p>
    <w:p w:rsidR="00000000" w:rsidRDefault="00F22B2C">
      <w:pPr>
        <w:ind w:left="547" w:hanging="360"/>
        <w:divId w:val="1484350775"/>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decreased emphasis or termination of development or commercialization of any product candidate s</w:t>
      </w:r>
      <w:r>
        <w:rPr>
          <w:rFonts w:eastAsia="Times New Roman"/>
          <w:sz w:val="20"/>
          <w:szCs w:val="20"/>
        </w:rPr>
        <w:t>ubject to the collaboration agreement; and</w:t>
      </w:r>
    </w:p>
    <w:p w:rsidR="00000000" w:rsidRDefault="00F22B2C">
      <w:pPr>
        <w:ind w:left="547" w:hanging="360"/>
        <w:divId w:val="617877954"/>
        <w:rPr>
          <w:rFonts w:eastAsia="Times New Roman"/>
          <w:sz w:val="20"/>
          <w:szCs w:val="20"/>
        </w:rPr>
      </w:pPr>
      <w:r>
        <w:rPr>
          <w:rFonts w:eastAsia="Times New Roman"/>
          <w:sz w:val="20"/>
          <w:szCs w:val="20"/>
        </w:rPr>
        <w:t>●</w:t>
      </w:r>
      <w:r>
        <w:rPr>
          <w:rFonts w:eastAsia="Times New Roman"/>
          <w:sz w:val="20"/>
          <w:szCs w:val="20"/>
        </w:rPr>
        <w:t>termination of a collaboration agreement may make it more difficult to attract new collaborators and our and our products’ or product candidates’ reputation in the medical, business, and financial communities cou</w:t>
      </w:r>
      <w:r>
        <w:rPr>
          <w:rFonts w:eastAsia="Times New Roman"/>
          <w:sz w:val="20"/>
          <w:szCs w:val="20"/>
        </w:rPr>
        <w:t>ld be adversely affected.</w:t>
      </w:r>
    </w:p>
    <w:p w:rsidR="00000000" w:rsidRDefault="00F22B2C">
      <w:pPr>
        <w:pStyle w:val="a3"/>
        <w:spacing w:before="0" w:beforeAutospacing="0" w:after="200" w:afterAutospacing="0"/>
        <w:ind w:firstLine="547"/>
        <w:divId w:val="1486045739"/>
        <w:rPr>
          <w:sz w:val="20"/>
          <w:szCs w:val="20"/>
        </w:rPr>
      </w:pPr>
      <w:r>
        <w:rPr>
          <w:sz w:val="20"/>
          <w:szCs w:val="20"/>
        </w:rPr>
        <w:t>If any third-party collaborator breaches or terminates its agreement with us or fails to conduct its activities in a timely manner, the commercialization of our products under development could be delayed or blocked completely. It</w:t>
      </w:r>
      <w:r>
        <w:rPr>
          <w:sz w:val="20"/>
          <w:szCs w:val="20"/>
        </w:rPr>
        <w:t xml:space="preserve"> is possible that our collaborators will change their strategic focus, pursue alternative technologies or develop alternative products, either on their own or in collaboration with others, as a means for developing treatments for the diseases targeted by o</w:t>
      </w:r>
      <w:r>
        <w:rPr>
          <w:sz w:val="20"/>
          <w:szCs w:val="20"/>
        </w:rPr>
        <w:t>ur collaborative programs. The effectiveness of our collaborators in marketing our products will also affect our revenues and earnings.</w:t>
      </w:r>
    </w:p>
    <w:p w:rsidR="00000000" w:rsidRDefault="00F22B2C">
      <w:pPr>
        <w:pStyle w:val="a3"/>
        <w:spacing w:before="0" w:beforeAutospacing="0" w:after="200" w:afterAutospacing="0"/>
        <w:ind w:firstLine="547"/>
        <w:divId w:val="1486045739"/>
        <w:rPr>
          <w:sz w:val="20"/>
          <w:szCs w:val="20"/>
        </w:rPr>
      </w:pPr>
      <w:r>
        <w:rPr>
          <w:sz w:val="20"/>
          <w:szCs w:val="20"/>
        </w:rPr>
        <w:t>Our collaborators will also be required to comply with the applicable regulatory requirements, and, as such, are subject</w:t>
      </w:r>
      <w:r>
        <w:rPr>
          <w:sz w:val="20"/>
          <w:szCs w:val="20"/>
        </w:rPr>
        <w:t xml:space="preserve"> to the same risks as we are. If they do not or are not able to comply with these requirements, we may not be able to use the data generated through their studies to support our future investigational or marketing applications. Collaborator noncompliance m</w:t>
      </w:r>
      <w:r>
        <w:rPr>
          <w:sz w:val="20"/>
          <w:szCs w:val="20"/>
        </w:rPr>
        <w:t>ay also expose them and us to regulatory enforcement actions.</w:t>
      </w:r>
    </w:p>
    <w:p w:rsidR="00000000" w:rsidRDefault="00F22B2C">
      <w:pPr>
        <w:pStyle w:val="a3"/>
        <w:spacing w:before="0" w:beforeAutospacing="0" w:after="200" w:afterAutospacing="0"/>
        <w:ind w:firstLine="547"/>
        <w:divId w:val="1486045739"/>
        <w:rPr>
          <w:sz w:val="20"/>
          <w:szCs w:val="20"/>
        </w:rPr>
      </w:pPr>
      <w:r>
        <w:rPr>
          <w:sz w:val="20"/>
          <w:szCs w:val="20"/>
        </w:rPr>
        <w:t>No assurance can be given that we will be able to successfully collaborate with our partners as anticipated and that our current or future collaborations and clinical trials will be completed as</w:t>
      </w:r>
      <w:r>
        <w:rPr>
          <w:sz w:val="20"/>
          <w:szCs w:val="20"/>
        </w:rPr>
        <w:t xml:space="preserve"> contemplated, support the regulatory approval of our current product candidates, or result in any viable additional product candidates. For instance, to the extent that these collaborators conduct their studies with manufacturing processes that are differ</w:t>
      </w:r>
      <w:r>
        <w:rPr>
          <w:sz w:val="20"/>
          <w:szCs w:val="20"/>
        </w:rPr>
        <w:t>ent than ours or product that is different than ours, the results generated from their studies may not be seen in our current or future studies that employ our manufacturing processes and the results generated from their studies may not support approval of</w:t>
      </w:r>
      <w:r>
        <w:rPr>
          <w:sz w:val="20"/>
          <w:szCs w:val="20"/>
        </w:rPr>
        <w:t xml:space="preserve"> our product candidates.</w:t>
      </w:r>
    </w:p>
    <w:p w:rsidR="00000000" w:rsidRDefault="00F22B2C">
      <w:pPr>
        <w:pStyle w:val="a3"/>
        <w:spacing w:before="0" w:beforeAutospacing="0" w:after="200" w:afterAutospacing="0"/>
        <w:ind w:firstLine="547"/>
        <w:divId w:val="1486045739"/>
        <w:rPr>
          <w:sz w:val="20"/>
          <w:szCs w:val="20"/>
        </w:rPr>
      </w:pPr>
      <w:r>
        <w:rPr>
          <w:sz w:val="20"/>
          <w:szCs w:val="20"/>
        </w:rPr>
        <w:t xml:space="preserve">If we are unable to obtain or maintain suitable collaborators on a timely basis, on acceptable terms, or at all, we may have to curtail the development of a product candidate, reduce or delay its development program or one or more </w:t>
      </w:r>
      <w:r>
        <w:rPr>
          <w:sz w:val="20"/>
          <w:szCs w:val="20"/>
        </w:rPr>
        <w:t>of our other development programs, delay its potential commercialization or reduce the scope of any sales or marketing activities, or increase our expenditures and undertake development or commercialization activities at our own expense.</w:t>
      </w:r>
    </w:p>
    <w:p w:rsidR="00000000" w:rsidRDefault="00F22B2C">
      <w:pPr>
        <w:pStyle w:val="a3"/>
        <w:spacing w:before="0" w:beforeAutospacing="0" w:after="200" w:afterAutospacing="0"/>
        <w:ind w:firstLine="547"/>
        <w:divId w:val="1486045739"/>
        <w:rPr>
          <w:sz w:val="20"/>
          <w:szCs w:val="20"/>
        </w:rPr>
      </w:pPr>
      <w:r>
        <w:rPr>
          <w:b/>
          <w:bCs/>
          <w:i/>
          <w:iCs/>
          <w:sz w:val="20"/>
          <w:szCs w:val="20"/>
        </w:rPr>
        <w:t>Development of a p</w:t>
      </w:r>
      <w:r>
        <w:rPr>
          <w:b/>
          <w:bCs/>
          <w:i/>
          <w:iCs/>
          <w:sz w:val="20"/>
          <w:szCs w:val="20"/>
        </w:rPr>
        <w:t>roduct candidate intended for use in combination with an already approved product may present more or different challenges than development of a product candidate for use as a single agent.</w:t>
      </w:r>
    </w:p>
    <w:p w:rsidR="00000000" w:rsidRDefault="00F22B2C">
      <w:pPr>
        <w:pStyle w:val="a3"/>
        <w:spacing w:before="0" w:beforeAutospacing="0" w:after="0" w:afterAutospacing="0"/>
        <w:ind w:firstLine="547"/>
        <w:divId w:val="1486045739"/>
        <w:rPr>
          <w:sz w:val="20"/>
          <w:szCs w:val="20"/>
        </w:rPr>
      </w:pPr>
      <w:r>
        <w:rPr>
          <w:sz w:val="20"/>
          <w:szCs w:val="20"/>
        </w:rPr>
        <w:t xml:space="preserve">We are currently developing lifileucel as part of a regimen which </w:t>
      </w:r>
      <w:r>
        <w:rPr>
          <w:sz w:val="20"/>
          <w:szCs w:val="20"/>
        </w:rPr>
        <w:t xml:space="preserve">uses IL-2. We and our collaborators are also studying TIL therapy along with other products, such as pembrolizumab, ipilimumab and nivolumab. The development of product candidates for </w:t>
      </w:r>
    </w:p>
    <w:p w:rsidR="00000000" w:rsidRDefault="00F22B2C">
      <w:pPr>
        <w:pStyle w:val="a3"/>
        <w:spacing w:before="480" w:beforeAutospacing="0" w:after="0" w:afterAutospacing="0"/>
        <w:jc w:val="center"/>
        <w:divId w:val="1985042211"/>
        <w:rPr>
          <w:sz w:val="20"/>
          <w:szCs w:val="20"/>
        </w:rPr>
      </w:pPr>
      <w:r>
        <w:rPr>
          <w:sz w:val="20"/>
          <w:szCs w:val="20"/>
        </w:rPr>
        <w:t>61</w:t>
      </w:r>
    </w:p>
    <w:p w:rsidR="00000000" w:rsidRDefault="00F22B2C">
      <w:pPr>
        <w:pStyle w:val="a3"/>
        <w:spacing w:before="0" w:beforeAutospacing="0" w:after="600" w:afterAutospacing="0"/>
        <w:divId w:val="158431198"/>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957372364"/>
        <w:rPr>
          <w:sz w:val="20"/>
          <w:szCs w:val="20"/>
        </w:rPr>
      </w:pPr>
      <w:r>
        <w:rPr>
          <w:sz w:val="20"/>
          <w:szCs w:val="20"/>
        </w:rPr>
        <w:t xml:space="preserve">use in combination with </w:t>
      </w:r>
      <w:r>
        <w:rPr>
          <w:sz w:val="20"/>
          <w:szCs w:val="20"/>
        </w:rPr>
        <w:t xml:space="preserve">another product may present challenges. For example, the FDA may require us to use more complex clinical trial designs, in order to evaluate the contribution of each product and product candidate to any observed effects. It is possible that the results of </w:t>
      </w:r>
      <w:r>
        <w:rPr>
          <w:sz w:val="20"/>
          <w:szCs w:val="20"/>
        </w:rPr>
        <w:t>these trials could show that any positive results are attributable to the already approved product. Moreover, following product approval, the FDA may require that products used in conjunction with each other be cross labeled for combined use. Additionally,</w:t>
      </w:r>
      <w:r>
        <w:rPr>
          <w:sz w:val="20"/>
          <w:szCs w:val="20"/>
        </w:rPr>
        <w:t xml:space="preserve"> the FDA review process can be more complicated for combination products, and may result in delays, particularly if complex therapeutics are involved. To the extent that we do not have rights to already approved products, this may require us to work with a</w:t>
      </w:r>
      <w:r>
        <w:rPr>
          <w:sz w:val="20"/>
          <w:szCs w:val="20"/>
        </w:rPr>
        <w:t>nother company to satisfy such a requirement. Moreover, developments related to the already approved products may impact our clinical trials for the combination as well as our commercial prospects should we receive marketing approval. Such developments may</w:t>
      </w:r>
      <w:r>
        <w:rPr>
          <w:sz w:val="20"/>
          <w:szCs w:val="20"/>
        </w:rPr>
        <w:t xml:space="preserve"> include changes to the approved product’s safety or efficacy profile, changes to the availability of the approved product, and changes to the standard of care.</w:t>
      </w:r>
    </w:p>
    <w:p w:rsidR="00000000" w:rsidRDefault="00F22B2C">
      <w:pPr>
        <w:pStyle w:val="a3"/>
        <w:spacing w:before="0" w:beforeAutospacing="0" w:after="200" w:afterAutospacing="0"/>
        <w:ind w:firstLine="547"/>
        <w:divId w:val="957372364"/>
        <w:rPr>
          <w:sz w:val="20"/>
          <w:szCs w:val="20"/>
        </w:rPr>
      </w:pPr>
      <w:r>
        <w:rPr>
          <w:b/>
          <w:bCs/>
          <w:i/>
          <w:iCs/>
          <w:sz w:val="20"/>
          <w:szCs w:val="20"/>
        </w:rPr>
        <w:t>A Fast Track product designation, Breakthrough Therapy designation or other designation to faci</w:t>
      </w:r>
      <w:r>
        <w:rPr>
          <w:b/>
          <w:bCs/>
          <w:i/>
          <w:iCs/>
          <w:sz w:val="20"/>
          <w:szCs w:val="20"/>
        </w:rPr>
        <w:t>litate product candidate development may not lead to faster development or a faster regulatory review or approval process, and it does not increase the likelihood that our product candidates will receive marketing approval.</w:t>
      </w:r>
    </w:p>
    <w:p w:rsidR="00000000" w:rsidRDefault="00F22B2C">
      <w:pPr>
        <w:pStyle w:val="a3"/>
        <w:spacing w:before="0" w:beforeAutospacing="0" w:after="200" w:afterAutospacing="0"/>
        <w:ind w:firstLine="547"/>
        <w:divId w:val="957372364"/>
        <w:rPr>
          <w:sz w:val="20"/>
          <w:szCs w:val="20"/>
        </w:rPr>
      </w:pPr>
      <w:r>
        <w:rPr>
          <w:sz w:val="20"/>
          <w:szCs w:val="20"/>
        </w:rPr>
        <w:t>We were granted Fast Track desig</w:t>
      </w:r>
      <w:r>
        <w:rPr>
          <w:sz w:val="20"/>
          <w:szCs w:val="20"/>
        </w:rPr>
        <w:t>nation by the FDA for lifileucel in metastatic melanoma and metastatic cervical cancer. We were granted BTD, for lifileucel for metastatic cervical cancer and Regenerative Medicine Advanced Therapy, or RMAT, designation for lifileucel in advanced melanoma.</w:t>
      </w:r>
      <w:r>
        <w:rPr>
          <w:sz w:val="20"/>
          <w:szCs w:val="20"/>
        </w:rPr>
        <w:t xml:space="preserve"> We may seek Fast Track or Breakthrough designation for other of our current or future product candidates. Receipt of a designation to facilitate product candidate development is within the discretion of the FDA. Accordingly, even if we believe one of our </w:t>
      </w:r>
      <w:r>
        <w:rPr>
          <w:sz w:val="20"/>
          <w:szCs w:val="20"/>
        </w:rPr>
        <w:t>product candidates meets the criteria for a designation, the FDA may disagree. In any event, the receipt of such a designation for a product candidate may not result in a faster development process, review, or approval compared to product candidates consid</w:t>
      </w:r>
      <w:r>
        <w:rPr>
          <w:sz w:val="20"/>
          <w:szCs w:val="20"/>
        </w:rPr>
        <w:t>ered for approval under conventional the FDA procedures and does not assure ultimate marketing approval by the FDA. In addition, the FDA may later decide that the products no longer meet the designation conditions.</w:t>
      </w:r>
    </w:p>
    <w:p w:rsidR="00000000" w:rsidRDefault="00F22B2C">
      <w:pPr>
        <w:pStyle w:val="a3"/>
        <w:spacing w:before="0" w:beforeAutospacing="0" w:after="200" w:afterAutospacing="0"/>
        <w:ind w:firstLine="547"/>
        <w:divId w:val="957372364"/>
        <w:rPr>
          <w:sz w:val="20"/>
          <w:szCs w:val="20"/>
        </w:rPr>
      </w:pPr>
      <w:r>
        <w:rPr>
          <w:b/>
          <w:bCs/>
          <w:i/>
          <w:iCs/>
          <w:sz w:val="20"/>
          <w:szCs w:val="20"/>
        </w:rPr>
        <w:t>While lifileucel has received Orphan Drug</w:t>
      </w:r>
      <w:r>
        <w:rPr>
          <w:b/>
          <w:bCs/>
          <w:i/>
          <w:iCs/>
          <w:sz w:val="20"/>
          <w:szCs w:val="20"/>
        </w:rPr>
        <w:t xml:space="preserve"> Designation, or ODD, for melanoma stages IIB-IV and for cervical cancer patients with tumors greater than 2 cm, there is no guarantee that we will be able to maintain this designation, receive these designations for any of our other product candidates, or</w:t>
      </w:r>
      <w:r>
        <w:rPr>
          <w:b/>
          <w:bCs/>
          <w:i/>
          <w:iCs/>
          <w:sz w:val="20"/>
          <w:szCs w:val="20"/>
        </w:rPr>
        <w:t xml:space="preserve"> receive or maintain any corresponding benefits, including periods of exclusivity.</w:t>
      </w:r>
    </w:p>
    <w:p w:rsidR="00000000" w:rsidRDefault="00F22B2C">
      <w:pPr>
        <w:pStyle w:val="a3"/>
        <w:spacing w:before="0" w:beforeAutospacing="0" w:after="200" w:afterAutospacing="0"/>
        <w:ind w:firstLine="547"/>
        <w:divId w:val="957372364"/>
        <w:rPr>
          <w:sz w:val="20"/>
          <w:szCs w:val="20"/>
        </w:rPr>
      </w:pPr>
      <w:r>
        <w:rPr>
          <w:sz w:val="20"/>
          <w:szCs w:val="20"/>
        </w:rPr>
        <w:t>We received ODD in the U.S. for lifileucel to treat malignant melanoma stages IIB-IV and cervical cancer patients with tumors greater than 2 cm. We may also seek ODD for our</w:t>
      </w:r>
      <w:r>
        <w:rPr>
          <w:sz w:val="20"/>
          <w:szCs w:val="20"/>
        </w:rPr>
        <w:t xml:space="preserve"> other product candidates, as appropriate. ODD, however, may be lost if the indication for which we develop our designated product candidates does not meet the orphan criteria. Moreover, following product approval, orphan exclusivity may be lost if the FDA</w:t>
      </w:r>
      <w:r>
        <w:rPr>
          <w:sz w:val="20"/>
          <w:szCs w:val="20"/>
        </w:rPr>
        <w:t xml:space="preserve"> determines, among other reasons, that the request for designation was materially defective or if the manufacturer is unable to assure sufficient quantity of the product to meet the needs of patients with the rare disease or condition. Even if we obtain or</w:t>
      </w:r>
      <w:r>
        <w:rPr>
          <w:sz w:val="20"/>
          <w:szCs w:val="20"/>
        </w:rPr>
        <w:t>phan exclusivity, that exclusivity may not effectively protect the product from competition because different products can be approved for the same condition and the same product can be approved for different conditions. Even after an orphan product is app</w:t>
      </w:r>
      <w:r>
        <w:rPr>
          <w:sz w:val="20"/>
          <w:szCs w:val="20"/>
        </w:rPr>
        <w:t xml:space="preserve">roved, the FDA can subsequently approve a product containing the same principal molecular features for the same condition if the FDA concludes that the later product is clinically superior in that it is shown to be safer or more effective or makes a major </w:t>
      </w:r>
      <w:r>
        <w:rPr>
          <w:sz w:val="20"/>
          <w:szCs w:val="20"/>
        </w:rPr>
        <w:t>contribution to patient care.</w:t>
      </w:r>
    </w:p>
    <w:p w:rsidR="00000000" w:rsidRDefault="00F22B2C">
      <w:pPr>
        <w:pStyle w:val="a3"/>
        <w:spacing w:before="0" w:beforeAutospacing="0" w:after="200" w:afterAutospacing="0"/>
        <w:ind w:firstLine="547"/>
        <w:divId w:val="957372364"/>
        <w:rPr>
          <w:sz w:val="20"/>
          <w:szCs w:val="20"/>
        </w:rPr>
      </w:pPr>
      <w:r>
        <w:rPr>
          <w:sz w:val="20"/>
          <w:szCs w:val="20"/>
        </w:rPr>
        <w:t xml:space="preserve">Moreover, the FDA may grant ODDs to multiple of the same products for the same indication. If another sponsor receives FDA approval for an ODD-designated product that is the same as our product candidates and intended for the same indication before we do, </w:t>
      </w:r>
      <w:r>
        <w:rPr>
          <w:sz w:val="20"/>
          <w:szCs w:val="20"/>
        </w:rPr>
        <w:t>we would be prevented from launching our product in the U.S. for this indication for a period of at least 7 years.</w:t>
      </w:r>
    </w:p>
    <w:p w:rsidR="00000000" w:rsidRDefault="00F22B2C">
      <w:pPr>
        <w:pStyle w:val="a3"/>
        <w:spacing w:before="0" w:beforeAutospacing="0" w:after="200" w:afterAutospacing="0"/>
        <w:ind w:firstLine="547"/>
        <w:divId w:val="957372364"/>
        <w:rPr>
          <w:sz w:val="20"/>
          <w:szCs w:val="20"/>
        </w:rPr>
      </w:pPr>
      <w:r>
        <w:rPr>
          <w:sz w:val="20"/>
          <w:szCs w:val="20"/>
        </w:rPr>
        <w:t>In response to a court decision regarding the plain meaning of the exclusivity provision of the Orphan Drug Act, the FDA may undertake a reev</w:t>
      </w:r>
      <w:r>
        <w:rPr>
          <w:sz w:val="20"/>
          <w:szCs w:val="20"/>
        </w:rPr>
        <w:t>aluation of aspects of its orphan drug regulations and policies. We do not know if, when, or how the FDA may change the orphan drug regulations and policies, and it is uncertain how any changes might affect our business. Depending on what changes the FDA m</w:t>
      </w:r>
      <w:r>
        <w:rPr>
          <w:sz w:val="20"/>
          <w:szCs w:val="20"/>
        </w:rPr>
        <w:t>ay make to its orphan drug regulations and policies, our business, financial condition, results of operations, and prospects could be harmed.</w:t>
      </w:r>
    </w:p>
    <w:p w:rsidR="00000000" w:rsidRDefault="00F22B2C">
      <w:pPr>
        <w:pStyle w:val="a3"/>
        <w:spacing w:before="0" w:beforeAutospacing="0" w:after="200" w:afterAutospacing="0"/>
        <w:ind w:firstLine="547"/>
        <w:divId w:val="957372364"/>
        <w:rPr>
          <w:sz w:val="20"/>
          <w:szCs w:val="20"/>
        </w:rPr>
      </w:pPr>
      <w:r>
        <w:rPr>
          <w:b/>
          <w:bCs/>
          <w:i/>
          <w:iCs/>
          <w:sz w:val="20"/>
          <w:szCs w:val="20"/>
        </w:rPr>
        <w:t xml:space="preserve">As a condition of approval, the FDA may require that we implement various post-marketing requirements and conduct </w:t>
      </w:r>
      <w:r>
        <w:rPr>
          <w:b/>
          <w:bCs/>
          <w:i/>
          <w:iCs/>
          <w:sz w:val="20"/>
          <w:szCs w:val="20"/>
        </w:rPr>
        <w:t>post-marketing studies, any of which would require a substantial investment of time, effort, and money, and which may limit our commercial prospects.</w:t>
      </w:r>
    </w:p>
    <w:p w:rsidR="00000000" w:rsidRDefault="00F22B2C">
      <w:pPr>
        <w:pStyle w:val="a3"/>
        <w:spacing w:before="0" w:beforeAutospacing="0" w:after="0" w:afterAutospacing="0"/>
        <w:ind w:firstLine="547"/>
        <w:divId w:val="957372364"/>
        <w:rPr>
          <w:sz w:val="20"/>
          <w:szCs w:val="20"/>
        </w:rPr>
      </w:pPr>
      <w:r>
        <w:rPr>
          <w:sz w:val="20"/>
          <w:szCs w:val="20"/>
        </w:rPr>
        <w:t>As a condition of biologic licensing, the FDA is authorized to require that sponsors of approved BLAs impl</w:t>
      </w:r>
      <w:r>
        <w:rPr>
          <w:sz w:val="20"/>
          <w:szCs w:val="20"/>
        </w:rPr>
        <w:t xml:space="preserve">ement various post-market requirements, including REMS and Phase 4 studies. For example, when the FDA approved Novartis’ Kymriah in August 2017, </w:t>
      </w:r>
    </w:p>
    <w:p w:rsidR="00000000" w:rsidRDefault="00F22B2C">
      <w:pPr>
        <w:pStyle w:val="a3"/>
        <w:spacing w:before="480" w:beforeAutospacing="0" w:after="0" w:afterAutospacing="0"/>
        <w:jc w:val="center"/>
        <w:divId w:val="1323123388"/>
        <w:rPr>
          <w:sz w:val="20"/>
          <w:szCs w:val="20"/>
        </w:rPr>
      </w:pPr>
      <w:r>
        <w:rPr>
          <w:sz w:val="20"/>
          <w:szCs w:val="20"/>
        </w:rPr>
        <w:t>62</w:t>
      </w:r>
    </w:p>
    <w:p w:rsidR="00000000" w:rsidRDefault="00F22B2C">
      <w:pPr>
        <w:pStyle w:val="a3"/>
        <w:spacing w:before="0" w:beforeAutospacing="0" w:after="600" w:afterAutospacing="0"/>
        <w:divId w:val="1418790262"/>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1065033977"/>
        <w:rPr>
          <w:sz w:val="20"/>
          <w:szCs w:val="20"/>
        </w:rPr>
      </w:pPr>
      <w:r>
        <w:rPr>
          <w:sz w:val="20"/>
          <w:szCs w:val="20"/>
        </w:rPr>
        <w:t>a CAR-T cell therapy for the treatment of patients up to 25 yea</w:t>
      </w:r>
      <w:r>
        <w:rPr>
          <w:sz w:val="20"/>
          <w:szCs w:val="20"/>
        </w:rPr>
        <w:t>rs of age with B-cell precursor acute lymphoblastic leukemia, or ALL, that is refractory or in second or later relapse, the FDA required significant post-marketing commitments, including a Phase 4 trial, revalidation of a test method, and a substantial REM</w:t>
      </w:r>
      <w:r>
        <w:rPr>
          <w:sz w:val="20"/>
          <w:szCs w:val="20"/>
        </w:rPr>
        <w:t>S program that included, among other requirements, the certification of hospitals and their associated clinics that dispense Kymriah, which certification includes a number of requirements, the implementation of a Kymriah training program, and limited distr</w:t>
      </w:r>
      <w:r>
        <w:rPr>
          <w:sz w:val="20"/>
          <w:szCs w:val="20"/>
        </w:rPr>
        <w:t>ibution only to certified hospitals and their associated clinics. If we receive approval of our product candidates, the FDA may determine that similar or additional post-approval requirements are necessary to ensure that our product candidates are safe, pu</w:t>
      </w:r>
      <w:r>
        <w:rPr>
          <w:sz w:val="20"/>
          <w:szCs w:val="20"/>
        </w:rPr>
        <w:t>re, and potent. To the extent that we are required to establish and implement any post-approval requirements, we will likely need to invest a significant amount of time, effort, and money. Such post-approval requirements may also limit the commercial prosp</w:t>
      </w:r>
      <w:r>
        <w:rPr>
          <w:sz w:val="20"/>
          <w:szCs w:val="20"/>
        </w:rPr>
        <w:t>ects of our product candidates.</w:t>
      </w:r>
    </w:p>
    <w:p w:rsidR="00000000" w:rsidRDefault="00F22B2C">
      <w:pPr>
        <w:pStyle w:val="a3"/>
        <w:spacing w:before="0" w:beforeAutospacing="0" w:after="200" w:afterAutospacing="0"/>
        <w:ind w:firstLine="547"/>
        <w:divId w:val="1065033977"/>
        <w:rPr>
          <w:sz w:val="20"/>
          <w:szCs w:val="20"/>
        </w:rPr>
      </w:pPr>
      <w:r>
        <w:rPr>
          <w:b/>
          <w:bCs/>
          <w:i/>
          <w:iCs/>
          <w:sz w:val="20"/>
          <w:szCs w:val="20"/>
        </w:rPr>
        <w:t>We may be unable to establish effective marketing and sales capabilities or enter into agreements with third parties to market and sell our product candidates, if they are approved, and as a result, we may be unable to gener</w:t>
      </w:r>
      <w:r>
        <w:rPr>
          <w:b/>
          <w:bCs/>
          <w:i/>
          <w:iCs/>
          <w:sz w:val="20"/>
          <w:szCs w:val="20"/>
        </w:rPr>
        <w:t>ate product revenues.</w:t>
      </w:r>
    </w:p>
    <w:p w:rsidR="00000000" w:rsidRDefault="00F22B2C">
      <w:pPr>
        <w:pStyle w:val="a3"/>
        <w:spacing w:before="0" w:beforeAutospacing="0" w:after="200" w:afterAutospacing="0"/>
        <w:ind w:firstLine="547"/>
        <w:divId w:val="1065033977"/>
        <w:rPr>
          <w:sz w:val="20"/>
          <w:szCs w:val="20"/>
        </w:rPr>
      </w:pPr>
      <w:r>
        <w:rPr>
          <w:sz w:val="20"/>
          <w:szCs w:val="20"/>
        </w:rPr>
        <w:t>We currently have a small commercial team focused on our commercial strategy, but we do not have a commercial infrastructure for the marketing, sale, and distribution of biopharmaceutical products. If approved, in order to commerciali</w:t>
      </w:r>
      <w:r>
        <w:rPr>
          <w:sz w:val="20"/>
          <w:szCs w:val="20"/>
        </w:rPr>
        <w:t xml:space="preserve">ze our products, we must build our marketing, sales, and distribution capabilities or make arrangements with third parties to perform these services, which will take time and require significant financial expenditures and we may not be successful in doing </w:t>
      </w:r>
      <w:r>
        <w:rPr>
          <w:sz w:val="20"/>
          <w:szCs w:val="20"/>
        </w:rPr>
        <w:t>so. Even if we are able to effectively establish a sales force and develop a marketing and sales infrastructure, our sales force and marketing teams may not be successful in commercializing our current or future product candidates. To the extent we rely on</w:t>
      </w:r>
      <w:r>
        <w:rPr>
          <w:sz w:val="20"/>
          <w:szCs w:val="20"/>
        </w:rPr>
        <w:t xml:space="preserve"> third parties to commercialize any products for which we obtain regulatory approval, we would have less control over their sales efforts, and could be held liable if they failed to comply with applicable legal or regulatory requirements.</w:t>
      </w:r>
    </w:p>
    <w:p w:rsidR="00000000" w:rsidRDefault="00F22B2C">
      <w:pPr>
        <w:pStyle w:val="a3"/>
        <w:spacing w:before="0" w:beforeAutospacing="0" w:after="200" w:afterAutospacing="0"/>
        <w:ind w:firstLine="547"/>
        <w:divId w:val="1065033977"/>
        <w:rPr>
          <w:sz w:val="20"/>
          <w:szCs w:val="20"/>
        </w:rPr>
      </w:pPr>
      <w:r>
        <w:rPr>
          <w:sz w:val="20"/>
          <w:szCs w:val="20"/>
        </w:rPr>
        <w:t xml:space="preserve">We have no prior </w:t>
      </w:r>
      <w:r>
        <w:rPr>
          <w:sz w:val="20"/>
          <w:szCs w:val="20"/>
        </w:rPr>
        <w:t>experience in the marketing, sale, and distribution of biopharmaceutical products, and there are significant risks involved in the building and managing of a commercial infrastructure. The establishment and development of commercial capabilities, including</w:t>
      </w:r>
      <w:r>
        <w:rPr>
          <w:sz w:val="20"/>
          <w:szCs w:val="20"/>
        </w:rPr>
        <w:t xml:space="preserve"> a comprehensive healthcare compliance program, to market any products we may develop will be expensive and time consuming and could delay any product launch, and we may not be able to successfully develop this capability. We, or our collaborators, will ha</w:t>
      </w:r>
      <w:r>
        <w:rPr>
          <w:sz w:val="20"/>
          <w:szCs w:val="20"/>
        </w:rPr>
        <w:t>ve to compete with other pharmaceutical and biotechnology companies to recruit, hire, train, manage, and retain marketing, sales and commercial support personnel. In the event we are unable to develop a commercial infrastructure, we may not be able to comm</w:t>
      </w:r>
      <w:r>
        <w:rPr>
          <w:sz w:val="20"/>
          <w:szCs w:val="20"/>
        </w:rPr>
        <w:t>ercialize our current or future product candidates, which would limit our ability to generate product revenues. Factors that may inhibit our efforts to commercialize our current or future product candidates and generate product revenues include:</w:t>
      </w:r>
    </w:p>
    <w:p w:rsidR="00000000" w:rsidRDefault="00F22B2C">
      <w:pPr>
        <w:ind w:left="547" w:hanging="360"/>
        <w:divId w:val="151945157"/>
        <w:rPr>
          <w:rFonts w:eastAsia="Times New Roman"/>
          <w:sz w:val="20"/>
          <w:szCs w:val="20"/>
        </w:rPr>
      </w:pPr>
      <w:r>
        <w:rPr>
          <w:rFonts w:eastAsia="Times New Roman"/>
          <w:sz w:val="20"/>
          <w:szCs w:val="20"/>
        </w:rPr>
        <w:t>●</w:t>
      </w:r>
      <w:r>
        <w:rPr>
          <w:rFonts w:eastAsia="Times New Roman"/>
          <w:sz w:val="20"/>
          <w:szCs w:val="20"/>
        </w:rPr>
        <w:t>if the CO</w:t>
      </w:r>
      <w:r>
        <w:rPr>
          <w:rFonts w:eastAsia="Times New Roman"/>
          <w:sz w:val="20"/>
          <w:szCs w:val="20"/>
        </w:rPr>
        <w:t>VID-19 pandemic continues or reoccurs it may negatively impact our ability to establish commercial operations, educate and interact with healthcare professionals, and successfully launch our product on a timely basis;</w:t>
      </w:r>
    </w:p>
    <w:p w:rsidR="00000000" w:rsidRDefault="00F22B2C">
      <w:pPr>
        <w:ind w:left="547" w:hanging="360"/>
        <w:divId w:val="1723864775"/>
        <w:rPr>
          <w:rFonts w:eastAsia="Times New Roman"/>
          <w:sz w:val="20"/>
          <w:szCs w:val="20"/>
        </w:rPr>
      </w:pPr>
      <w:r>
        <w:rPr>
          <w:rFonts w:eastAsia="Times New Roman"/>
          <w:sz w:val="20"/>
          <w:szCs w:val="20"/>
        </w:rPr>
        <w:t>●</w:t>
      </w:r>
      <w:r>
        <w:rPr>
          <w:rFonts w:eastAsia="Times New Roman"/>
          <w:sz w:val="20"/>
          <w:szCs w:val="20"/>
        </w:rPr>
        <w:t>the inability of sales personnel to o</w:t>
      </w:r>
      <w:r>
        <w:rPr>
          <w:rFonts w:eastAsia="Times New Roman"/>
          <w:sz w:val="20"/>
          <w:szCs w:val="20"/>
        </w:rPr>
        <w:t>btain access to physicians or persuade adequate numbers of physicians to prescribe our current or future product candidates;</w:t>
      </w:r>
    </w:p>
    <w:p w:rsidR="00000000" w:rsidRDefault="00F22B2C">
      <w:pPr>
        <w:ind w:left="547" w:hanging="360"/>
        <w:divId w:val="1535383536"/>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rsidR="00000000" w:rsidRDefault="00F22B2C">
      <w:pPr>
        <w:ind w:left="547" w:hanging="360"/>
        <w:divId w:val="1680962092"/>
        <w:rPr>
          <w:rFonts w:eastAsia="Times New Roman"/>
          <w:sz w:val="20"/>
          <w:szCs w:val="20"/>
        </w:rPr>
      </w:pPr>
      <w:r>
        <w:rPr>
          <w:rFonts w:eastAsia="Times New Roman"/>
          <w:sz w:val="20"/>
          <w:szCs w:val="20"/>
        </w:rPr>
        <w:t>●</w:t>
      </w:r>
      <w:r>
        <w:rPr>
          <w:rFonts w:eastAsia="Times New Roman"/>
          <w:sz w:val="20"/>
          <w:szCs w:val="20"/>
        </w:rPr>
        <w:t xml:space="preserve">the costs and time associated with the </w:t>
      </w:r>
      <w:r>
        <w:rPr>
          <w:rFonts w:eastAsia="Times New Roman"/>
          <w:sz w:val="20"/>
          <w:szCs w:val="20"/>
        </w:rPr>
        <w:t>initial and ongoing training of sales and marketing personnel on legal and regulatory compliance matters and monitoring their actions;</w:t>
      </w:r>
    </w:p>
    <w:p w:rsidR="00000000" w:rsidRDefault="00F22B2C">
      <w:pPr>
        <w:ind w:left="547" w:hanging="360"/>
        <w:divId w:val="451092911"/>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private health plans;</w:t>
      </w:r>
    </w:p>
    <w:p w:rsidR="00000000" w:rsidRDefault="00F22B2C">
      <w:pPr>
        <w:ind w:left="547" w:hanging="360"/>
        <w:divId w:val="1246115301"/>
        <w:rPr>
          <w:rFonts w:eastAsia="Times New Roman"/>
          <w:sz w:val="20"/>
          <w:szCs w:val="20"/>
        </w:rPr>
      </w:pPr>
      <w:r>
        <w:rPr>
          <w:rFonts w:eastAsia="Times New Roman"/>
          <w:sz w:val="20"/>
          <w:szCs w:val="20"/>
        </w:rPr>
        <w:t>●</w:t>
      </w:r>
      <w:r>
        <w:rPr>
          <w:rFonts w:eastAsia="Times New Roman"/>
          <w:sz w:val="20"/>
          <w:szCs w:val="20"/>
        </w:rPr>
        <w:t>the clinical indicat</w:t>
      </w:r>
      <w:r>
        <w:rPr>
          <w:rFonts w:eastAsia="Times New Roman"/>
          <w:sz w:val="20"/>
          <w:szCs w:val="20"/>
        </w:rPr>
        <w:t>ions for which the products are approved and the claims that we may make for the products;</w:t>
      </w:r>
    </w:p>
    <w:p w:rsidR="00000000" w:rsidRDefault="00F22B2C">
      <w:pPr>
        <w:ind w:left="547" w:hanging="360"/>
        <w:divId w:val="1008675630"/>
        <w:rPr>
          <w:rFonts w:eastAsia="Times New Roman"/>
          <w:sz w:val="20"/>
          <w:szCs w:val="20"/>
        </w:rPr>
      </w:pPr>
      <w:r>
        <w:rPr>
          <w:rFonts w:eastAsia="Times New Roman"/>
          <w:sz w:val="20"/>
          <w:szCs w:val="20"/>
        </w:rPr>
        <w:t>●</w:t>
      </w:r>
      <w:r>
        <w:rPr>
          <w:rFonts w:eastAsia="Times New Roman"/>
          <w:sz w:val="20"/>
          <w:szCs w:val="20"/>
        </w:rPr>
        <w:t>limitations or warnings, including distribution or use restrictions, contained in the products’ approved labeling;</w:t>
      </w:r>
    </w:p>
    <w:p w:rsidR="00000000" w:rsidRDefault="00F22B2C">
      <w:pPr>
        <w:ind w:left="547" w:hanging="360"/>
        <w:divId w:val="376399962"/>
        <w:rPr>
          <w:rFonts w:eastAsia="Times New Roman"/>
          <w:sz w:val="20"/>
          <w:szCs w:val="20"/>
        </w:rPr>
      </w:pPr>
      <w:r>
        <w:rPr>
          <w:rFonts w:eastAsia="Times New Roman"/>
          <w:sz w:val="20"/>
          <w:szCs w:val="20"/>
        </w:rPr>
        <w:t>●</w:t>
      </w:r>
      <w:r>
        <w:rPr>
          <w:rFonts w:eastAsia="Times New Roman"/>
          <w:sz w:val="20"/>
          <w:szCs w:val="20"/>
        </w:rPr>
        <w:t>any distribution and use restrictions imposed by</w:t>
      </w:r>
      <w:r>
        <w:rPr>
          <w:rFonts w:eastAsia="Times New Roman"/>
          <w:sz w:val="20"/>
          <w:szCs w:val="20"/>
        </w:rPr>
        <w:t xml:space="preserve"> the FDA or to which we agree as part of a mandatory REMS or voluntary risk management plan;</w:t>
      </w:r>
    </w:p>
    <w:p w:rsidR="00000000" w:rsidRDefault="00F22B2C">
      <w:pPr>
        <w:ind w:left="547" w:hanging="360"/>
        <w:divId w:val="1629701227"/>
        <w:rPr>
          <w:rFonts w:eastAsia="Times New Roman"/>
          <w:sz w:val="20"/>
          <w:szCs w:val="20"/>
        </w:rPr>
      </w:pPr>
      <w:r>
        <w:rPr>
          <w:rFonts w:eastAsia="Times New Roman"/>
          <w:sz w:val="20"/>
          <w:szCs w:val="20"/>
        </w:rPr>
        <w:t>●</w:t>
      </w:r>
      <w:r>
        <w:rPr>
          <w:rFonts w:eastAsia="Times New Roman"/>
          <w:sz w:val="20"/>
          <w:szCs w:val="20"/>
        </w:rPr>
        <w:t>liability for sales or marketing personnel who fail to comply with the applicable legal and regulatory requirements;</w:t>
      </w:r>
    </w:p>
    <w:p w:rsidR="00000000" w:rsidRDefault="00F22B2C">
      <w:pPr>
        <w:ind w:left="547" w:hanging="360"/>
        <w:divId w:val="1783649958"/>
        <w:rPr>
          <w:rFonts w:eastAsia="Times New Roman"/>
          <w:sz w:val="20"/>
          <w:szCs w:val="20"/>
        </w:rPr>
      </w:pPr>
      <w:r>
        <w:rPr>
          <w:rFonts w:eastAsia="Times New Roman"/>
          <w:sz w:val="20"/>
          <w:szCs w:val="20"/>
        </w:rPr>
        <w:t>●</w:t>
      </w:r>
      <w:r>
        <w:rPr>
          <w:rFonts w:eastAsia="Times New Roman"/>
          <w:sz w:val="20"/>
          <w:szCs w:val="20"/>
        </w:rPr>
        <w:t>the lack of complementary products to be off</w:t>
      </w:r>
      <w:r>
        <w:rPr>
          <w:rFonts w:eastAsia="Times New Roman"/>
          <w:sz w:val="20"/>
          <w:szCs w:val="20"/>
        </w:rPr>
        <w:t>ered by sales personnel, which may put us at a competitive disadvantage relative to companies with more extensive product lines; and</w:t>
      </w:r>
    </w:p>
    <w:p w:rsidR="00000000" w:rsidRDefault="00F22B2C">
      <w:pPr>
        <w:ind w:left="547" w:hanging="360"/>
        <w:divId w:val="980501744"/>
        <w:rPr>
          <w:rFonts w:eastAsia="Times New Roman"/>
          <w:sz w:val="20"/>
          <w:szCs w:val="20"/>
        </w:rPr>
      </w:pPr>
      <w:r>
        <w:rPr>
          <w:rFonts w:eastAsia="Times New Roman"/>
          <w:sz w:val="20"/>
          <w:szCs w:val="20"/>
        </w:rPr>
        <w:t>●</w:t>
      </w:r>
      <w:r>
        <w:rPr>
          <w:rFonts w:eastAsia="Times New Roman"/>
          <w:sz w:val="20"/>
          <w:szCs w:val="20"/>
        </w:rPr>
        <w:t>unforeseen costs and expenses associated with creating an independent sales and marketing organization or engaging a contr</w:t>
      </w:r>
      <w:r>
        <w:rPr>
          <w:rFonts w:eastAsia="Times New Roman"/>
          <w:sz w:val="20"/>
          <w:szCs w:val="20"/>
        </w:rPr>
        <w:t>act sales organization.</w:t>
      </w:r>
    </w:p>
    <w:p w:rsidR="00000000" w:rsidRDefault="00F22B2C">
      <w:pPr>
        <w:pStyle w:val="a3"/>
        <w:spacing w:before="0" w:beforeAutospacing="0" w:after="200" w:afterAutospacing="0"/>
        <w:ind w:firstLine="547"/>
        <w:divId w:val="1065033977"/>
        <w:rPr>
          <w:sz w:val="20"/>
          <w:szCs w:val="20"/>
        </w:rPr>
      </w:pPr>
      <w:r>
        <w:rPr>
          <w:b/>
          <w:bCs/>
          <w:i/>
          <w:iCs/>
          <w:sz w:val="20"/>
          <w:szCs w:val="20"/>
        </w:rPr>
        <w:t>If our product candidates do not achieve broad market acceptance, the revenues that we generate from their sales will be limited.</w:t>
      </w:r>
    </w:p>
    <w:p w:rsidR="00000000" w:rsidRDefault="00F22B2C">
      <w:pPr>
        <w:pStyle w:val="a3"/>
        <w:spacing w:before="0" w:beforeAutospacing="0" w:after="0" w:afterAutospacing="0"/>
        <w:ind w:firstLine="547"/>
        <w:divId w:val="1065033977"/>
        <w:rPr>
          <w:sz w:val="20"/>
          <w:szCs w:val="20"/>
        </w:rPr>
      </w:pPr>
      <w:r>
        <w:rPr>
          <w:sz w:val="20"/>
          <w:szCs w:val="20"/>
        </w:rPr>
        <w:t xml:space="preserve">We have never commercialized a product candidate for any indication. Even if our product candidates are approved by the appropriate regulatory authorities for marketing and sale, they may not gain acceptance among physicians, patients, third-party payors, </w:t>
      </w:r>
      <w:r>
        <w:rPr>
          <w:sz w:val="20"/>
          <w:szCs w:val="20"/>
        </w:rPr>
        <w:t>and others in the medical community. If any product candidate for which we obtain regulatory approval does not gain an adequate level of market acceptance, we may not generate significant product revenues or become profitable. Market acceptance of our prod</w:t>
      </w:r>
      <w:r>
        <w:rPr>
          <w:sz w:val="20"/>
          <w:szCs w:val="20"/>
        </w:rPr>
        <w:t xml:space="preserve">uct </w:t>
      </w:r>
    </w:p>
    <w:p w:rsidR="00000000" w:rsidRDefault="00F22B2C">
      <w:pPr>
        <w:pStyle w:val="a3"/>
        <w:spacing w:before="480" w:beforeAutospacing="0" w:after="0" w:afterAutospacing="0"/>
        <w:jc w:val="center"/>
        <w:divId w:val="102656338"/>
        <w:rPr>
          <w:sz w:val="20"/>
          <w:szCs w:val="20"/>
        </w:rPr>
      </w:pPr>
      <w:r>
        <w:rPr>
          <w:sz w:val="20"/>
          <w:szCs w:val="20"/>
        </w:rPr>
        <w:t>63</w:t>
      </w:r>
    </w:p>
    <w:p w:rsidR="00000000" w:rsidRDefault="00F22B2C">
      <w:pPr>
        <w:pStyle w:val="a3"/>
        <w:spacing w:before="0" w:beforeAutospacing="0" w:after="600" w:afterAutospacing="0"/>
        <w:divId w:val="58133642"/>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1364406018"/>
        <w:rPr>
          <w:sz w:val="20"/>
          <w:szCs w:val="20"/>
        </w:rPr>
      </w:pPr>
      <w:r>
        <w:rPr>
          <w:sz w:val="20"/>
          <w:szCs w:val="20"/>
        </w:rPr>
        <w:t>candidates by the medical community, patients, and third-party payors will depend on a number of factors, some of which are beyond our control. For example, physicians are often reluctant to switch their patients and patients may be reluctant to switch fro</w:t>
      </w:r>
      <w:r>
        <w:rPr>
          <w:sz w:val="20"/>
          <w:szCs w:val="20"/>
        </w:rPr>
        <w:t>m existing therapies even when new and potentially more effective or safer treatments enter the market.</w:t>
      </w:r>
    </w:p>
    <w:p w:rsidR="00000000" w:rsidRDefault="00F22B2C">
      <w:pPr>
        <w:pStyle w:val="a3"/>
        <w:spacing w:before="0" w:beforeAutospacing="0" w:after="200" w:afterAutospacing="0"/>
        <w:ind w:firstLine="547"/>
        <w:divId w:val="1364406018"/>
        <w:rPr>
          <w:sz w:val="20"/>
          <w:szCs w:val="20"/>
        </w:rPr>
      </w:pPr>
      <w:r>
        <w:rPr>
          <w:sz w:val="20"/>
          <w:szCs w:val="20"/>
        </w:rPr>
        <w:t xml:space="preserve">Efforts to educate the medical community and third-party payors on the benefits of our product candidates may require significant resources and may not </w:t>
      </w:r>
      <w:r>
        <w:rPr>
          <w:sz w:val="20"/>
          <w:szCs w:val="20"/>
        </w:rPr>
        <w:t>be successful. If any of our product candidates is approved but does not achieve an adequate level of market acceptance, we may not generate significant revenues and we may not become profitable. The degree of market acceptance of any of our product candid</w:t>
      </w:r>
      <w:r>
        <w:rPr>
          <w:sz w:val="20"/>
          <w:szCs w:val="20"/>
        </w:rPr>
        <w:t>ates will depend on a number of factors, including:</w:t>
      </w:r>
    </w:p>
    <w:p w:rsidR="00000000" w:rsidRDefault="00F22B2C">
      <w:pPr>
        <w:ind w:left="547" w:hanging="360"/>
        <w:divId w:val="366570388"/>
        <w:rPr>
          <w:rFonts w:eastAsia="Times New Roman"/>
          <w:sz w:val="20"/>
          <w:szCs w:val="20"/>
        </w:rPr>
      </w:pPr>
      <w:r>
        <w:rPr>
          <w:rFonts w:eastAsia="Times New Roman"/>
          <w:sz w:val="20"/>
          <w:szCs w:val="20"/>
        </w:rPr>
        <w:t>●</w:t>
      </w:r>
      <w:r>
        <w:rPr>
          <w:rFonts w:eastAsia="Times New Roman"/>
          <w:sz w:val="20"/>
          <w:szCs w:val="20"/>
        </w:rPr>
        <w:t>the efficacy of our product candidates;</w:t>
      </w:r>
    </w:p>
    <w:p w:rsidR="00000000" w:rsidRDefault="00F22B2C">
      <w:pPr>
        <w:ind w:left="547" w:hanging="360"/>
        <w:divId w:val="1037704938"/>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rsidR="00000000" w:rsidRDefault="00F22B2C">
      <w:pPr>
        <w:ind w:left="547" w:hanging="360"/>
        <w:divId w:val="2130974399"/>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appro</w:t>
      </w:r>
      <w:r>
        <w:rPr>
          <w:rFonts w:eastAsia="Times New Roman"/>
          <w:sz w:val="20"/>
          <w:szCs w:val="20"/>
        </w:rPr>
        <w:t>ved claims that we may make for the products;</w:t>
      </w:r>
    </w:p>
    <w:p w:rsidR="00000000" w:rsidRDefault="00F22B2C">
      <w:pPr>
        <w:ind w:left="547" w:hanging="360"/>
        <w:divId w:val="1023897342"/>
        <w:rPr>
          <w:rFonts w:eastAsia="Times New Roman"/>
          <w:sz w:val="20"/>
          <w:szCs w:val="20"/>
        </w:rPr>
      </w:pPr>
      <w:r>
        <w:rPr>
          <w:rFonts w:eastAsia="Times New Roman"/>
          <w:sz w:val="20"/>
          <w:szCs w:val="20"/>
        </w:rPr>
        <w:t>●</w:t>
      </w:r>
      <w:r>
        <w:rPr>
          <w:rFonts w:eastAsia="Times New Roman"/>
          <w:sz w:val="20"/>
          <w:szCs w:val="20"/>
        </w:rPr>
        <w:t>limitations or warnings contained in the approved product’s FDA-required labeling, including potential limitations or warnings for such products that may be more restrictive than other competitive products;</w:t>
      </w:r>
    </w:p>
    <w:p w:rsidR="00000000" w:rsidRDefault="00F22B2C">
      <w:pPr>
        <w:ind w:left="547" w:hanging="360"/>
        <w:divId w:val="527371994"/>
        <w:rPr>
          <w:rFonts w:eastAsia="Times New Roman"/>
          <w:sz w:val="20"/>
          <w:szCs w:val="20"/>
        </w:rPr>
      </w:pPr>
      <w:r>
        <w:rPr>
          <w:rFonts w:eastAsia="Times New Roman"/>
          <w:sz w:val="20"/>
          <w:szCs w:val="20"/>
        </w:rPr>
        <w:t>●</w:t>
      </w:r>
      <w:r>
        <w:rPr>
          <w:rFonts w:eastAsia="Times New Roman"/>
          <w:sz w:val="20"/>
          <w:szCs w:val="20"/>
        </w:rPr>
        <w:t>c</w:t>
      </w:r>
      <w:r>
        <w:rPr>
          <w:rFonts w:eastAsia="Times New Roman"/>
          <w:sz w:val="20"/>
          <w:szCs w:val="20"/>
        </w:rPr>
        <w:t>hanges in the standard of care for the targeted indications for such product candidates;</w:t>
      </w:r>
    </w:p>
    <w:p w:rsidR="00000000" w:rsidRDefault="00F22B2C">
      <w:pPr>
        <w:ind w:left="547" w:hanging="360"/>
        <w:divId w:val="1446926116"/>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rsidR="00000000" w:rsidRDefault="00F22B2C">
      <w:pPr>
        <w:ind w:left="547" w:hanging="360"/>
        <w:divId w:val="308829443"/>
        <w:rPr>
          <w:rFonts w:eastAsia="Times New Roman"/>
          <w:sz w:val="20"/>
          <w:szCs w:val="20"/>
        </w:rPr>
      </w:pPr>
      <w:r>
        <w:rPr>
          <w:rFonts w:eastAsia="Times New Roman"/>
          <w:sz w:val="20"/>
          <w:szCs w:val="20"/>
        </w:rPr>
        <w:t>●</w:t>
      </w:r>
      <w:r>
        <w:rPr>
          <w:rFonts w:eastAsia="Times New Roman"/>
          <w:sz w:val="20"/>
          <w:szCs w:val="20"/>
        </w:rPr>
        <w:t>cost of treatment versus economic and clinical benefit in relation to alternative treatments or</w:t>
      </w:r>
      <w:r>
        <w:rPr>
          <w:rFonts w:eastAsia="Times New Roman"/>
          <w:sz w:val="20"/>
          <w:szCs w:val="20"/>
        </w:rPr>
        <w:t xml:space="preserve"> therapies;</w:t>
      </w:r>
    </w:p>
    <w:p w:rsidR="00000000" w:rsidRDefault="00F22B2C">
      <w:pPr>
        <w:ind w:left="547" w:hanging="360"/>
        <w:divId w:val="1846480575"/>
        <w:rPr>
          <w:rFonts w:eastAsia="Times New Roman"/>
          <w:sz w:val="20"/>
          <w:szCs w:val="20"/>
        </w:rPr>
      </w:pPr>
      <w:r>
        <w:rPr>
          <w:rFonts w:eastAsia="Times New Roman"/>
          <w:sz w:val="20"/>
          <w:szCs w:val="20"/>
        </w:rPr>
        <w:t>●</w:t>
      </w:r>
      <w:r>
        <w:rPr>
          <w:rFonts w:eastAsia="Times New Roman"/>
          <w:sz w:val="20"/>
          <w:szCs w:val="20"/>
        </w:rPr>
        <w:t>the availability of adequate coverage or reimbursement by third parties, such as insurance companies and other healthcare payors, and by government healthcare programs, including Medicare and Medicaid;</w:t>
      </w:r>
    </w:p>
    <w:p w:rsidR="00000000" w:rsidRDefault="00F22B2C">
      <w:pPr>
        <w:ind w:left="547" w:hanging="360"/>
        <w:divId w:val="1042439653"/>
        <w:rPr>
          <w:rFonts w:eastAsia="Times New Roman"/>
          <w:sz w:val="20"/>
          <w:szCs w:val="20"/>
        </w:rPr>
      </w:pPr>
      <w:r>
        <w:rPr>
          <w:rFonts w:eastAsia="Times New Roman"/>
          <w:sz w:val="20"/>
          <w:szCs w:val="20"/>
        </w:rPr>
        <w:t>●</w:t>
      </w:r>
      <w:r>
        <w:rPr>
          <w:rFonts w:eastAsia="Times New Roman"/>
          <w:sz w:val="20"/>
          <w:szCs w:val="20"/>
        </w:rPr>
        <w:t>the extent and strength of our marketing</w:t>
      </w:r>
      <w:r>
        <w:rPr>
          <w:rFonts w:eastAsia="Times New Roman"/>
          <w:sz w:val="20"/>
          <w:szCs w:val="20"/>
        </w:rPr>
        <w:t xml:space="preserve"> and distribution of such product candidates;</w:t>
      </w:r>
    </w:p>
    <w:p w:rsidR="00000000" w:rsidRDefault="00F22B2C">
      <w:pPr>
        <w:ind w:left="547" w:hanging="360"/>
        <w:divId w:val="722757434"/>
        <w:rPr>
          <w:rFonts w:eastAsia="Times New Roman"/>
          <w:sz w:val="20"/>
          <w:szCs w:val="20"/>
        </w:rPr>
      </w:pPr>
      <w:r>
        <w:rPr>
          <w:rFonts w:eastAsia="Times New Roman"/>
          <w:sz w:val="20"/>
          <w:szCs w:val="20"/>
        </w:rPr>
        <w:t>●</w:t>
      </w:r>
      <w:r>
        <w:rPr>
          <w:rFonts w:eastAsia="Times New Roman"/>
          <w:sz w:val="20"/>
          <w:szCs w:val="20"/>
        </w:rPr>
        <w:t>the safety, efficacy, and other potential advantages over, and availability of, alternative treatments already used or that may later be approved for any of our intended indications;</w:t>
      </w:r>
    </w:p>
    <w:p w:rsidR="00000000" w:rsidRDefault="00F22B2C">
      <w:pPr>
        <w:ind w:left="547" w:hanging="360"/>
        <w:divId w:val="980812012"/>
        <w:rPr>
          <w:rFonts w:eastAsia="Times New Roman"/>
          <w:sz w:val="20"/>
          <w:szCs w:val="20"/>
        </w:rPr>
      </w:pPr>
      <w:r>
        <w:rPr>
          <w:rFonts w:eastAsia="Times New Roman"/>
          <w:sz w:val="20"/>
          <w:szCs w:val="20"/>
        </w:rPr>
        <w:t>●</w:t>
      </w:r>
      <w:r>
        <w:rPr>
          <w:rFonts w:eastAsia="Times New Roman"/>
          <w:sz w:val="20"/>
          <w:szCs w:val="20"/>
        </w:rPr>
        <w:t>distribution and use rest</w:t>
      </w:r>
      <w:r>
        <w:rPr>
          <w:rFonts w:eastAsia="Times New Roman"/>
          <w:sz w:val="20"/>
          <w:szCs w:val="20"/>
        </w:rPr>
        <w:t>rictions imposed by the FDA with respect to such product candidates or to which we agree as part of a mandatory risk evaluation and mitigation strategy or voluntary risk management plan;</w:t>
      </w:r>
    </w:p>
    <w:p w:rsidR="00000000" w:rsidRDefault="00F22B2C">
      <w:pPr>
        <w:ind w:left="547" w:hanging="360"/>
        <w:divId w:val="1686665359"/>
        <w:rPr>
          <w:rFonts w:eastAsia="Times New Roman"/>
          <w:sz w:val="20"/>
          <w:szCs w:val="20"/>
        </w:rPr>
      </w:pPr>
      <w:r>
        <w:rPr>
          <w:rFonts w:eastAsia="Times New Roman"/>
          <w:sz w:val="20"/>
          <w:szCs w:val="20"/>
        </w:rPr>
        <w:t>●</w:t>
      </w:r>
      <w:r>
        <w:rPr>
          <w:rFonts w:eastAsia="Times New Roman"/>
          <w:sz w:val="20"/>
          <w:szCs w:val="20"/>
        </w:rPr>
        <w:t>the timing of market introduction of such product candidates, as wel</w:t>
      </w:r>
      <w:r>
        <w:rPr>
          <w:rFonts w:eastAsia="Times New Roman"/>
          <w:sz w:val="20"/>
          <w:szCs w:val="20"/>
        </w:rPr>
        <w:t>l as competitive products;</w:t>
      </w:r>
    </w:p>
    <w:p w:rsidR="00000000" w:rsidRDefault="00F22B2C">
      <w:pPr>
        <w:ind w:left="547" w:hanging="360"/>
        <w:divId w:val="614335694"/>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rsidR="00000000" w:rsidRDefault="00F22B2C">
      <w:pPr>
        <w:ind w:left="547" w:hanging="360"/>
        <w:divId w:val="1297299160"/>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physicians to prescribe these therapies;</w:t>
      </w:r>
    </w:p>
    <w:p w:rsidR="00000000" w:rsidRDefault="00F22B2C">
      <w:pPr>
        <w:ind w:left="547" w:hanging="360"/>
        <w:divId w:val="623998182"/>
        <w:rPr>
          <w:rFonts w:eastAsia="Times New Roman"/>
          <w:sz w:val="20"/>
          <w:szCs w:val="20"/>
        </w:rPr>
      </w:pPr>
      <w:r>
        <w:rPr>
          <w:rFonts w:eastAsia="Times New Roman"/>
          <w:sz w:val="20"/>
          <w:szCs w:val="20"/>
        </w:rPr>
        <w:t>●</w:t>
      </w:r>
      <w:r>
        <w:rPr>
          <w:rFonts w:eastAsia="Times New Roman"/>
          <w:sz w:val="20"/>
          <w:szCs w:val="20"/>
        </w:rPr>
        <w:t xml:space="preserve">the extent and strength of our </w:t>
      </w:r>
      <w:r>
        <w:rPr>
          <w:rFonts w:eastAsia="Times New Roman"/>
          <w:sz w:val="20"/>
          <w:szCs w:val="20"/>
        </w:rPr>
        <w:t>third-party manufacturer and supplier support;</w:t>
      </w:r>
    </w:p>
    <w:p w:rsidR="00000000" w:rsidRDefault="00F22B2C">
      <w:pPr>
        <w:ind w:left="547" w:hanging="360"/>
        <w:divId w:val="1390570812"/>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indications;</w:t>
      </w:r>
    </w:p>
    <w:p w:rsidR="00000000" w:rsidRDefault="00F22B2C">
      <w:pPr>
        <w:ind w:left="547" w:hanging="360"/>
        <w:divId w:val="749430051"/>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products; and</w:t>
      </w:r>
    </w:p>
    <w:p w:rsidR="00000000" w:rsidRDefault="00F22B2C">
      <w:pPr>
        <w:ind w:left="547" w:hanging="360"/>
        <w:divId w:val="399593763"/>
        <w:rPr>
          <w:rFonts w:eastAsia="Times New Roman"/>
          <w:sz w:val="20"/>
          <w:szCs w:val="20"/>
        </w:rPr>
      </w:pPr>
      <w:r>
        <w:rPr>
          <w:rFonts w:eastAsia="Times New Roman"/>
          <w:sz w:val="20"/>
          <w:szCs w:val="20"/>
        </w:rPr>
        <w:t>●</w:t>
      </w:r>
      <w:r>
        <w:rPr>
          <w:rFonts w:eastAsia="Times New Roman"/>
          <w:sz w:val="20"/>
          <w:szCs w:val="20"/>
        </w:rPr>
        <w:t>potential product liability claims.</w:t>
      </w:r>
    </w:p>
    <w:p w:rsidR="00000000" w:rsidRDefault="00F22B2C">
      <w:pPr>
        <w:pStyle w:val="a3"/>
        <w:spacing w:before="0" w:beforeAutospacing="0" w:after="200" w:afterAutospacing="0"/>
        <w:ind w:firstLine="540"/>
        <w:divId w:val="1364406018"/>
        <w:rPr>
          <w:sz w:val="20"/>
          <w:szCs w:val="20"/>
        </w:rPr>
      </w:pPr>
      <w:r>
        <w:rPr>
          <w:sz w:val="20"/>
          <w:szCs w:val="20"/>
        </w:rPr>
        <w:t xml:space="preserve">Our efforts to educate the medical community and third-party payors on the benefits of our product candidates may require significant resources and may never be successful. Even if the medical community accepts that our </w:t>
      </w:r>
      <w:r>
        <w:rPr>
          <w:sz w:val="20"/>
          <w:szCs w:val="20"/>
        </w:rPr>
        <w:t>product candidates are safe and effective for their approved indications, physicians and patients may not immediately be receptive to such product candidates and may be slow to adopt them as an accepted treatment of the approved indications. If our current</w:t>
      </w:r>
      <w:r>
        <w:rPr>
          <w:sz w:val="20"/>
          <w:szCs w:val="20"/>
        </w:rPr>
        <w:t xml:space="preserve"> or future product candidates are approved but do not achieve an adequate level of acceptance among physicians, patients, and third-party payors, we may not generate meaningful revenues from our product candidates, and we may not become profitable.</w:t>
      </w:r>
    </w:p>
    <w:p w:rsidR="00000000" w:rsidRDefault="00F22B2C">
      <w:pPr>
        <w:pStyle w:val="a3"/>
        <w:spacing w:before="0" w:beforeAutospacing="0" w:after="200" w:afterAutospacing="0"/>
        <w:ind w:firstLine="540"/>
        <w:divId w:val="1364406018"/>
        <w:rPr>
          <w:sz w:val="20"/>
          <w:szCs w:val="20"/>
        </w:rPr>
      </w:pPr>
      <w:r>
        <w:rPr>
          <w:b/>
          <w:bCs/>
          <w:i/>
          <w:iCs/>
          <w:sz w:val="20"/>
          <w:szCs w:val="20"/>
        </w:rPr>
        <w:t>Our pro</w:t>
      </w:r>
      <w:r>
        <w:rPr>
          <w:b/>
          <w:bCs/>
          <w:i/>
          <w:iCs/>
          <w:sz w:val="20"/>
          <w:szCs w:val="20"/>
        </w:rPr>
        <w:t>duct candidates may face competition sooner than anticipated.</w:t>
      </w:r>
    </w:p>
    <w:p w:rsidR="00000000" w:rsidRDefault="00F22B2C">
      <w:pPr>
        <w:pStyle w:val="a3"/>
        <w:spacing w:before="0" w:beforeAutospacing="0" w:after="200" w:afterAutospacing="0"/>
        <w:ind w:firstLine="540"/>
        <w:divId w:val="1364406018"/>
        <w:rPr>
          <w:sz w:val="20"/>
          <w:szCs w:val="20"/>
        </w:rPr>
      </w:pPr>
      <w:r>
        <w:rPr>
          <w:sz w:val="20"/>
          <w:szCs w:val="20"/>
        </w:rPr>
        <w:t>The enactment of the BPCIA created an abbreviated pathway for the approval of biosimilar and interchangeable biological products. The abbreviated regulatory pathway establishes legal authority f</w:t>
      </w:r>
      <w:r>
        <w:rPr>
          <w:sz w:val="20"/>
          <w:szCs w:val="20"/>
        </w:rPr>
        <w:t>or the FDA to review and approve biosimilar biologics, including the possible designation of a biosimilar as “interchangeable” based on its similarity to an existing brand product. Under the BPCIA, the FDA cannot make an approval of an application for a bi</w:t>
      </w:r>
      <w:r>
        <w:rPr>
          <w:sz w:val="20"/>
          <w:szCs w:val="20"/>
        </w:rPr>
        <w:t xml:space="preserve">osimilar product effective until 12 years after the original branded product was approved under a BLA. Certain changes, however, and supplements to an approved BLA, and subsequent applications filed by the same sponsor, manufacturer, licensor, predecessor </w:t>
      </w:r>
      <w:r>
        <w:rPr>
          <w:sz w:val="20"/>
          <w:szCs w:val="20"/>
        </w:rPr>
        <w:t>in interest, or other related entity do not qualify for the 12-year exclusivity period.</w:t>
      </w:r>
    </w:p>
    <w:p w:rsidR="00000000" w:rsidRDefault="00F22B2C">
      <w:pPr>
        <w:pStyle w:val="a3"/>
        <w:spacing w:before="0" w:beforeAutospacing="0" w:after="0" w:afterAutospacing="0"/>
        <w:ind w:firstLine="540"/>
        <w:divId w:val="1364406018"/>
        <w:rPr>
          <w:sz w:val="20"/>
          <w:szCs w:val="20"/>
        </w:rPr>
      </w:pPr>
      <w:r>
        <w:rPr>
          <w:sz w:val="20"/>
          <w:szCs w:val="20"/>
        </w:rPr>
        <w:t>Our product candidates may qualify for the BPCIA’s 12-year period of exclusivity. However, there is a risk that the FDA will not consider our product candidates to be r</w:t>
      </w:r>
      <w:r>
        <w:rPr>
          <w:sz w:val="20"/>
          <w:szCs w:val="20"/>
        </w:rPr>
        <w:t>eference products for competing products, potentially creating the opportunity for biosimilar competition sooner than anticipated. Additionally, this period of regulatory exclusivity does not block companies pursuing regulatory approval via their own tradi</w:t>
      </w:r>
      <w:r>
        <w:rPr>
          <w:sz w:val="20"/>
          <w:szCs w:val="20"/>
        </w:rPr>
        <w:t>tional BLA, rather than via the abbreviated pathway. Changes may also be made to this exclusivity period as a result of future legislation as there has been ongoing efforts to reduce the period of exclusivity. Even if we receive a period of BPCIA exclusivi</w:t>
      </w:r>
      <w:r>
        <w:rPr>
          <w:sz w:val="20"/>
          <w:szCs w:val="20"/>
        </w:rPr>
        <w:t xml:space="preserve">ty for our first licensed product, if subsequent products do not include a modification to the </w:t>
      </w:r>
    </w:p>
    <w:p w:rsidR="00000000" w:rsidRDefault="00F22B2C">
      <w:pPr>
        <w:pStyle w:val="a3"/>
        <w:spacing w:before="480" w:beforeAutospacing="0" w:after="0" w:afterAutospacing="0"/>
        <w:jc w:val="center"/>
        <w:divId w:val="13306805"/>
        <w:rPr>
          <w:sz w:val="20"/>
          <w:szCs w:val="20"/>
        </w:rPr>
      </w:pPr>
      <w:r>
        <w:rPr>
          <w:sz w:val="20"/>
          <w:szCs w:val="20"/>
        </w:rPr>
        <w:t>64</w:t>
      </w:r>
    </w:p>
    <w:p w:rsidR="00000000" w:rsidRDefault="00F22B2C">
      <w:pPr>
        <w:pStyle w:val="a3"/>
        <w:spacing w:before="0" w:beforeAutospacing="0" w:after="600" w:afterAutospacing="0"/>
        <w:divId w:val="1137842193"/>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1304895059"/>
        <w:rPr>
          <w:sz w:val="20"/>
          <w:szCs w:val="20"/>
        </w:rPr>
      </w:pPr>
      <w:r>
        <w:rPr>
          <w:sz w:val="20"/>
          <w:szCs w:val="20"/>
        </w:rPr>
        <w:t>structure of the product that impacts safety, purity, or potency, we may not receive additional periods of exclus</w:t>
      </w:r>
      <w:r>
        <w:rPr>
          <w:sz w:val="20"/>
          <w:szCs w:val="20"/>
        </w:rPr>
        <w:t>ivity for those products. Moreover, the extent to which a biosimilar, once approved, will be substituted for any one of our reference products in a way that is similar to traditional generic substitution for non-biological products is not yet clear, and wi</w:t>
      </w:r>
      <w:r>
        <w:rPr>
          <w:sz w:val="20"/>
          <w:szCs w:val="20"/>
        </w:rPr>
        <w:t>ll depend on a number of marketplace and regulatory factors that are still developing. Medicare Part B encourages use of biosimilars by paying the provider the same percentage of the reference product, average sale price, or ASP as a mark-up, regardless of</w:t>
      </w:r>
      <w:r>
        <w:rPr>
          <w:sz w:val="20"/>
          <w:szCs w:val="20"/>
        </w:rPr>
        <w:t xml:space="preserve"> which product is reimbursed. It is also possible that payors will give reimbursement preference to biosimilars even over reference biologics absent a determination of interchangeability.</w:t>
      </w:r>
    </w:p>
    <w:p w:rsidR="00000000" w:rsidRDefault="00F22B2C">
      <w:pPr>
        <w:pStyle w:val="a3"/>
        <w:spacing w:before="0" w:beforeAutospacing="0" w:after="200" w:afterAutospacing="0"/>
        <w:ind w:firstLine="540"/>
        <w:divId w:val="1304895059"/>
        <w:rPr>
          <w:sz w:val="20"/>
          <w:szCs w:val="20"/>
        </w:rPr>
      </w:pPr>
      <w:r>
        <w:rPr>
          <w:b/>
          <w:bCs/>
          <w:i/>
          <w:iCs/>
          <w:sz w:val="20"/>
          <w:szCs w:val="20"/>
        </w:rPr>
        <w:t xml:space="preserve">We will need to obtain FDA approval of any proposed branded product </w:t>
      </w:r>
      <w:r>
        <w:rPr>
          <w:b/>
          <w:bCs/>
          <w:i/>
          <w:iCs/>
          <w:sz w:val="20"/>
          <w:szCs w:val="20"/>
        </w:rPr>
        <w:t>names, and any failure or delay associated with such approval may adversely affect our business.</w:t>
      </w:r>
    </w:p>
    <w:p w:rsidR="00000000" w:rsidRDefault="00F22B2C">
      <w:pPr>
        <w:pStyle w:val="a3"/>
        <w:spacing w:before="0" w:beforeAutospacing="0" w:after="200" w:afterAutospacing="0"/>
        <w:ind w:firstLine="540"/>
        <w:divId w:val="1304895059"/>
        <w:rPr>
          <w:sz w:val="20"/>
          <w:szCs w:val="20"/>
        </w:rPr>
      </w:pPr>
      <w:r>
        <w:rPr>
          <w:sz w:val="20"/>
          <w:szCs w:val="20"/>
        </w:rPr>
        <w:t>Any name we intend to use for our product candidates will require approval from the FDA regardless of whether we have secured a formal trademark registration f</w:t>
      </w:r>
      <w:r>
        <w:rPr>
          <w:sz w:val="20"/>
          <w:szCs w:val="20"/>
        </w:rPr>
        <w:t>rom the U.S. Patent and Trademark Office, or USPTO. The FDA typically conducts a review of proposed product names, including an evaluation of the potential for confusion with other product names. The FDA may also object to a product name if it believes the</w:t>
      </w:r>
      <w:r>
        <w:rPr>
          <w:sz w:val="20"/>
          <w:szCs w:val="20"/>
        </w:rPr>
        <w:t xml:space="preserve"> name inappropriately implies medical claims or contributes to an overstatement of efficacy. If the FDA objects to any of our proposed product names, we may be required to adopt alternative names for our product candidates. If we adopt alternative names, w</w:t>
      </w:r>
      <w:r>
        <w:rPr>
          <w:sz w:val="20"/>
          <w:szCs w:val="20"/>
        </w:rPr>
        <w:t>e would lose the benefit of any existing trademark applications for such product candidate and may be required to expend significant additional resources in an effort to identify a suitable product name that would qualify under applicable trademark laws, n</w:t>
      </w:r>
      <w:r>
        <w:rPr>
          <w:sz w:val="20"/>
          <w:szCs w:val="20"/>
        </w:rPr>
        <w:t>ot infringe the existing rights of third parties, and be acceptable to the FDA. We may be unable to build a successful brand identity for a new trademark in a timely manner or at all, which would limit our ability to commercialize our product candidates.</w:t>
      </w:r>
    </w:p>
    <w:p w:rsidR="00000000" w:rsidRDefault="00F22B2C">
      <w:pPr>
        <w:pStyle w:val="a3"/>
        <w:spacing w:before="0" w:beforeAutospacing="0" w:after="200" w:afterAutospacing="0"/>
        <w:ind w:firstLine="540"/>
        <w:divId w:val="1304895059"/>
        <w:rPr>
          <w:sz w:val="20"/>
          <w:szCs w:val="20"/>
        </w:rPr>
      </w:pPr>
      <w:r>
        <w:rPr>
          <w:b/>
          <w:bCs/>
          <w:i/>
          <w:iCs/>
          <w:sz w:val="20"/>
          <w:szCs w:val="20"/>
        </w:rPr>
        <w:t>O</w:t>
      </w:r>
      <w:r>
        <w:rPr>
          <w:b/>
          <w:bCs/>
          <w:i/>
          <w:iCs/>
          <w:sz w:val="20"/>
          <w:szCs w:val="20"/>
        </w:rPr>
        <w:t>ur internal computer systems, or those used by our contract research organizations or other contractors or consultants, may fail or suffer security breaches.</w:t>
      </w:r>
    </w:p>
    <w:p w:rsidR="00000000" w:rsidRDefault="00F22B2C">
      <w:pPr>
        <w:pStyle w:val="a3"/>
        <w:spacing w:before="0" w:beforeAutospacing="0" w:after="200" w:afterAutospacing="0"/>
        <w:ind w:firstLine="540"/>
        <w:divId w:val="1304895059"/>
        <w:rPr>
          <w:sz w:val="20"/>
          <w:szCs w:val="20"/>
        </w:rPr>
      </w:pPr>
      <w:r>
        <w:rPr>
          <w:sz w:val="20"/>
          <w:szCs w:val="20"/>
        </w:rPr>
        <w:t>Despite the implementation of security measures, our internal computer systems and those of our co</w:t>
      </w:r>
      <w:r>
        <w:rPr>
          <w:sz w:val="20"/>
          <w:szCs w:val="20"/>
        </w:rPr>
        <w:t>ntract research organizations and other contractors and consultants are vulnerable to damage from computer viruses, unauthorized and authorized access, natural disasters, terrorism, war and telecommunication and electrical failures. If such an event was to</w:t>
      </w:r>
      <w:r>
        <w:rPr>
          <w:sz w:val="20"/>
          <w:szCs w:val="20"/>
        </w:rPr>
        <w:t xml:space="preserve"> occur and cause interruptions in our operations, it could result in a disruption of our drug development programs. For example, the loss of clinical trial data from completed or ongoing clinical trials for a product candidate could result in delays in our</w:t>
      </w:r>
      <w:r>
        <w:rPr>
          <w:sz w:val="20"/>
          <w:szCs w:val="20"/>
        </w:rPr>
        <w:t xml:space="preserve"> regulatory approval efforts and significantly increase our costs to recover or reproduce the data. To the extent that any disruption or security breach were to result in a loss of or damage to our data or applications, or inappropriate disclosure of confi</w:t>
      </w:r>
      <w:r>
        <w:rPr>
          <w:sz w:val="20"/>
          <w:szCs w:val="20"/>
        </w:rPr>
        <w:t>dential or proprietary information, we could incur liability and the further development of any product candidates could be delayed.</w:t>
      </w:r>
    </w:p>
    <w:p w:rsidR="00000000" w:rsidRDefault="00F22B2C">
      <w:pPr>
        <w:pStyle w:val="a3"/>
        <w:spacing w:before="0" w:beforeAutospacing="0" w:after="200" w:afterAutospacing="0"/>
        <w:ind w:firstLine="540"/>
        <w:jc w:val="both"/>
        <w:divId w:val="1304895059"/>
        <w:rPr>
          <w:sz w:val="20"/>
          <w:szCs w:val="20"/>
        </w:rPr>
      </w:pPr>
      <w:r>
        <w:rPr>
          <w:b/>
          <w:bCs/>
          <w:i/>
          <w:iCs/>
          <w:sz w:val="20"/>
          <w:szCs w:val="20"/>
        </w:rPr>
        <w:t>We are dependent on information technology, systems, infrastructure and data.</w:t>
      </w:r>
    </w:p>
    <w:p w:rsidR="00000000" w:rsidRDefault="00F22B2C">
      <w:pPr>
        <w:pStyle w:val="a3"/>
        <w:spacing w:before="0" w:beforeAutospacing="0" w:after="200" w:afterAutospacing="0"/>
        <w:ind w:firstLine="540"/>
        <w:divId w:val="1304895059"/>
        <w:rPr>
          <w:sz w:val="20"/>
          <w:szCs w:val="20"/>
        </w:rPr>
      </w:pPr>
      <w:r>
        <w:rPr>
          <w:sz w:val="20"/>
          <w:szCs w:val="20"/>
        </w:rPr>
        <w:t xml:space="preserve">We are dependent upon information technology </w:t>
      </w:r>
      <w:r>
        <w:rPr>
          <w:sz w:val="20"/>
          <w:szCs w:val="20"/>
        </w:rPr>
        <w:t>systems, infrastructure and data. The multitude and complexity of our computer systems make them inherently vulnerable to service interruption or destruction, malicious intrusion and random attack. Likewise, data privacy or security breaches by third parti</w:t>
      </w:r>
      <w:r>
        <w:rPr>
          <w:sz w:val="20"/>
          <w:szCs w:val="20"/>
        </w:rPr>
        <w:t>es, employees, contractors or others may pose a risk that sensitive data, including our intellectual property, trade secrets or personal information of our employees, patients, or other business partners may be exposed to unauthorized persons or to the pub</w:t>
      </w:r>
      <w:r>
        <w:rPr>
          <w:sz w:val="20"/>
          <w:szCs w:val="20"/>
        </w:rPr>
        <w:t>lic. Cyberattacks are increasing in their frequency, sophistication and intensity. Cyberattacks could include the deployment of harmful malware, denial-of-service, ransomware, social engineering and other means to affect service reliability and threaten da</w:t>
      </w:r>
      <w:r>
        <w:rPr>
          <w:sz w:val="20"/>
          <w:szCs w:val="20"/>
        </w:rPr>
        <w:t>ta confidentiality, privacy, integrity and availability. Our business and technology partners face similar risks and any security breach of their systems could adversely affect our security posture. While we have invested, and continue to invest, in the pr</w:t>
      </w:r>
      <w:r>
        <w:rPr>
          <w:sz w:val="20"/>
          <w:szCs w:val="20"/>
        </w:rPr>
        <w:t>otection of our data and information technology infrastructure, there can be no assurance that our efforts, or the efforts of our partners and vendors, will prevent service interruptions, or identify breaches in our systems, that could adversely affect our</w:t>
      </w:r>
      <w:r>
        <w:rPr>
          <w:sz w:val="20"/>
          <w:szCs w:val="20"/>
        </w:rPr>
        <w:t xml:space="preserve"> business and operations and/or result in the loss of critical or sensitive information, which could result in financial, legal, business or reputational harm to us. In addition, our liability insurance may not be sufficient in type or amount to cover us a</w:t>
      </w:r>
      <w:r>
        <w:rPr>
          <w:sz w:val="20"/>
          <w:szCs w:val="20"/>
        </w:rPr>
        <w:t>gainst claims related to security breaches, cyberattacks and other related breaches.</w:t>
      </w:r>
    </w:p>
    <w:p w:rsidR="00000000" w:rsidRDefault="00F22B2C">
      <w:pPr>
        <w:pStyle w:val="a3"/>
        <w:spacing w:before="0" w:beforeAutospacing="0" w:after="200" w:afterAutospacing="0"/>
        <w:ind w:firstLine="547"/>
        <w:divId w:val="1304895059"/>
        <w:rPr>
          <w:sz w:val="20"/>
          <w:szCs w:val="20"/>
        </w:rPr>
      </w:pPr>
      <w:r>
        <w:rPr>
          <w:b/>
          <w:bCs/>
          <w:i/>
          <w:iCs/>
          <w:sz w:val="20"/>
          <w:szCs w:val="20"/>
        </w:rPr>
        <w:t xml:space="preserve">Our business could be adversely affected by the effects of health epidemics, including the recent spread of the COVID-19 pandemic, in regions where we or third parties on </w:t>
      </w:r>
      <w:r>
        <w:rPr>
          <w:b/>
          <w:bCs/>
          <w:i/>
          <w:iCs/>
          <w:sz w:val="20"/>
          <w:szCs w:val="20"/>
        </w:rPr>
        <w:t>which we rely have significant manufacturing facilities, concentrations of clinical trial sites or other business operations. The COVID-19 pandemic could materially affect our operations, including at our headquarters in San Carlos, California, at our manu</w:t>
      </w:r>
      <w:r>
        <w:rPr>
          <w:b/>
          <w:bCs/>
          <w:i/>
          <w:iCs/>
          <w:sz w:val="20"/>
          <w:szCs w:val="20"/>
        </w:rPr>
        <w:t>facturing facility in Philadelphia, Pennsylvania, and at our clinical trial sites, as well as the business or operations of our other manufacturers, CROs or other third parties with whom we conduct business.</w:t>
      </w:r>
    </w:p>
    <w:p w:rsidR="00000000" w:rsidRDefault="00F22B2C">
      <w:pPr>
        <w:pStyle w:val="a3"/>
        <w:spacing w:before="0" w:beforeAutospacing="0" w:after="0" w:afterAutospacing="0"/>
        <w:ind w:firstLine="547"/>
        <w:divId w:val="1304895059"/>
        <w:rPr>
          <w:sz w:val="20"/>
          <w:szCs w:val="20"/>
        </w:rPr>
      </w:pPr>
      <w:r>
        <w:rPr>
          <w:sz w:val="20"/>
          <w:szCs w:val="20"/>
        </w:rPr>
        <w:t>Our business could be adversely affected by heal</w:t>
      </w:r>
      <w:r>
        <w:rPr>
          <w:sz w:val="20"/>
          <w:szCs w:val="20"/>
        </w:rPr>
        <w:t xml:space="preserve">th epidemics in regions where we have offices, manufacturing facilities, concentrations of clinical trial sites or other business operations, and could cause significant disruption in the operations of clinical </w:t>
      </w:r>
    </w:p>
    <w:p w:rsidR="00000000" w:rsidRDefault="00F22B2C">
      <w:pPr>
        <w:pStyle w:val="a3"/>
        <w:spacing w:before="480" w:beforeAutospacing="0" w:after="0" w:afterAutospacing="0"/>
        <w:jc w:val="center"/>
        <w:divId w:val="1571227552"/>
        <w:rPr>
          <w:sz w:val="20"/>
          <w:szCs w:val="20"/>
        </w:rPr>
      </w:pPr>
      <w:r>
        <w:rPr>
          <w:sz w:val="20"/>
          <w:szCs w:val="20"/>
        </w:rPr>
        <w:t>65</w:t>
      </w:r>
    </w:p>
    <w:p w:rsidR="00000000" w:rsidRDefault="00F22B2C">
      <w:pPr>
        <w:pStyle w:val="a3"/>
        <w:spacing w:before="0" w:beforeAutospacing="0" w:after="600" w:afterAutospacing="0"/>
        <w:divId w:val="229734557"/>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1077285227"/>
        <w:rPr>
          <w:sz w:val="20"/>
          <w:szCs w:val="20"/>
        </w:rPr>
      </w:pPr>
      <w:r>
        <w:rPr>
          <w:sz w:val="20"/>
          <w:szCs w:val="20"/>
        </w:rPr>
        <w:t>trial sites, third party manufacturers and CROs upon whom we rely. For example, starting in December 2019, a novel strain of coronavirus (“COVID-19”) was reported to have surfaced in Wuhan, China and has spread t</w:t>
      </w:r>
      <w:r>
        <w:rPr>
          <w:sz w:val="20"/>
          <w:szCs w:val="20"/>
        </w:rPr>
        <w:t>o multiple countries, including the U.S. and several European countries. In March 2020, the World Health Organization declared COVID-19 a global pandemic and the U.S. declared the COVID-19 pandemic a national emergency. Similarly, during that time, the Sta</w:t>
      </w:r>
      <w:r>
        <w:rPr>
          <w:sz w:val="20"/>
          <w:szCs w:val="20"/>
        </w:rPr>
        <w:t>te of California declared a state of emergency related to the spread of the COVID-19 pandemic and the health officers of six San Francisco Bay Area counties, including San Mateo County where our headquarters in San Carlos is located, issued shelter-in-plac</w:t>
      </w:r>
      <w:r>
        <w:rPr>
          <w:sz w:val="20"/>
          <w:szCs w:val="20"/>
        </w:rPr>
        <w:t>e orders. In addition, on March 19, 2020, the Governor of California and the State Public Health Officer and Director of the California Department of Public Health ordered all individuals living in the State of California to stay at their place of residenc</w:t>
      </w:r>
      <w:r>
        <w:rPr>
          <w:sz w:val="20"/>
          <w:szCs w:val="20"/>
        </w:rPr>
        <w:t>e for an indefinite period of time (subject to certain exceptions to facilitate authorized necessary activities) to mitigate the impact of the COVID-19 pandemic. Similar executive orders have been issued by state and local governments in Pennsylvania, Flor</w:t>
      </w:r>
      <w:r>
        <w:rPr>
          <w:sz w:val="20"/>
          <w:szCs w:val="20"/>
        </w:rPr>
        <w:t>ida, and elsewhere, and states of emergency have been declared at the state and local level in most jurisdictions throughout the U.S.</w:t>
      </w:r>
    </w:p>
    <w:p w:rsidR="00000000" w:rsidRDefault="00F22B2C">
      <w:pPr>
        <w:pStyle w:val="a3"/>
        <w:spacing w:before="0" w:beforeAutospacing="0" w:after="200" w:afterAutospacing="0"/>
        <w:ind w:firstLine="547"/>
        <w:divId w:val="1077285227"/>
        <w:rPr>
          <w:sz w:val="20"/>
          <w:szCs w:val="20"/>
        </w:rPr>
      </w:pPr>
      <w:r>
        <w:rPr>
          <w:sz w:val="20"/>
          <w:szCs w:val="20"/>
        </w:rPr>
        <w:t>Quarantines, shelter-in-place and similar government orders, or the perception that such orders, shutdowns or other restri</w:t>
      </w:r>
      <w:r>
        <w:rPr>
          <w:sz w:val="20"/>
          <w:szCs w:val="20"/>
        </w:rPr>
        <w:t>ctions on the conduct of business operations could occur, related to the COVID-19 pandemic or other infectious diseases could impact personnel at third-party manufacturing facilities in the U.S. and other countries, or the availability or cost of materials</w:t>
      </w:r>
      <w:r>
        <w:rPr>
          <w:sz w:val="20"/>
          <w:szCs w:val="20"/>
        </w:rPr>
        <w:t>, which would disrupt our supply chain. In addition, our clinical trials may be affected by the COVID-19 pandemic. Clinical site initiation, patient enrollment and patient monitoring may be delayed due to prioritization of hospital resources toward the COV</w:t>
      </w:r>
      <w:r>
        <w:rPr>
          <w:sz w:val="20"/>
          <w:szCs w:val="20"/>
        </w:rPr>
        <w:t>ID-19 pandemic. Some sites may no longer be available to see patients for clinical trials. Some patients may not be able to comply with clinical trial protocols if quarantines impede patient movement or interrupt healthcare services. Patients may also miss</w:t>
      </w:r>
      <w:r>
        <w:rPr>
          <w:sz w:val="20"/>
          <w:szCs w:val="20"/>
        </w:rPr>
        <w:t xml:space="preserve"> follow-up visits after receiving our therapies during our clinical trials, which may or may not be rectified by future patient visits and which may result in the exclusion of data from such patients from the clinical trial data. Similarly, our ability to </w:t>
      </w:r>
      <w:r>
        <w:rPr>
          <w:sz w:val="20"/>
          <w:szCs w:val="20"/>
        </w:rPr>
        <w:t>recruit and retain patients and principal investigators and site staff who, as healthcare providers, may have heightened exposure to the virus that causes the COVID-19 pandemic and adversely impact our clinical trial operations. The COVID-19 pandemic may a</w:t>
      </w:r>
      <w:r>
        <w:rPr>
          <w:sz w:val="20"/>
          <w:szCs w:val="20"/>
        </w:rPr>
        <w:t>lso affect our ability to recruit treatment-naïve patients into our clinical trials, because those patients may be more likely to seek standard of care therapies available at local treatment centers rather than enroll in a clinical trial at a larger hospit</w:t>
      </w:r>
      <w:r>
        <w:rPr>
          <w:sz w:val="20"/>
          <w:szCs w:val="20"/>
        </w:rPr>
        <w:t>al</w:t>
      </w:r>
      <w:r>
        <w:rPr>
          <w:sz w:val="20"/>
          <w:szCs w:val="20"/>
        </w:rPr>
        <w:t>.</w:t>
      </w:r>
    </w:p>
    <w:p w:rsidR="00000000" w:rsidRDefault="00F22B2C">
      <w:pPr>
        <w:pStyle w:val="a3"/>
        <w:spacing w:before="0" w:beforeAutospacing="0" w:after="200" w:afterAutospacing="0"/>
        <w:ind w:firstLine="547"/>
        <w:divId w:val="1077285227"/>
        <w:rPr>
          <w:sz w:val="20"/>
          <w:szCs w:val="20"/>
        </w:rPr>
      </w:pPr>
      <w:r>
        <w:rPr>
          <w:sz w:val="20"/>
          <w:szCs w:val="20"/>
        </w:rPr>
        <w:t>We continue to monitor the impact, if any, of the COVID-19 pandemic on our current and future operations, including our regulatory filing timelines and strategy as well as our preparation for commercial launch. It is unclear the extent to which the COV</w:t>
      </w:r>
      <w:r>
        <w:rPr>
          <w:sz w:val="20"/>
          <w:szCs w:val="20"/>
        </w:rPr>
        <w:t>ID-19 pandemic (including future variants) will impact our business, results of operations, financial condition and our future strategic plans as future developments of the outbreak are highly uncertain and cannot be predicted. New information is constantl</w:t>
      </w:r>
      <w:r>
        <w:rPr>
          <w:sz w:val="20"/>
          <w:szCs w:val="20"/>
        </w:rPr>
        <w:t>y emerging concerning the severity of COVID-19 and the actions to contain COVID-19 or treat its impact, among others. As the COVID-19 pandemic continues for an extended period of time, and with travel, face to face interactions, and resources are not allow</w:t>
      </w:r>
      <w:r>
        <w:rPr>
          <w:sz w:val="20"/>
          <w:szCs w:val="20"/>
        </w:rPr>
        <w:t>ed or are severely limited, either by us or our contractors, including our CMOs, our regulatory strategy, BLA filing timelines, or commercial launch preparations may be negatively impacted. The COVID-19 pandemic may also impact the FDA and their ability to</w:t>
      </w:r>
      <w:r>
        <w:rPr>
          <w:sz w:val="20"/>
          <w:szCs w:val="20"/>
        </w:rPr>
        <w:t xml:space="preserve"> timely review our regulatory filings and conduct the pre-approval inspections necessary for ultimate approval of BLA. We cannot predict at this time whether and how FDA operations may be impacted at relevant times for our planned regulatory submissions.</w:t>
      </w:r>
    </w:p>
    <w:p w:rsidR="00000000" w:rsidRDefault="00F22B2C">
      <w:pPr>
        <w:pStyle w:val="a3"/>
        <w:spacing w:before="0" w:beforeAutospacing="0" w:after="200" w:afterAutospacing="0"/>
        <w:ind w:firstLine="547"/>
        <w:divId w:val="1077285227"/>
        <w:rPr>
          <w:sz w:val="20"/>
          <w:szCs w:val="20"/>
        </w:rPr>
      </w:pPr>
      <w:r>
        <w:rPr>
          <w:b/>
          <w:bCs/>
          <w:i/>
          <w:iCs/>
          <w:sz w:val="20"/>
          <w:szCs w:val="20"/>
        </w:rPr>
        <w:t>O</w:t>
      </w:r>
      <w:r>
        <w:rPr>
          <w:b/>
          <w:bCs/>
          <w:i/>
          <w:iCs/>
          <w:sz w:val="20"/>
          <w:szCs w:val="20"/>
        </w:rPr>
        <w:t>ur failure to comply with international data protection laws and regulations could lead to government enforcement actions and significant penalties against us, and adversely impact our operating results.</w:t>
      </w:r>
    </w:p>
    <w:p w:rsidR="00000000" w:rsidRDefault="00F22B2C">
      <w:pPr>
        <w:pStyle w:val="a3"/>
        <w:spacing w:before="0" w:beforeAutospacing="0" w:after="0" w:afterAutospacing="0"/>
        <w:ind w:firstLine="547"/>
        <w:divId w:val="1077285227"/>
        <w:rPr>
          <w:sz w:val="20"/>
          <w:szCs w:val="20"/>
        </w:rPr>
      </w:pPr>
      <w:r>
        <w:rPr>
          <w:sz w:val="20"/>
          <w:szCs w:val="20"/>
        </w:rPr>
        <w:t>European Union, or EU, member states and other forei</w:t>
      </w:r>
      <w:r>
        <w:rPr>
          <w:sz w:val="20"/>
          <w:szCs w:val="20"/>
        </w:rPr>
        <w:t>gn jurisdictions, including Switzerland, the United Kingdom and Canada, have adopted data protection laws and regulations which impose significant compliance obligations on us. Moreover, the collection and use of personal health data in the EU, which was f</w:t>
      </w:r>
      <w:r>
        <w:rPr>
          <w:sz w:val="20"/>
          <w:szCs w:val="20"/>
        </w:rPr>
        <w:t>ormerly governed by the provisions of the EU Data Protection Directive, was replaced with the EU General Data Protection Regulation, or the GDPR, in May 2018. The GDPR, which is wide-ranging in scope, imposes several requirements relating to the consent of</w:t>
      </w:r>
      <w:r>
        <w:rPr>
          <w:sz w:val="20"/>
          <w:szCs w:val="20"/>
        </w:rPr>
        <w:t xml:space="preserve"> the individuals to whom the personal data relates, the information provided to the individuals, the security and confidentiality of the personal data, data breach notification and the use of third-party processors in connection with the processing of pers</w:t>
      </w:r>
      <w:r>
        <w:rPr>
          <w:sz w:val="20"/>
          <w:szCs w:val="20"/>
        </w:rPr>
        <w:t>onal data. The GDPR also imposes strict rules on the transfer of personal data out of the EU to the U.S., provides an enforcement authority and imposes large penalties for noncompliance, including the potential for fines of up to €20 million or 4% of the a</w:t>
      </w:r>
      <w:r>
        <w:rPr>
          <w:sz w:val="20"/>
          <w:szCs w:val="20"/>
        </w:rPr>
        <w:t>nnual global revenues of the noncompliant company, whichever is greater. The GDPR requirements apply not only to third-party transactions, but also to transfers of information between us and our subsidiaries. The implementation of the GDPR has increased ou</w:t>
      </w:r>
      <w:r>
        <w:rPr>
          <w:sz w:val="20"/>
          <w:szCs w:val="20"/>
        </w:rPr>
        <w:t>r responsibility and liability in relation to personal data that we process, including in clinical trials, and we may in the future be required to put in place additional mechanisms to ensure compliance with the GDPR, which could divert management’s attent</w:t>
      </w:r>
      <w:r>
        <w:rPr>
          <w:sz w:val="20"/>
          <w:szCs w:val="20"/>
        </w:rPr>
        <w:t>ion and increase our cost of doing business. In addition, new regulation or legislative actions regarding data privacy and security (together with applicable industry standards) may increase our costs of doing business. If we fail to comply with the data p</w:t>
      </w:r>
      <w:r>
        <w:rPr>
          <w:sz w:val="20"/>
          <w:szCs w:val="20"/>
        </w:rPr>
        <w:t xml:space="preserve">rotection laws in any EU member country or other jurisdiction, the data protection authority of such country or other jurisdiction may, in addition to fines, impose sanctions on us, which may include a prohibition that </w:t>
      </w:r>
    </w:p>
    <w:p w:rsidR="00000000" w:rsidRDefault="00F22B2C">
      <w:pPr>
        <w:pStyle w:val="a3"/>
        <w:spacing w:before="480" w:beforeAutospacing="0" w:after="0" w:afterAutospacing="0"/>
        <w:jc w:val="center"/>
        <w:divId w:val="870924734"/>
        <w:rPr>
          <w:sz w:val="20"/>
          <w:szCs w:val="20"/>
        </w:rPr>
      </w:pPr>
      <w:r>
        <w:rPr>
          <w:sz w:val="20"/>
          <w:szCs w:val="20"/>
        </w:rPr>
        <w:t>66</w:t>
      </w:r>
    </w:p>
    <w:p w:rsidR="00000000" w:rsidRDefault="00F22B2C">
      <w:pPr>
        <w:pStyle w:val="a3"/>
        <w:spacing w:before="0" w:beforeAutospacing="0" w:after="600" w:afterAutospacing="0"/>
        <w:divId w:val="286400523"/>
        <w:rPr>
          <w:sz w:val="20"/>
          <w:szCs w:val="20"/>
        </w:rPr>
      </w:pPr>
      <w:hyperlink w:anchor="TOC" w:history="1">
        <w:r>
          <w:rPr>
            <w:rStyle w:val="a4"/>
            <w:sz w:val="20"/>
            <w:szCs w:val="20"/>
          </w:rPr>
          <w:t>Table o</w:t>
        </w:r>
        <w:r>
          <w:rPr>
            <w:rStyle w:val="a4"/>
            <w:sz w:val="20"/>
            <w:szCs w:val="20"/>
          </w:rPr>
          <w:t>f Contents</w:t>
        </w:r>
      </w:hyperlink>
    </w:p>
    <w:p w:rsidR="00000000" w:rsidRDefault="00F22B2C">
      <w:pPr>
        <w:pStyle w:val="a3"/>
        <w:spacing w:before="0" w:beforeAutospacing="0" w:after="200" w:afterAutospacing="0"/>
        <w:divId w:val="1282687905"/>
        <w:rPr>
          <w:sz w:val="20"/>
          <w:szCs w:val="20"/>
        </w:rPr>
      </w:pPr>
      <w:r>
        <w:rPr>
          <w:sz w:val="20"/>
          <w:szCs w:val="20"/>
        </w:rPr>
        <w:t>prevents us from transferring and/or processing personal data of data subjects from such country or other jurisdiction for a duration determined by the sanctioning authority. Our inability to transfer and/or process personal data of data subject</w:t>
      </w:r>
      <w:r>
        <w:rPr>
          <w:sz w:val="20"/>
          <w:szCs w:val="20"/>
        </w:rPr>
        <w:t>s could preclude us from conducting clinical trials of our products in the EU member country or other jurisdiction for the duration of the sanction. Our inability to conduct clinical trials in the EU member country or other jurisdiction for the duration of</w:t>
      </w:r>
      <w:r>
        <w:rPr>
          <w:sz w:val="20"/>
          <w:szCs w:val="20"/>
        </w:rPr>
        <w:t xml:space="preserve"> the sanction may delay and increase the cost of development of our products, with a material adverse effect on our business. In this regard, we expect that there will continue to be new proposed laws, regulations and industry standards relating to privacy</w:t>
      </w:r>
      <w:r>
        <w:rPr>
          <w:sz w:val="20"/>
          <w:szCs w:val="20"/>
        </w:rPr>
        <w:t xml:space="preserve"> and data protection in the U.S., the EU and other jurisdictions, and we cannot determine the impact such future laws, regulations and standards may have on our business.</w:t>
      </w:r>
    </w:p>
    <w:p w:rsidR="00000000" w:rsidRDefault="00F22B2C">
      <w:pPr>
        <w:pStyle w:val="a3"/>
        <w:spacing w:before="0" w:beforeAutospacing="0" w:after="200" w:afterAutospacing="0"/>
        <w:ind w:firstLine="547"/>
        <w:jc w:val="both"/>
        <w:divId w:val="1282687905"/>
        <w:rPr>
          <w:sz w:val="20"/>
          <w:szCs w:val="20"/>
        </w:rPr>
      </w:pPr>
      <w:r>
        <w:rPr>
          <w:b/>
          <w:bCs/>
          <w:i/>
          <w:iCs/>
          <w:sz w:val="20"/>
          <w:szCs w:val="20"/>
        </w:rPr>
        <w:t>Our failure to comply with state and/or national data protection laws and regulations</w:t>
      </w:r>
      <w:r>
        <w:rPr>
          <w:b/>
          <w:bCs/>
          <w:i/>
          <w:iCs/>
          <w:sz w:val="20"/>
          <w:szCs w:val="20"/>
        </w:rPr>
        <w:t xml:space="preserve"> could lead to government enforcement actions and significant penalties against us, and adversely impact our operating results.</w:t>
      </w:r>
    </w:p>
    <w:p w:rsidR="00000000" w:rsidRDefault="00F22B2C">
      <w:pPr>
        <w:pStyle w:val="a3"/>
        <w:spacing w:before="0" w:beforeAutospacing="0" w:after="200" w:afterAutospacing="0"/>
        <w:ind w:firstLine="547"/>
        <w:divId w:val="1282687905"/>
        <w:rPr>
          <w:sz w:val="20"/>
          <w:szCs w:val="20"/>
        </w:rPr>
      </w:pPr>
      <w:r>
        <w:rPr>
          <w:sz w:val="20"/>
          <w:szCs w:val="20"/>
        </w:rPr>
        <w:t xml:space="preserve">There are numerous other laws and legislative and regulatory initiatives at the federal and state levels addressing privacy and </w:t>
      </w:r>
      <w:r>
        <w:rPr>
          <w:sz w:val="20"/>
          <w:szCs w:val="20"/>
        </w:rPr>
        <w:t>security concerns, and some state privacy laws apply more broadly than the Health Insurance Portability and Accountability Act, or HIPAA, and associated regulations. For example, California recently enacted legislation, the California Consumer Privacy Act,</w:t>
      </w:r>
      <w:r>
        <w:rPr>
          <w:sz w:val="20"/>
          <w:szCs w:val="20"/>
        </w:rPr>
        <w:t xml:space="preserve"> or CCPA, which went into effect January 1, 2020 and was recently amended and expanded by the California Privacy Rights Act, or CPRA, which will take effect on January 1, 2023. The CCPA and CPRA, among other things, create new data privacy obligations for </w:t>
      </w:r>
      <w:r>
        <w:rPr>
          <w:sz w:val="20"/>
          <w:szCs w:val="20"/>
        </w:rPr>
        <w:t>covered companies and provides new privacy rights to California residents, including the right to opt out of certain disclosures of their information. The CCPA also created a private right of action with statutory damages for certain data breaches, thereby</w:t>
      </w:r>
      <w:r>
        <w:rPr>
          <w:sz w:val="20"/>
          <w:szCs w:val="20"/>
        </w:rPr>
        <w:t xml:space="preserve"> potentially increasing risks associated with a data breach. </w:t>
      </w:r>
    </w:p>
    <w:p w:rsidR="00000000" w:rsidRDefault="00F22B2C">
      <w:pPr>
        <w:pStyle w:val="a3"/>
        <w:spacing w:before="0" w:beforeAutospacing="0" w:after="200" w:afterAutospacing="0"/>
        <w:ind w:firstLine="547"/>
        <w:divId w:val="1282687905"/>
        <w:rPr>
          <w:sz w:val="20"/>
          <w:szCs w:val="20"/>
        </w:rPr>
      </w:pPr>
      <w:r>
        <w:rPr>
          <w:sz w:val="20"/>
          <w:szCs w:val="20"/>
        </w:rPr>
        <w:t>Although the law includes limited exceptions, including for certain information collected as part of clinical trials as specified in the law, it may regulate or impact our processing of personal</w:t>
      </w:r>
      <w:r>
        <w:rPr>
          <w:sz w:val="20"/>
          <w:szCs w:val="20"/>
        </w:rPr>
        <w:t xml:space="preserve"> information depending on the context. It remains unclear what, if any, additional modifications will be made to the CPRA by the California legislature or how it will be interpreted. Therefore, the effects of the CCPA and CPRA are significant and will like</w:t>
      </w:r>
      <w:r>
        <w:rPr>
          <w:sz w:val="20"/>
          <w:szCs w:val="20"/>
        </w:rPr>
        <w:t>ly require us to modify our data processing practices, and may cause us to incur substantial costs and expenses to comply</w:t>
      </w:r>
      <w:r>
        <w:rPr>
          <w:sz w:val="20"/>
          <w:szCs w:val="20"/>
        </w:rPr>
        <w:t>.</w:t>
      </w:r>
      <w:r>
        <w:rPr>
          <w:sz w:val="20"/>
          <w:szCs w:val="20"/>
        </w:rPr>
        <w:t xml:space="preserve"> </w:t>
      </w:r>
    </w:p>
    <w:p w:rsidR="00000000" w:rsidRDefault="00F22B2C">
      <w:pPr>
        <w:pStyle w:val="a3"/>
        <w:spacing w:before="0" w:beforeAutospacing="0" w:after="200" w:afterAutospacing="0"/>
        <w:ind w:firstLine="547"/>
        <w:divId w:val="1282687905"/>
        <w:rPr>
          <w:sz w:val="20"/>
          <w:szCs w:val="20"/>
        </w:rPr>
      </w:pPr>
      <w:r>
        <w:rPr>
          <w:b/>
          <w:bCs/>
          <w:i/>
          <w:iCs/>
          <w:sz w:val="20"/>
          <w:szCs w:val="20"/>
        </w:rPr>
        <w:t>We will need to grow the size and capabilities of our organization, and we may experience difficulties in managing this growth.</w:t>
      </w:r>
    </w:p>
    <w:p w:rsidR="00000000" w:rsidRDefault="00F22B2C">
      <w:pPr>
        <w:pStyle w:val="a3"/>
        <w:spacing w:before="0" w:beforeAutospacing="0" w:after="200" w:afterAutospacing="0"/>
        <w:ind w:firstLine="547"/>
        <w:divId w:val="1282687905"/>
        <w:rPr>
          <w:sz w:val="20"/>
          <w:szCs w:val="20"/>
        </w:rPr>
      </w:pPr>
      <w:r>
        <w:rPr>
          <w:sz w:val="20"/>
          <w:szCs w:val="20"/>
        </w:rPr>
        <w:t xml:space="preserve">Our </w:t>
      </w:r>
      <w:r>
        <w:rPr>
          <w:sz w:val="20"/>
          <w:szCs w:val="20"/>
        </w:rPr>
        <w:t>operations are dependent upon the services of our executives and our employees who are engaged in research and development. The loss of the services of our executive officers or senior research personnel could delay our product development programs and our</w:t>
      </w:r>
      <w:r>
        <w:rPr>
          <w:sz w:val="20"/>
          <w:szCs w:val="20"/>
        </w:rPr>
        <w:t xml:space="preserve"> research and development efforts. In order to develop our business in accordance with our business plan, we will have to hire additional qualified personnel, including in the areas of research, manufacturing, clinical trials management, regulatory affairs</w:t>
      </w:r>
      <w:r>
        <w:rPr>
          <w:sz w:val="20"/>
          <w:szCs w:val="20"/>
        </w:rPr>
        <w:t>, and sales and marketing. We are continuing our efforts to recruit and hire the necessary employees to support our planned operations in the near term. For example, we continue to recruit for a new Chief Executive Officer. However, competition for qualifi</w:t>
      </w:r>
      <w:r>
        <w:rPr>
          <w:sz w:val="20"/>
          <w:szCs w:val="20"/>
        </w:rPr>
        <w:t>ed employees among companies in the biotechnology and biopharmaceutical industry is intense, and no assurance can be given that we will be able attract, hire, retain and motivate the highly skilled employees that we need. Future growth will impose signific</w:t>
      </w:r>
      <w:r>
        <w:rPr>
          <w:sz w:val="20"/>
          <w:szCs w:val="20"/>
        </w:rPr>
        <w:t>ant added responsibilities on members of management, including:</w:t>
      </w:r>
    </w:p>
    <w:p w:rsidR="00000000" w:rsidRDefault="00F22B2C">
      <w:pPr>
        <w:ind w:left="547" w:hanging="360"/>
        <w:divId w:val="1676420382"/>
        <w:rPr>
          <w:rFonts w:eastAsia="Times New Roman"/>
          <w:sz w:val="20"/>
          <w:szCs w:val="20"/>
        </w:rPr>
      </w:pPr>
      <w:r>
        <w:rPr>
          <w:rFonts w:eastAsia="Times New Roman"/>
          <w:sz w:val="20"/>
          <w:szCs w:val="20"/>
        </w:rPr>
        <w:t>●</w:t>
      </w:r>
      <w:r>
        <w:rPr>
          <w:rFonts w:eastAsia="Times New Roman"/>
          <w:sz w:val="20"/>
          <w:szCs w:val="20"/>
        </w:rPr>
        <w:t>identifying, recruiting, integrating, maintaining, and motivating additional employees;</w:t>
      </w:r>
    </w:p>
    <w:p w:rsidR="00000000" w:rsidRDefault="00F22B2C">
      <w:pPr>
        <w:ind w:left="547" w:hanging="360"/>
        <w:divId w:val="348336411"/>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w:t>
      </w:r>
      <w:r>
        <w:rPr>
          <w:rFonts w:eastAsia="Times New Roman"/>
          <w:sz w:val="20"/>
          <w:szCs w:val="20"/>
        </w:rPr>
        <w:t>or our product candidates, while complying with our contractual obligations to contractors and other third parties; and</w:t>
      </w:r>
    </w:p>
    <w:p w:rsidR="00000000" w:rsidRDefault="00F22B2C">
      <w:pPr>
        <w:ind w:left="547" w:hanging="360"/>
        <w:divId w:val="1881436800"/>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rsidR="00000000" w:rsidRDefault="00F22B2C">
      <w:pPr>
        <w:pStyle w:val="a3"/>
        <w:spacing w:before="0" w:beforeAutospacing="0" w:after="200" w:afterAutospacing="0"/>
        <w:ind w:firstLine="547"/>
        <w:divId w:val="1282687905"/>
        <w:rPr>
          <w:sz w:val="20"/>
          <w:szCs w:val="20"/>
        </w:rPr>
      </w:pPr>
      <w:r>
        <w:rPr>
          <w:sz w:val="20"/>
          <w:szCs w:val="20"/>
        </w:rPr>
        <w:t>Our future financial performance and o</w:t>
      </w:r>
      <w:r>
        <w:rPr>
          <w:sz w:val="20"/>
          <w:szCs w:val="20"/>
        </w:rPr>
        <w:t xml:space="preserve">ur ability to commercialize our product candidates will depend, in part, on our ability to effectively manage any future growth, and our management may also have to divert a disproportionate amount of its attention away from day-to-day activities in order </w:t>
      </w:r>
      <w:r>
        <w:rPr>
          <w:sz w:val="20"/>
          <w:szCs w:val="20"/>
        </w:rPr>
        <w:t>to devote a substantial amount of time to managing these growth activities.</w:t>
      </w:r>
    </w:p>
    <w:p w:rsidR="00000000" w:rsidRDefault="00F22B2C">
      <w:pPr>
        <w:pStyle w:val="a3"/>
        <w:spacing w:before="0" w:beforeAutospacing="0" w:after="200" w:afterAutospacing="0"/>
        <w:ind w:firstLine="547"/>
        <w:divId w:val="1282687905"/>
        <w:rPr>
          <w:sz w:val="20"/>
          <w:szCs w:val="20"/>
        </w:rPr>
      </w:pPr>
      <w:r>
        <w:rPr>
          <w:sz w:val="20"/>
          <w:szCs w:val="20"/>
        </w:rPr>
        <w:t>We currently rely, and for the foreseeable future will continue to rely, in substantial part on certain independent organizations, advisors and consultants to provide certain servi</w:t>
      </w:r>
      <w:r>
        <w:rPr>
          <w:sz w:val="20"/>
          <w:szCs w:val="20"/>
        </w:rPr>
        <w:t>ces. There can be no assurance that the services of these independent organizations, advisors and consultants will continue to be available to us on a timely basis when needed, or that we can find qualified replacements. In addition, if we are unable to ef</w:t>
      </w:r>
      <w:r>
        <w:rPr>
          <w:sz w:val="20"/>
          <w:szCs w:val="20"/>
        </w:rPr>
        <w:t>fectively manage our outsourced activities or if the quality, compliance or accuracy of the services provided by consultants is compromised for any reason, our clinical trials may be extended, delayed, or terminated, and we may not be able to obtain regula</w:t>
      </w:r>
      <w:r>
        <w:rPr>
          <w:sz w:val="20"/>
          <w:szCs w:val="20"/>
        </w:rPr>
        <w:t>tory approval of our product candidates or otherwise advance our business. There can be no assurance that we will be able to manage our existing consultants or find other competent outside contractors and consultants on economically reasonable terms, if at</w:t>
      </w:r>
      <w:r>
        <w:rPr>
          <w:sz w:val="20"/>
          <w:szCs w:val="20"/>
        </w:rPr>
        <w:t xml:space="preserve"> all.</w:t>
      </w:r>
    </w:p>
    <w:p w:rsidR="00000000" w:rsidRDefault="00F22B2C">
      <w:pPr>
        <w:pStyle w:val="a3"/>
        <w:spacing w:before="480" w:beforeAutospacing="0" w:after="0" w:afterAutospacing="0"/>
        <w:jc w:val="center"/>
        <w:divId w:val="300575096"/>
        <w:rPr>
          <w:sz w:val="20"/>
          <w:szCs w:val="20"/>
        </w:rPr>
      </w:pPr>
      <w:r>
        <w:rPr>
          <w:sz w:val="20"/>
          <w:szCs w:val="20"/>
        </w:rPr>
        <w:t>67</w:t>
      </w:r>
    </w:p>
    <w:p w:rsidR="00000000" w:rsidRDefault="00F22B2C">
      <w:pPr>
        <w:pStyle w:val="a3"/>
        <w:spacing w:before="0" w:beforeAutospacing="0" w:after="600" w:afterAutospacing="0"/>
        <w:divId w:val="801658645"/>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7"/>
        <w:divId w:val="1990330251"/>
        <w:rPr>
          <w:sz w:val="20"/>
          <w:szCs w:val="20"/>
        </w:rPr>
      </w:pPr>
      <w:r>
        <w:rPr>
          <w:sz w:val="20"/>
          <w:szCs w:val="20"/>
        </w:rPr>
        <w:t>If we are not able to effectively expand our organization by hiring new employees and expanding our groups of consultants and contractors, we may not be able to successfully implement the tasks necessary to further develop and commercialize our product can</w:t>
      </w:r>
      <w:r>
        <w:rPr>
          <w:sz w:val="20"/>
          <w:szCs w:val="20"/>
        </w:rPr>
        <w:t>didates and, accordingly, may not achieve our research, development, and commercialization goals on a timely basis, or at all.</w:t>
      </w:r>
    </w:p>
    <w:p w:rsidR="00000000" w:rsidRDefault="00F22B2C">
      <w:pPr>
        <w:pStyle w:val="a3"/>
        <w:spacing w:before="0" w:beforeAutospacing="0" w:after="200" w:afterAutospacing="0"/>
        <w:ind w:firstLine="547"/>
        <w:divId w:val="1990330251"/>
        <w:rPr>
          <w:sz w:val="20"/>
          <w:szCs w:val="20"/>
        </w:rPr>
      </w:pPr>
      <w:r>
        <w:rPr>
          <w:b/>
          <w:bCs/>
          <w:i/>
          <w:iCs/>
          <w:sz w:val="20"/>
          <w:szCs w:val="20"/>
        </w:rPr>
        <w:t>If we engage in future acquisitions or strategic partnerships, this may increase our capital requirements, dilute our stockholder</w:t>
      </w:r>
      <w:r>
        <w:rPr>
          <w:b/>
          <w:bCs/>
          <w:i/>
          <w:iCs/>
          <w:sz w:val="20"/>
          <w:szCs w:val="20"/>
        </w:rPr>
        <w:t>s, cause us to incur debt or assume contingent liabilities, and subject us to other risks.</w:t>
      </w:r>
    </w:p>
    <w:p w:rsidR="00000000" w:rsidRDefault="00F22B2C">
      <w:pPr>
        <w:pStyle w:val="a3"/>
        <w:spacing w:before="0" w:beforeAutospacing="0" w:after="200" w:afterAutospacing="0"/>
        <w:ind w:firstLine="547"/>
        <w:divId w:val="1990330251"/>
        <w:rPr>
          <w:sz w:val="20"/>
          <w:szCs w:val="20"/>
        </w:rPr>
      </w:pPr>
      <w:r>
        <w:rPr>
          <w:sz w:val="20"/>
          <w:szCs w:val="20"/>
        </w:rPr>
        <w:t>We may evaluate various acquisitions and strategic partnerships, including licensing or acquiring complementary products, intellectual property rights, technologies,</w:t>
      </w:r>
      <w:r>
        <w:rPr>
          <w:sz w:val="20"/>
          <w:szCs w:val="20"/>
        </w:rPr>
        <w:t xml:space="preserve"> or businesses. Any potential acquisition or strategic partnership may entail numerous risks, including:</w:t>
      </w:r>
    </w:p>
    <w:p w:rsidR="00000000" w:rsidRDefault="00F22B2C">
      <w:pPr>
        <w:ind w:left="547" w:hanging="360"/>
        <w:divId w:val="1735085217"/>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rsidR="00000000" w:rsidRDefault="00F22B2C">
      <w:pPr>
        <w:ind w:left="547" w:hanging="360"/>
        <w:divId w:val="1530215890"/>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rsidR="00000000" w:rsidRDefault="00F22B2C">
      <w:pPr>
        <w:ind w:left="547" w:hanging="360"/>
        <w:divId w:val="996491350"/>
        <w:rPr>
          <w:rFonts w:eastAsia="Times New Roman"/>
          <w:sz w:val="20"/>
          <w:szCs w:val="20"/>
        </w:rPr>
      </w:pPr>
      <w:r>
        <w:rPr>
          <w:rFonts w:eastAsia="Times New Roman"/>
          <w:sz w:val="20"/>
          <w:szCs w:val="20"/>
        </w:rPr>
        <w:t>●</w:t>
      </w:r>
      <w:r>
        <w:rPr>
          <w:rFonts w:eastAsia="Times New Roman"/>
          <w:sz w:val="20"/>
          <w:szCs w:val="20"/>
        </w:rPr>
        <w:t xml:space="preserve">the issuance of our equity </w:t>
      </w:r>
      <w:r>
        <w:rPr>
          <w:rFonts w:eastAsia="Times New Roman"/>
          <w:sz w:val="20"/>
          <w:szCs w:val="20"/>
        </w:rPr>
        <w:t>securities;</w:t>
      </w:r>
    </w:p>
    <w:p w:rsidR="00000000" w:rsidRDefault="00F22B2C">
      <w:pPr>
        <w:ind w:left="547" w:hanging="360"/>
        <w:divId w:val="914586631"/>
        <w:rPr>
          <w:rFonts w:eastAsia="Times New Roman"/>
          <w:sz w:val="20"/>
          <w:szCs w:val="20"/>
        </w:rPr>
      </w:pPr>
      <w:r>
        <w:rPr>
          <w:rFonts w:eastAsia="Times New Roman"/>
          <w:sz w:val="20"/>
          <w:szCs w:val="20"/>
        </w:rPr>
        <w:t>●</w:t>
      </w:r>
      <w:r>
        <w:rPr>
          <w:rFonts w:eastAsia="Times New Roman"/>
          <w:sz w:val="20"/>
          <w:szCs w:val="20"/>
        </w:rPr>
        <w:t>assimilation of operations, intellectual property and products of an acquired company or product, including difficulties associated with integrating new personnel;</w:t>
      </w:r>
    </w:p>
    <w:p w:rsidR="00000000" w:rsidRDefault="00F22B2C">
      <w:pPr>
        <w:ind w:left="547" w:hanging="360"/>
        <w:divId w:val="1134833215"/>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w:t>
      </w:r>
      <w:r>
        <w:rPr>
          <w:rFonts w:eastAsia="Times New Roman"/>
          <w:sz w:val="20"/>
          <w:szCs w:val="20"/>
        </w:rPr>
        <w:t xml:space="preserve"> and initiatives in pursuing such a strategic merger or acquisition;</w:t>
      </w:r>
    </w:p>
    <w:p w:rsidR="00000000" w:rsidRDefault="00F22B2C">
      <w:pPr>
        <w:ind w:left="547" w:hanging="360"/>
        <w:divId w:val="1281034716"/>
        <w:rPr>
          <w:rFonts w:eastAsia="Times New Roman"/>
          <w:sz w:val="20"/>
          <w:szCs w:val="20"/>
        </w:rPr>
      </w:pPr>
      <w:r>
        <w:rPr>
          <w:rFonts w:eastAsia="Times New Roman"/>
          <w:sz w:val="20"/>
          <w:szCs w:val="20"/>
        </w:rPr>
        <w:t>●</w:t>
      </w:r>
      <w:r>
        <w:rPr>
          <w:rFonts w:eastAsia="Times New Roman"/>
          <w:sz w:val="20"/>
          <w:szCs w:val="20"/>
        </w:rPr>
        <w:t>retention of key employees, the loss of key personnel, and uncertainties in our ability to maintain key business relationships;</w:t>
      </w:r>
    </w:p>
    <w:p w:rsidR="00000000" w:rsidRDefault="00F22B2C">
      <w:pPr>
        <w:ind w:left="547" w:hanging="360"/>
        <w:divId w:val="1385832654"/>
        <w:rPr>
          <w:rFonts w:eastAsia="Times New Roman"/>
          <w:sz w:val="20"/>
          <w:szCs w:val="20"/>
        </w:rPr>
      </w:pPr>
      <w:r>
        <w:rPr>
          <w:rFonts w:eastAsia="Times New Roman"/>
          <w:sz w:val="20"/>
          <w:szCs w:val="20"/>
        </w:rPr>
        <w:t>●</w:t>
      </w:r>
      <w:r>
        <w:rPr>
          <w:rFonts w:eastAsia="Times New Roman"/>
          <w:sz w:val="20"/>
          <w:szCs w:val="20"/>
        </w:rPr>
        <w:t>risks and uncertainties associated with the other party t</w:t>
      </w:r>
      <w:r>
        <w:rPr>
          <w:rFonts w:eastAsia="Times New Roman"/>
          <w:sz w:val="20"/>
          <w:szCs w:val="20"/>
        </w:rPr>
        <w:t>o such a transaction, including the prospects of that party and their existing products or product candidates and regulatory approvals; and</w:t>
      </w:r>
    </w:p>
    <w:p w:rsidR="00000000" w:rsidRDefault="00F22B2C">
      <w:pPr>
        <w:ind w:left="547" w:hanging="360"/>
        <w:divId w:val="74207217"/>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 meet our objectives in und</w:t>
      </w:r>
      <w:r>
        <w:rPr>
          <w:rFonts w:eastAsia="Times New Roman"/>
          <w:sz w:val="20"/>
          <w:szCs w:val="20"/>
        </w:rPr>
        <w:t>ertaking the acquisition or even to offset the associated acquisition and maintenance costs.</w:t>
      </w:r>
    </w:p>
    <w:p w:rsidR="00000000" w:rsidRDefault="00F22B2C">
      <w:pPr>
        <w:pStyle w:val="a3"/>
        <w:spacing w:before="0" w:beforeAutospacing="0" w:after="200" w:afterAutospacing="0"/>
        <w:ind w:firstLine="540"/>
        <w:divId w:val="1990330251"/>
        <w:rPr>
          <w:sz w:val="20"/>
          <w:szCs w:val="20"/>
        </w:rPr>
      </w:pPr>
      <w:r>
        <w:rPr>
          <w:sz w:val="20"/>
          <w:szCs w:val="20"/>
        </w:rPr>
        <w:t>Depending on the size and nature of future strategic acquisitions, we may acquire assets or businesses that require us to raise additional capital or to operate or</w:t>
      </w:r>
      <w:r>
        <w:rPr>
          <w:sz w:val="20"/>
          <w:szCs w:val="20"/>
        </w:rPr>
        <w:t xml:space="preserve"> manage businesses in which we have limited experience. Making larger acquisitions that require us to raise additional capital to fund the acquisition will expose us to the risks associated with capital raising activities. Acquiring and thereafter operatin</w:t>
      </w:r>
      <w:r>
        <w:rPr>
          <w:sz w:val="20"/>
          <w:szCs w:val="20"/>
        </w:rPr>
        <w:t>g larger new businesses will also increase our management, operating and reporting costs and burdens. In addition, if we undertake acquisitions, we may issue dilutive securities, assume or incur debt obligations, incur large one-time expenses and acquire i</w:t>
      </w:r>
      <w:r>
        <w:rPr>
          <w:sz w:val="20"/>
          <w:szCs w:val="20"/>
        </w:rPr>
        <w:t>ntangible assets that could result in significant future amortization expense. Moreover, we may not be able to locate suitable acquisition opportunities and this inability could impair our ability to grow or obtain access to technology or products that may</w:t>
      </w:r>
      <w:r>
        <w:rPr>
          <w:sz w:val="20"/>
          <w:szCs w:val="20"/>
        </w:rPr>
        <w:t xml:space="preserve"> be important to the development of our business.</w:t>
      </w:r>
    </w:p>
    <w:p w:rsidR="00000000" w:rsidRDefault="00F22B2C">
      <w:pPr>
        <w:pStyle w:val="a3"/>
        <w:spacing w:before="0" w:beforeAutospacing="0" w:after="200" w:afterAutospacing="0"/>
        <w:ind w:firstLine="540"/>
        <w:divId w:val="1990330251"/>
        <w:rPr>
          <w:sz w:val="20"/>
          <w:szCs w:val="20"/>
        </w:rPr>
      </w:pPr>
      <w:r>
        <w:rPr>
          <w:b/>
          <w:bCs/>
          <w:i/>
          <w:iCs/>
          <w:sz w:val="20"/>
          <w:szCs w:val="20"/>
        </w:rPr>
        <w:t>We may rely on third parties to perform many essential services for any products that we commercialize, including services related to distribution, government price reporting, customer service, accounts rec</w:t>
      </w:r>
      <w:r>
        <w:rPr>
          <w:b/>
          <w:bCs/>
          <w:i/>
          <w:iCs/>
          <w:sz w:val="20"/>
          <w:szCs w:val="20"/>
        </w:rPr>
        <w:t>eivable management, cash collection, and adverse event reporting. If these third parties fail to perform as expected or to comply with legal and regulatory requirements, our ability to commercialize our current or future product candidates will be signific</w:t>
      </w:r>
      <w:r>
        <w:rPr>
          <w:b/>
          <w:bCs/>
          <w:i/>
          <w:iCs/>
          <w:sz w:val="20"/>
          <w:szCs w:val="20"/>
        </w:rPr>
        <w:t>antly impacted and we may be subject to regulatory sanctions.</w:t>
      </w:r>
    </w:p>
    <w:p w:rsidR="00000000" w:rsidRDefault="00F22B2C">
      <w:pPr>
        <w:pStyle w:val="a3"/>
        <w:spacing w:before="0" w:beforeAutospacing="0" w:after="200" w:afterAutospacing="0"/>
        <w:ind w:firstLine="540"/>
        <w:divId w:val="1990330251"/>
        <w:rPr>
          <w:sz w:val="20"/>
          <w:szCs w:val="20"/>
        </w:rPr>
      </w:pPr>
      <w:r>
        <w:rPr>
          <w:sz w:val="20"/>
          <w:szCs w:val="20"/>
        </w:rPr>
        <w:t>We may retain third-party service providers to perform a variety of functions related to the sale and distribution of our current or future product candidates, key aspects of which will be out o</w:t>
      </w:r>
      <w:r>
        <w:rPr>
          <w:sz w:val="20"/>
          <w:szCs w:val="20"/>
        </w:rPr>
        <w:t>f our direct control. These service providers may provide key services related to distribution, customer service, accounts receivable management, and cash collection. If we retain a service provider, we would substantially rely on it as well as other third</w:t>
      </w:r>
      <w:r>
        <w:rPr>
          <w:sz w:val="20"/>
          <w:szCs w:val="20"/>
        </w:rPr>
        <w:t>-party providers that perform services for us, including entrusting our inventories of products to their care and handling. If these third-party service providers fail to comply with applicable laws and regulations, fail to meet expected deadlines, or othe</w:t>
      </w:r>
      <w:r>
        <w:rPr>
          <w:sz w:val="20"/>
          <w:szCs w:val="20"/>
        </w:rPr>
        <w:t>rwise do not carry out their contractual duties to us, or encounter physical or natural damage at their facilities, our ability to deliver product to meet commercial demand would be significantly impaired and we may be subject to regulatory enforcement act</w:t>
      </w:r>
      <w:r>
        <w:rPr>
          <w:sz w:val="20"/>
          <w:szCs w:val="20"/>
        </w:rPr>
        <w:t>ion.</w:t>
      </w:r>
    </w:p>
    <w:p w:rsidR="00000000" w:rsidRDefault="00F22B2C">
      <w:pPr>
        <w:pStyle w:val="a3"/>
        <w:spacing w:before="0" w:beforeAutospacing="0" w:after="200" w:afterAutospacing="0"/>
        <w:ind w:firstLine="540"/>
        <w:divId w:val="1990330251"/>
        <w:rPr>
          <w:sz w:val="20"/>
          <w:szCs w:val="20"/>
        </w:rPr>
      </w:pPr>
      <w:r>
        <w:rPr>
          <w:sz w:val="20"/>
          <w:szCs w:val="20"/>
        </w:rPr>
        <w:t>In addition, we may engage third parties to perform various other services for us relating to adverse event reporting, safety database management, fulfillment of requests for medical information regarding our product candidates and related services. I</w:t>
      </w:r>
      <w:r>
        <w:rPr>
          <w:sz w:val="20"/>
          <w:szCs w:val="20"/>
        </w:rPr>
        <w:t>f the quality or accuracy of the data maintained by these service providers is insufficient, or these third parties otherwise fail to comply with regulatory requirements related to adverse event reporting, we could be subject to regulatory sanctions.</w:t>
      </w:r>
    </w:p>
    <w:p w:rsidR="00000000" w:rsidRDefault="00F22B2C">
      <w:pPr>
        <w:pStyle w:val="a3"/>
        <w:spacing w:before="0" w:beforeAutospacing="0" w:after="0" w:afterAutospacing="0"/>
        <w:ind w:firstLine="540"/>
        <w:divId w:val="1990330251"/>
        <w:rPr>
          <w:sz w:val="20"/>
          <w:szCs w:val="20"/>
        </w:rPr>
      </w:pPr>
      <w:r>
        <w:rPr>
          <w:sz w:val="20"/>
          <w:szCs w:val="20"/>
        </w:rPr>
        <w:t>Addit</w:t>
      </w:r>
      <w:r>
        <w:rPr>
          <w:sz w:val="20"/>
          <w:szCs w:val="20"/>
        </w:rPr>
        <w:t>ionally, we may contract with a third-party to calculate and report pricing information mandated by various government programs. If a third party fails to timely report or adjust prices as required or errs in calculating government pricing information from</w:t>
      </w:r>
      <w:r>
        <w:rPr>
          <w:sz w:val="20"/>
          <w:szCs w:val="20"/>
        </w:rPr>
        <w:t xml:space="preserve"> </w:t>
      </w:r>
    </w:p>
    <w:p w:rsidR="00000000" w:rsidRDefault="00F22B2C">
      <w:pPr>
        <w:pStyle w:val="a3"/>
        <w:spacing w:before="480" w:beforeAutospacing="0" w:after="0" w:afterAutospacing="0"/>
        <w:jc w:val="center"/>
        <w:divId w:val="2090617721"/>
        <w:rPr>
          <w:sz w:val="20"/>
          <w:szCs w:val="20"/>
        </w:rPr>
      </w:pPr>
      <w:r>
        <w:rPr>
          <w:sz w:val="20"/>
          <w:szCs w:val="20"/>
        </w:rPr>
        <w:t>68</w:t>
      </w:r>
    </w:p>
    <w:p w:rsidR="00000000" w:rsidRDefault="00F22B2C">
      <w:pPr>
        <w:pStyle w:val="a3"/>
        <w:spacing w:before="0" w:beforeAutospacing="0" w:after="600" w:afterAutospacing="0"/>
        <w:divId w:val="1365518645"/>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457921035"/>
        <w:rPr>
          <w:sz w:val="20"/>
          <w:szCs w:val="20"/>
        </w:rPr>
      </w:pPr>
      <w:r>
        <w:rPr>
          <w:sz w:val="20"/>
          <w:szCs w:val="20"/>
        </w:rPr>
        <w:t>transactional data in our financial records, it could impact our discount and rebate liability, and potentially subject us to regulatory sanctions or False Claims Act lawsuits.</w:t>
      </w:r>
    </w:p>
    <w:p w:rsidR="00000000" w:rsidRDefault="00F22B2C">
      <w:pPr>
        <w:pStyle w:val="a3"/>
        <w:spacing w:before="0" w:beforeAutospacing="0" w:after="200" w:afterAutospacing="0"/>
        <w:jc w:val="both"/>
        <w:divId w:val="457921035"/>
        <w:rPr>
          <w:sz w:val="20"/>
          <w:szCs w:val="20"/>
        </w:rPr>
      </w:pPr>
      <w:r>
        <w:rPr>
          <w:b/>
          <w:bCs/>
          <w:sz w:val="20"/>
          <w:szCs w:val="20"/>
        </w:rPr>
        <w:t>Risks Related to Government Regulation</w:t>
      </w:r>
    </w:p>
    <w:p w:rsidR="00000000" w:rsidRDefault="00F22B2C">
      <w:pPr>
        <w:pStyle w:val="a3"/>
        <w:spacing w:before="0" w:beforeAutospacing="0" w:after="200" w:afterAutospacing="0"/>
        <w:ind w:firstLine="540"/>
        <w:divId w:val="457921035"/>
        <w:rPr>
          <w:sz w:val="20"/>
          <w:szCs w:val="20"/>
        </w:rPr>
      </w:pPr>
      <w:r>
        <w:rPr>
          <w:b/>
          <w:bCs/>
          <w:i/>
          <w:iCs/>
          <w:sz w:val="20"/>
          <w:szCs w:val="20"/>
        </w:rPr>
        <w:t>The FDA regulatory approval process is lengthy and time-consuming, and we may experience significant delays in the clinical development and regulatory approval of our product candidates.</w:t>
      </w:r>
    </w:p>
    <w:p w:rsidR="00000000" w:rsidRDefault="00F22B2C">
      <w:pPr>
        <w:pStyle w:val="a3"/>
        <w:spacing w:before="0" w:beforeAutospacing="0" w:after="200" w:afterAutospacing="0"/>
        <w:ind w:firstLine="547"/>
        <w:divId w:val="457921035"/>
        <w:rPr>
          <w:sz w:val="20"/>
          <w:szCs w:val="20"/>
        </w:rPr>
      </w:pPr>
      <w:r>
        <w:rPr>
          <w:sz w:val="20"/>
          <w:szCs w:val="20"/>
        </w:rPr>
        <w:t>We have not previously submitt</w:t>
      </w:r>
      <w:r>
        <w:rPr>
          <w:sz w:val="20"/>
          <w:szCs w:val="20"/>
        </w:rPr>
        <w:t>ed a BLA to the FDA, or similar approval filings to comparable foreign authorities. A BLA must include extensive preclinical and clinical data and supporting information to establish the product candidate’s safety and effectiveness for each desired indicat</w:t>
      </w:r>
      <w:r>
        <w:rPr>
          <w:sz w:val="20"/>
          <w:szCs w:val="20"/>
        </w:rPr>
        <w:t>ion. For example, following our End of Phase 2 meeting with the FDA, we increased enrollment in Cohort 1 of our ongoing C-145-04 clinical trial of TIL therapy lifileucel to at least 75 patients of the appropriate population to address the expected sample s</w:t>
      </w:r>
      <w:r>
        <w:rPr>
          <w:sz w:val="20"/>
          <w:szCs w:val="20"/>
        </w:rPr>
        <w:t>ize in anticipation of a BLA submission in 2021. Additionally, the patient population is defined per the discussion with FDA as patients who have progressed following initial systemic therapy for recurrent or metastatic disease which include many of the mo</w:t>
      </w:r>
      <w:r>
        <w:rPr>
          <w:sz w:val="20"/>
          <w:szCs w:val="20"/>
        </w:rPr>
        <w:t>re advanced patients enrolled to date. Our current beliefs regarding the registration pathway for the lifileucel product candidate in metastatic cervical cancer are based on our interpretation of communications with the FDA to date and our efforts to addre</w:t>
      </w:r>
      <w:r>
        <w:rPr>
          <w:sz w:val="20"/>
          <w:szCs w:val="20"/>
        </w:rPr>
        <w:t>ss such communications, which may be incorrect. Our statements that the study may support a BLA submission also assume that our as-adjusted study has addressed the additional requests by the FDA that were raised at our End of Phase 2 meeting. Further, enro</w:t>
      </w:r>
      <w:r>
        <w:rPr>
          <w:sz w:val="20"/>
          <w:szCs w:val="20"/>
        </w:rPr>
        <w:t>llment in this study may need to be further adjusted based on future feedback from the FDA, changes in the competitive environment, or other regulatory agency input. The revised protocol which further defines the patient population to include more advanced</w:t>
      </w:r>
      <w:r>
        <w:rPr>
          <w:sz w:val="20"/>
          <w:szCs w:val="20"/>
        </w:rPr>
        <w:t xml:space="preserve"> patients in the study, may have an adverse effect on the results reported to date, changes to implement an independent review committee and assay validation and implementation, and the data within this study may not ultimately be supportive of product app</w:t>
      </w:r>
      <w:r>
        <w:rPr>
          <w:sz w:val="20"/>
          <w:szCs w:val="20"/>
        </w:rPr>
        <w:t>roval, all of which could result in significant delays to our currently anticipated timeline for development and approval of our product candidate or prevent its approval entirely. Similarly, our current beliefs for our lifileucel product candidate for the</w:t>
      </w:r>
      <w:r>
        <w:rPr>
          <w:sz w:val="20"/>
          <w:szCs w:val="20"/>
        </w:rPr>
        <w:t xml:space="preserve"> treatment of melanoma are based on our interpretation of communications received from the FDA to date regarding this product candidate and our ongoing C-144-01 clinical trial, and may also be incorrect.</w:t>
      </w:r>
    </w:p>
    <w:p w:rsidR="00000000" w:rsidRDefault="00F22B2C">
      <w:pPr>
        <w:pStyle w:val="a3"/>
        <w:spacing w:before="0" w:beforeAutospacing="0" w:after="200" w:afterAutospacing="0"/>
        <w:ind w:firstLine="547"/>
        <w:divId w:val="457921035"/>
        <w:rPr>
          <w:sz w:val="20"/>
          <w:szCs w:val="20"/>
        </w:rPr>
      </w:pPr>
      <w:r>
        <w:rPr>
          <w:sz w:val="20"/>
          <w:szCs w:val="20"/>
        </w:rPr>
        <w:t>A BLA must also include significant information rega</w:t>
      </w:r>
      <w:r>
        <w:rPr>
          <w:sz w:val="20"/>
          <w:szCs w:val="20"/>
        </w:rPr>
        <w:t>rding the chemistry, manufacturing and controls for the product. Additionally, we expect the novel nature of our product candidates to create further challenges in obtaining regulatory approval. For example, the FDA has limited experience with commercial d</w:t>
      </w:r>
      <w:r>
        <w:rPr>
          <w:sz w:val="20"/>
          <w:szCs w:val="20"/>
        </w:rPr>
        <w:t>evelopment of cell therapies for cancer. We may also not be able to successfully utilize the BTD or RMAT designations we have received for metastatic cervical cancer and advanced melanoma, respectively, to successfully complete the development and commerci</w:t>
      </w:r>
      <w:r>
        <w:rPr>
          <w:sz w:val="20"/>
          <w:szCs w:val="20"/>
        </w:rPr>
        <w:t xml:space="preserve">alization of lifileucel. We may not be able to reach agreement with FDA on an interpretation of outcomes from our meetings, including meetings we have held with FDA in relation to our C-145-04 and C-144-01 clinical trials and future meetings. For example, </w:t>
      </w:r>
      <w:r>
        <w:rPr>
          <w:sz w:val="20"/>
          <w:szCs w:val="20"/>
        </w:rPr>
        <w:t>on October 5, 2020, we announced that we and the FDA have not been able to agree on the required potency assays to fully define our TIL therapy, which is required as part of a BLA submission, and that as a result of these developments, our BLA submission w</w:t>
      </w:r>
      <w:r>
        <w:rPr>
          <w:sz w:val="20"/>
          <w:szCs w:val="20"/>
        </w:rPr>
        <w:t>as not expected by the end of 2020 and was anticipated to occur in 2021. Previously, we reported the submission of assay data to the FDA, and on May 18, 2021, we announced that we had received regulatory feedback from the FDA regarding our potency assays f</w:t>
      </w:r>
      <w:r>
        <w:rPr>
          <w:sz w:val="20"/>
          <w:szCs w:val="20"/>
        </w:rPr>
        <w:t>or lifileucel. Following FDA feedback regarding the potency assays for lifileucel, we have continued ongoing work developing and validating our potency assays and have engaged in discussions with the FDA during the second half of 2021. Our BLA submission f</w:t>
      </w:r>
      <w:r>
        <w:rPr>
          <w:sz w:val="20"/>
          <w:szCs w:val="20"/>
        </w:rPr>
        <w:t>or lifileucel is now expected to occur during the first half of 2022. Accordingly, the regulatory approval pathway for our product candidates may be uncertain, complex, expensive and lengthy, and approval may not be obtained.</w:t>
      </w:r>
    </w:p>
    <w:p w:rsidR="00000000" w:rsidRDefault="00F22B2C">
      <w:pPr>
        <w:pStyle w:val="a3"/>
        <w:spacing w:before="0" w:beforeAutospacing="0" w:after="200" w:afterAutospacing="0"/>
        <w:ind w:firstLine="547"/>
        <w:divId w:val="457921035"/>
        <w:rPr>
          <w:sz w:val="20"/>
          <w:szCs w:val="20"/>
        </w:rPr>
      </w:pPr>
      <w:r>
        <w:rPr>
          <w:sz w:val="20"/>
          <w:szCs w:val="20"/>
        </w:rPr>
        <w:t>We may also experience delays,</w:t>
      </w:r>
      <w:r>
        <w:rPr>
          <w:sz w:val="20"/>
          <w:szCs w:val="20"/>
        </w:rPr>
        <w:t xml:space="preserve"> including delays arising from the need to increase enrollment, in completing planned clinical trials for a variety of reasons, including delays related to:</w:t>
      </w:r>
    </w:p>
    <w:p w:rsidR="00000000" w:rsidRDefault="00F22B2C">
      <w:pPr>
        <w:ind w:left="547" w:hanging="360"/>
        <w:divId w:val="1969705775"/>
        <w:rPr>
          <w:rFonts w:eastAsia="Times New Roman"/>
          <w:sz w:val="20"/>
          <w:szCs w:val="20"/>
        </w:rPr>
      </w:pPr>
      <w:r>
        <w:rPr>
          <w:rFonts w:eastAsia="Times New Roman"/>
          <w:sz w:val="20"/>
          <w:szCs w:val="20"/>
        </w:rPr>
        <w:t>●</w:t>
      </w:r>
      <w:r>
        <w:rPr>
          <w:rFonts w:eastAsia="Times New Roman"/>
          <w:sz w:val="20"/>
          <w:szCs w:val="20"/>
        </w:rPr>
        <w:t>the availability of financial resources to commence and complete the planned trials;</w:t>
      </w:r>
    </w:p>
    <w:p w:rsidR="00000000" w:rsidRDefault="00F22B2C">
      <w:pPr>
        <w:ind w:left="547" w:hanging="360"/>
        <w:divId w:val="1337222923"/>
        <w:rPr>
          <w:rFonts w:eastAsia="Times New Roman"/>
          <w:sz w:val="20"/>
          <w:szCs w:val="20"/>
        </w:rPr>
      </w:pPr>
      <w:r>
        <w:rPr>
          <w:rFonts w:eastAsia="Times New Roman"/>
          <w:sz w:val="20"/>
          <w:szCs w:val="20"/>
        </w:rPr>
        <w:t>●</w:t>
      </w:r>
      <w:r>
        <w:rPr>
          <w:rFonts w:eastAsia="Times New Roman"/>
          <w:sz w:val="20"/>
          <w:szCs w:val="20"/>
        </w:rPr>
        <w:t>reaching agr</w:t>
      </w:r>
      <w:r>
        <w:rPr>
          <w:rFonts w:eastAsia="Times New Roman"/>
          <w:sz w:val="20"/>
          <w:szCs w:val="20"/>
        </w:rPr>
        <w:t>eement on acceptable contract terms with prospective CROs and clinical trial sites, the terms of which can be subject to extensive negotiation and may vary significantly among different CROs and trial sites;</w:t>
      </w:r>
    </w:p>
    <w:p w:rsidR="00000000" w:rsidRDefault="00F22B2C">
      <w:pPr>
        <w:ind w:left="547" w:hanging="360"/>
        <w:divId w:val="760953023"/>
        <w:rPr>
          <w:rFonts w:eastAsia="Times New Roman"/>
          <w:sz w:val="20"/>
          <w:szCs w:val="20"/>
        </w:rPr>
      </w:pPr>
      <w:r>
        <w:rPr>
          <w:rFonts w:eastAsia="Times New Roman"/>
          <w:sz w:val="20"/>
          <w:szCs w:val="20"/>
        </w:rPr>
        <w:t>●</w:t>
      </w:r>
      <w:r>
        <w:rPr>
          <w:rFonts w:eastAsia="Times New Roman"/>
          <w:sz w:val="20"/>
          <w:szCs w:val="20"/>
        </w:rPr>
        <w:t xml:space="preserve">obtaining approval at each clinical trial site </w:t>
      </w:r>
      <w:r>
        <w:rPr>
          <w:rFonts w:eastAsia="Times New Roman"/>
          <w:sz w:val="20"/>
          <w:szCs w:val="20"/>
        </w:rPr>
        <w:t>by an independent IRB, or central IRB;</w:t>
      </w:r>
    </w:p>
    <w:p w:rsidR="00000000" w:rsidRDefault="00F22B2C">
      <w:pPr>
        <w:ind w:left="547" w:hanging="360"/>
        <w:divId w:val="78403557"/>
        <w:rPr>
          <w:rFonts w:eastAsia="Times New Roman"/>
          <w:sz w:val="20"/>
          <w:szCs w:val="20"/>
        </w:rPr>
      </w:pPr>
      <w:r>
        <w:rPr>
          <w:rFonts w:eastAsia="Times New Roman"/>
          <w:sz w:val="20"/>
          <w:szCs w:val="20"/>
        </w:rPr>
        <w:t>●</w:t>
      </w:r>
      <w:r>
        <w:rPr>
          <w:rFonts w:eastAsia="Times New Roman"/>
          <w:sz w:val="20"/>
          <w:szCs w:val="20"/>
        </w:rPr>
        <w:t>recruiting suitable patients to participate in a trial;</w:t>
      </w:r>
    </w:p>
    <w:p w:rsidR="00000000" w:rsidRDefault="00F22B2C">
      <w:pPr>
        <w:ind w:left="547" w:hanging="360"/>
        <w:divId w:val="388070415"/>
        <w:rPr>
          <w:rFonts w:eastAsia="Times New Roman"/>
          <w:sz w:val="20"/>
          <w:szCs w:val="20"/>
        </w:rPr>
      </w:pPr>
      <w:r>
        <w:rPr>
          <w:rFonts w:eastAsia="Times New Roman"/>
          <w:sz w:val="20"/>
          <w:szCs w:val="20"/>
        </w:rPr>
        <w:t>●</w:t>
      </w:r>
      <w:r>
        <w:rPr>
          <w:rFonts w:eastAsia="Times New Roman"/>
          <w:sz w:val="20"/>
          <w:szCs w:val="20"/>
        </w:rPr>
        <w:t>having patients complete a trial or return for post-treatment follow-up;</w:t>
      </w:r>
    </w:p>
    <w:p w:rsidR="00000000" w:rsidRDefault="00F22B2C">
      <w:pPr>
        <w:ind w:left="547" w:hanging="360"/>
        <w:divId w:val="1937902185"/>
        <w:rPr>
          <w:rFonts w:eastAsia="Times New Roman"/>
          <w:sz w:val="20"/>
          <w:szCs w:val="20"/>
        </w:rPr>
      </w:pPr>
      <w:r>
        <w:rPr>
          <w:rFonts w:eastAsia="Times New Roman"/>
          <w:sz w:val="20"/>
          <w:szCs w:val="20"/>
        </w:rPr>
        <w:t>●</w:t>
      </w:r>
      <w:r>
        <w:rPr>
          <w:rFonts w:eastAsia="Times New Roman"/>
          <w:sz w:val="20"/>
          <w:szCs w:val="20"/>
        </w:rPr>
        <w:t>clinical trial sites deviating from trial protocol or dropping out of a trial;</w:t>
      </w:r>
    </w:p>
    <w:p w:rsidR="00000000" w:rsidRDefault="00F22B2C">
      <w:pPr>
        <w:ind w:left="547" w:hanging="360"/>
        <w:divId w:val="2044944033"/>
        <w:rPr>
          <w:rFonts w:eastAsia="Times New Roman"/>
          <w:sz w:val="20"/>
          <w:szCs w:val="20"/>
        </w:rPr>
      </w:pPr>
      <w:r>
        <w:rPr>
          <w:rFonts w:eastAsia="Times New Roman"/>
          <w:sz w:val="20"/>
          <w:szCs w:val="20"/>
        </w:rPr>
        <w:t>●</w:t>
      </w:r>
      <w:r>
        <w:rPr>
          <w:rFonts w:eastAsia="Times New Roman"/>
          <w:sz w:val="20"/>
          <w:szCs w:val="20"/>
        </w:rPr>
        <w:t>addin</w:t>
      </w:r>
      <w:r>
        <w:rPr>
          <w:rFonts w:eastAsia="Times New Roman"/>
          <w:sz w:val="20"/>
          <w:szCs w:val="20"/>
        </w:rPr>
        <w:t>g new clinical trial sites;</w:t>
      </w:r>
    </w:p>
    <w:p w:rsidR="00000000" w:rsidRDefault="00F22B2C">
      <w:pPr>
        <w:ind w:left="547" w:hanging="360"/>
        <w:divId w:val="1493063096"/>
        <w:rPr>
          <w:rFonts w:eastAsia="Times New Roman"/>
          <w:sz w:val="20"/>
          <w:szCs w:val="20"/>
        </w:rPr>
      </w:pPr>
      <w:r>
        <w:rPr>
          <w:rFonts w:eastAsia="Times New Roman"/>
          <w:sz w:val="20"/>
          <w:szCs w:val="20"/>
        </w:rPr>
        <w:t>●</w:t>
      </w:r>
      <w:r>
        <w:rPr>
          <w:rFonts w:eastAsia="Times New Roman"/>
          <w:sz w:val="20"/>
          <w:szCs w:val="20"/>
        </w:rPr>
        <w:t>manufacturing sufficient quantities of qualified materials under cGMPs and applying them on a subject-by-subject basis for use in clinical trials; or</w:t>
      </w:r>
    </w:p>
    <w:p w:rsidR="00000000" w:rsidRDefault="00F22B2C">
      <w:pPr>
        <w:pStyle w:val="a3"/>
        <w:spacing w:before="480" w:beforeAutospacing="0" w:after="0" w:afterAutospacing="0"/>
        <w:jc w:val="center"/>
        <w:divId w:val="591087984"/>
        <w:rPr>
          <w:sz w:val="20"/>
          <w:szCs w:val="20"/>
        </w:rPr>
      </w:pPr>
      <w:r>
        <w:rPr>
          <w:sz w:val="20"/>
          <w:szCs w:val="20"/>
        </w:rPr>
        <w:t>69</w:t>
      </w:r>
    </w:p>
    <w:p w:rsidR="00000000" w:rsidRDefault="00F22B2C">
      <w:pPr>
        <w:pStyle w:val="a3"/>
        <w:spacing w:before="0" w:beforeAutospacing="0" w:after="600" w:afterAutospacing="0"/>
        <w:divId w:val="936211467"/>
        <w:rPr>
          <w:sz w:val="20"/>
          <w:szCs w:val="20"/>
        </w:rPr>
      </w:pPr>
      <w:hyperlink w:anchor="TOC" w:history="1">
        <w:r>
          <w:rPr>
            <w:rStyle w:val="a4"/>
            <w:sz w:val="20"/>
            <w:szCs w:val="20"/>
          </w:rPr>
          <w:t>Table of Contents</w:t>
        </w:r>
      </w:hyperlink>
    </w:p>
    <w:p w:rsidR="00000000" w:rsidRDefault="00F22B2C">
      <w:pPr>
        <w:ind w:left="547" w:hanging="360"/>
        <w:divId w:val="1849558853"/>
        <w:rPr>
          <w:rFonts w:eastAsia="Times New Roman"/>
          <w:sz w:val="20"/>
          <w:szCs w:val="20"/>
        </w:rPr>
      </w:pPr>
      <w:r>
        <w:rPr>
          <w:rFonts w:eastAsia="Times New Roman"/>
          <w:sz w:val="20"/>
          <w:szCs w:val="20"/>
        </w:rPr>
        <w:t>●</w:t>
      </w:r>
      <w:r>
        <w:rPr>
          <w:rFonts w:eastAsia="Times New Roman"/>
          <w:sz w:val="20"/>
          <w:szCs w:val="20"/>
        </w:rPr>
        <w:t>timely implementing or valida</w:t>
      </w:r>
      <w:r>
        <w:rPr>
          <w:rFonts w:eastAsia="Times New Roman"/>
          <w:sz w:val="20"/>
          <w:szCs w:val="20"/>
        </w:rPr>
        <w:t>ting changes to our manufacturing or quality control processes and methods needed to address FDA feedback.</w:t>
      </w:r>
    </w:p>
    <w:p w:rsidR="00000000" w:rsidRDefault="00F22B2C">
      <w:pPr>
        <w:pStyle w:val="a3"/>
        <w:spacing w:before="0" w:beforeAutospacing="0" w:after="200" w:afterAutospacing="0"/>
        <w:ind w:firstLine="547"/>
        <w:divId w:val="2037463644"/>
        <w:rPr>
          <w:sz w:val="20"/>
          <w:szCs w:val="20"/>
        </w:rPr>
      </w:pPr>
      <w:r>
        <w:rPr>
          <w:sz w:val="20"/>
          <w:szCs w:val="20"/>
        </w:rPr>
        <w:t>We could also encounter delays if there are unresolved ethical issues associated with physicians enrolling patients in clinical trials of our product</w:t>
      </w:r>
      <w:r>
        <w:rPr>
          <w:sz w:val="20"/>
          <w:szCs w:val="20"/>
        </w:rPr>
        <w:t xml:space="preserve"> candidates in lieu of prescribing existing treatments that have established safety and efficacy profiles. Further, a clinical trial may be suspended or terminated by us, the IRBs for the institutions in which such trials are being conducted by the FDA or </w:t>
      </w:r>
      <w:r>
        <w:rPr>
          <w:sz w:val="20"/>
          <w:szCs w:val="20"/>
        </w:rPr>
        <w:t>other regulatory authorities, or recommended for suspension or termination by DSMBs due to a number of factors, including failure to conduct the clinical trial in accordance with regulatory requirements or our clinical protocols, inspection of the clinical</w:t>
      </w:r>
      <w:r>
        <w:rPr>
          <w:sz w:val="20"/>
          <w:szCs w:val="20"/>
        </w:rPr>
        <w:t xml:space="preserve"> trial operations or trial site by the FDA or other regulatory authorities resulting in the imposition of a clinical hold, including as a result of genetic editing methods, unforeseen safety issues or adverse side effects, failure to demonstrate a benefit </w:t>
      </w:r>
      <w:r>
        <w:rPr>
          <w:sz w:val="20"/>
          <w:szCs w:val="20"/>
        </w:rPr>
        <w:t>from using a product candidate, changes in governmental regulations or administrative actions or lack of adequate funding to continue the clinical trial. If we experience termination of, or delays in the completion of, any clinical trial of our product can</w:t>
      </w:r>
      <w:r>
        <w:rPr>
          <w:sz w:val="20"/>
          <w:szCs w:val="20"/>
        </w:rPr>
        <w:t>didates, the commercial prospects for our product candidates will be harmed, and our ability to generate product revenue will be delayed. In addition, any delays in completing our clinical trials will increase our costs, slow down our product development a</w:t>
      </w:r>
      <w:r>
        <w:rPr>
          <w:sz w:val="20"/>
          <w:szCs w:val="20"/>
        </w:rPr>
        <w:t>nd approval process and jeopardize our ability to commence product sales and generate revenue.</w:t>
      </w:r>
    </w:p>
    <w:p w:rsidR="00000000" w:rsidRDefault="00F22B2C">
      <w:pPr>
        <w:pStyle w:val="a3"/>
        <w:spacing w:before="0" w:beforeAutospacing="0" w:after="200" w:afterAutospacing="0"/>
        <w:ind w:firstLine="547"/>
        <w:divId w:val="2037463644"/>
        <w:rPr>
          <w:sz w:val="20"/>
          <w:szCs w:val="20"/>
        </w:rPr>
      </w:pPr>
      <w:r>
        <w:rPr>
          <w:b/>
          <w:bCs/>
          <w:i/>
          <w:iCs/>
          <w:sz w:val="20"/>
          <w:szCs w:val="20"/>
        </w:rPr>
        <w:t>Obtaining and maintaining regulatory approval of our product candidates in one jurisdiction does not mean that we will be successful in obtaining regulatory appr</w:t>
      </w:r>
      <w:r>
        <w:rPr>
          <w:b/>
          <w:bCs/>
          <w:i/>
          <w:iCs/>
          <w:sz w:val="20"/>
          <w:szCs w:val="20"/>
        </w:rPr>
        <w:t>oval of our product candidates in other jurisdictions.</w:t>
      </w:r>
    </w:p>
    <w:p w:rsidR="00000000" w:rsidRDefault="00F22B2C">
      <w:pPr>
        <w:pStyle w:val="a3"/>
        <w:spacing w:before="0" w:beforeAutospacing="0" w:after="200" w:afterAutospacing="0"/>
        <w:ind w:firstLine="547"/>
        <w:divId w:val="2037463644"/>
        <w:rPr>
          <w:sz w:val="20"/>
          <w:szCs w:val="20"/>
        </w:rPr>
      </w:pPr>
      <w:r>
        <w:rPr>
          <w:sz w:val="20"/>
          <w:szCs w:val="20"/>
        </w:rPr>
        <w:t>In order to market and sell our products outside the U.S., we or our third-party collaborators may be required to obtain separate marketing approvals and comply with numerous and varying regulatory req</w:t>
      </w:r>
      <w:r>
        <w:rPr>
          <w:sz w:val="20"/>
          <w:szCs w:val="20"/>
        </w:rPr>
        <w:t>uirements. Obtaining and maintaining regulatory approval of our product candidates in one jurisdiction does not guarantee that we will be able to obtain or maintain regulatory approval in any other jurisdiction, while a failure or delay in obtaining regula</w:t>
      </w:r>
      <w:r>
        <w:rPr>
          <w:sz w:val="20"/>
          <w:szCs w:val="20"/>
        </w:rPr>
        <w:t>tory approval in one jurisdiction may have a negative effect on the regulatory approval process in others. Approval policies and requirements may vary among jurisdictions. For example, even if the FDA grants marketing approval of a product candidate, compa</w:t>
      </w:r>
      <w:r>
        <w:rPr>
          <w:sz w:val="20"/>
          <w:szCs w:val="20"/>
        </w:rPr>
        <w:t>rable regulatory authorities in foreign jurisdictions must also approve the manufacturing, marketing and promotion of the product candidate in those countries. Approval procedures vary among jurisdictions and can involve requirements and administrative rev</w:t>
      </w:r>
      <w:r>
        <w:rPr>
          <w:sz w:val="20"/>
          <w:szCs w:val="20"/>
        </w:rPr>
        <w:t>iew periods different from, and greater than, those in the U.S., including additional preclinical studies or clinical trials as clinical studies conducted in one jurisdiction may not be accepted by regulatory authorities in other jurisdictions. In many jur</w:t>
      </w:r>
      <w:r>
        <w:rPr>
          <w:sz w:val="20"/>
          <w:szCs w:val="20"/>
        </w:rPr>
        <w:t>isdictions outside the U.S., a product candidate must be approved for reimbursement before it can be approved for sale in that jurisdiction. In some cases, the price that we intend to charge for our products is also subject to approval. We or our collabora</w:t>
      </w:r>
      <w:r>
        <w:rPr>
          <w:sz w:val="20"/>
          <w:szCs w:val="20"/>
        </w:rPr>
        <w:t>tors may not be able to file for regulatory approval of our product candidates in international jurisdictions or obtain approvals from regulatory authorities outside the U.S. on a timely basis, if at all.</w:t>
      </w:r>
    </w:p>
    <w:p w:rsidR="00000000" w:rsidRDefault="00F22B2C">
      <w:pPr>
        <w:pStyle w:val="a3"/>
        <w:spacing w:before="0" w:beforeAutospacing="0" w:after="200" w:afterAutospacing="0"/>
        <w:ind w:firstLine="547"/>
        <w:divId w:val="2037463644"/>
        <w:rPr>
          <w:sz w:val="20"/>
          <w:szCs w:val="20"/>
        </w:rPr>
      </w:pPr>
      <w:r>
        <w:rPr>
          <w:sz w:val="20"/>
          <w:szCs w:val="20"/>
        </w:rPr>
        <w:t xml:space="preserve">We may also submit marketing applications in other </w:t>
      </w:r>
      <w:r>
        <w:rPr>
          <w:sz w:val="20"/>
          <w:szCs w:val="20"/>
        </w:rPr>
        <w:t>countries. Regulatory authorities in jurisdictions outside of the U.S. have requirements for approval of product candidates with which we must comply prior to marketing in those jurisdictions. Obtaining foreign regulatory approvals and compliance with fore</w:t>
      </w:r>
      <w:r>
        <w:rPr>
          <w:sz w:val="20"/>
          <w:szCs w:val="20"/>
        </w:rPr>
        <w:t>ign regulatory requirements could result in significant delays, difficulties and costs for us and could delay or prevent the introduction of our products in certain countries. If we fail to comply with the regulatory requirements in international markets a</w:t>
      </w:r>
      <w:r>
        <w:rPr>
          <w:sz w:val="20"/>
          <w:szCs w:val="20"/>
        </w:rPr>
        <w:t>nd/or receive applicable marketing approvals, our target market will be reduced and our ability to realize the full market potential of our product candidates will be harmed.</w:t>
      </w:r>
    </w:p>
    <w:p w:rsidR="00000000" w:rsidRDefault="00F22B2C">
      <w:pPr>
        <w:pStyle w:val="a3"/>
        <w:spacing w:before="0" w:beforeAutospacing="0" w:after="200" w:afterAutospacing="0"/>
        <w:ind w:firstLine="547"/>
        <w:divId w:val="2037463644"/>
        <w:rPr>
          <w:sz w:val="20"/>
          <w:szCs w:val="20"/>
        </w:rPr>
      </w:pPr>
      <w:r>
        <w:rPr>
          <w:b/>
          <w:bCs/>
          <w:i/>
          <w:iCs/>
          <w:sz w:val="20"/>
          <w:szCs w:val="20"/>
        </w:rPr>
        <w:t>We are, and if we receive regulatory approval of our product candidates, will con</w:t>
      </w:r>
      <w:r>
        <w:rPr>
          <w:b/>
          <w:bCs/>
          <w:i/>
          <w:iCs/>
          <w:sz w:val="20"/>
          <w:szCs w:val="20"/>
        </w:rPr>
        <w:t>tinue to be subject to ongoing regulatory obligations and continued regulatory review, which may result in significant additional expense and we may be subject to penalties if we fail to comply with regulatory requirements or experience unanticipated probl</w:t>
      </w:r>
      <w:r>
        <w:rPr>
          <w:b/>
          <w:bCs/>
          <w:i/>
          <w:iCs/>
          <w:sz w:val="20"/>
          <w:szCs w:val="20"/>
        </w:rPr>
        <w:t>ems with our product candidates.</w:t>
      </w:r>
    </w:p>
    <w:p w:rsidR="00000000" w:rsidRDefault="00F22B2C">
      <w:pPr>
        <w:pStyle w:val="a3"/>
        <w:spacing w:before="0" w:beforeAutospacing="0" w:after="200" w:afterAutospacing="0"/>
        <w:ind w:firstLine="547"/>
        <w:divId w:val="2037463644"/>
        <w:rPr>
          <w:sz w:val="20"/>
          <w:szCs w:val="20"/>
        </w:rPr>
      </w:pPr>
      <w:r>
        <w:rPr>
          <w:sz w:val="20"/>
          <w:szCs w:val="20"/>
        </w:rPr>
        <w:t>Any regulatory approvals that we receive for our product candidates will require ongoing surveillance to monitor the safety and efficacy of the product candidate. The FDA may also require a REMS to approve our product candidates, which could entail require</w:t>
      </w:r>
      <w:r>
        <w:rPr>
          <w:sz w:val="20"/>
          <w:szCs w:val="20"/>
        </w:rPr>
        <w:t>ments for a medication guide, physician communication plans or additional elements to ensure safe use, such as restricted distribution methods, patient registries and other risk minimization tools. The FDA may also require post-approval Phase 4 studies. Mo</w:t>
      </w:r>
      <w:r>
        <w:rPr>
          <w:sz w:val="20"/>
          <w:szCs w:val="20"/>
        </w:rPr>
        <w:t>reover, the FDA and comparable foreign regulatory authorities will continue to closely monitor the safety profile of any product even after approval. If the FDA or comparable foreign regulatory authorities become aware of new safety information after appro</w:t>
      </w:r>
      <w:r>
        <w:rPr>
          <w:sz w:val="20"/>
          <w:szCs w:val="20"/>
        </w:rPr>
        <w:t>val of any of our product candidates, they may withdraw approval, require labeling changes or establishment of a REMS or similar strategy, impose significant restrictions on a product’s indicated uses or marketing, or impose ongoing requirements for potent</w:t>
      </w:r>
      <w:r>
        <w:rPr>
          <w:sz w:val="20"/>
          <w:szCs w:val="20"/>
        </w:rPr>
        <w:t>ially costly post-approval studies or post-market surveillance. Any such restrictions could limit sales of the product.</w:t>
      </w:r>
    </w:p>
    <w:p w:rsidR="00000000" w:rsidRDefault="00F22B2C">
      <w:pPr>
        <w:pStyle w:val="a3"/>
        <w:spacing w:before="0" w:beforeAutospacing="0" w:after="0" w:afterAutospacing="0"/>
        <w:ind w:firstLine="547"/>
        <w:divId w:val="2037463644"/>
        <w:rPr>
          <w:sz w:val="20"/>
          <w:szCs w:val="20"/>
        </w:rPr>
      </w:pPr>
      <w:r>
        <w:rPr>
          <w:sz w:val="20"/>
          <w:szCs w:val="20"/>
        </w:rPr>
        <w:t>In addition, we, our contractors, and our collaborators are and will remain responsible for FDA compliance, including requirements relat</w:t>
      </w:r>
      <w:r>
        <w:rPr>
          <w:sz w:val="20"/>
          <w:szCs w:val="20"/>
        </w:rPr>
        <w:t xml:space="preserve">ed to product design, testing, clinical and pre-clinical trials approval, manufacturing processes and quality, labeling, </w:t>
      </w:r>
    </w:p>
    <w:p w:rsidR="00000000" w:rsidRDefault="00F22B2C">
      <w:pPr>
        <w:pStyle w:val="a3"/>
        <w:spacing w:before="480" w:beforeAutospacing="0" w:after="0" w:afterAutospacing="0"/>
        <w:jc w:val="center"/>
        <w:divId w:val="70780764"/>
        <w:rPr>
          <w:sz w:val="20"/>
          <w:szCs w:val="20"/>
        </w:rPr>
      </w:pPr>
      <w:r>
        <w:rPr>
          <w:sz w:val="20"/>
          <w:szCs w:val="20"/>
        </w:rPr>
        <w:t>70</w:t>
      </w:r>
    </w:p>
    <w:p w:rsidR="00000000" w:rsidRDefault="00F22B2C">
      <w:pPr>
        <w:pStyle w:val="a3"/>
        <w:spacing w:before="0" w:beforeAutospacing="0" w:after="600" w:afterAutospacing="0"/>
        <w:divId w:val="1550338862"/>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2137523006"/>
        <w:rPr>
          <w:sz w:val="20"/>
          <w:szCs w:val="20"/>
        </w:rPr>
      </w:pPr>
      <w:r>
        <w:rPr>
          <w:sz w:val="20"/>
          <w:szCs w:val="20"/>
        </w:rPr>
        <w:t>packaging, distribution, adverse event and deviation reporting, storage, advertising, m</w:t>
      </w:r>
      <w:r>
        <w:rPr>
          <w:sz w:val="20"/>
          <w:szCs w:val="20"/>
        </w:rPr>
        <w:t>arketing, promotion, sale, import, export, submissions of safety and other post-marketing information and reports such as deviation reports, establishment registration, product listing, annual user fees, and recordkeeping for our product candidates. We and</w:t>
      </w:r>
      <w:r>
        <w:rPr>
          <w:sz w:val="20"/>
          <w:szCs w:val="20"/>
        </w:rPr>
        <w:t xml:space="preserve"> any of our collaborators, including our contract manufacturers, could be subject to periodic unannounced inspections by the FDA to monitor and ensure compliance with regulatory requirements. Application holders must further notify the FDA, and depending o</w:t>
      </w:r>
      <w:r>
        <w:rPr>
          <w:sz w:val="20"/>
          <w:szCs w:val="20"/>
        </w:rPr>
        <w:t>n the nature of the change, obtain FDA pre-approval for product and manufacturing changes. The cost of compliance with post-approval regulations may have a negative effect on our operating results and financial condition.</w:t>
      </w:r>
    </w:p>
    <w:p w:rsidR="00000000" w:rsidRDefault="00F22B2C">
      <w:pPr>
        <w:pStyle w:val="a3"/>
        <w:spacing w:before="0" w:beforeAutospacing="0" w:after="200" w:afterAutospacing="0"/>
        <w:ind w:firstLine="547"/>
        <w:divId w:val="2137523006"/>
        <w:rPr>
          <w:sz w:val="20"/>
          <w:szCs w:val="20"/>
        </w:rPr>
      </w:pPr>
      <w:r>
        <w:rPr>
          <w:sz w:val="20"/>
          <w:szCs w:val="20"/>
        </w:rPr>
        <w:t>Later discovery of previously unkn</w:t>
      </w:r>
      <w:r>
        <w:rPr>
          <w:sz w:val="20"/>
          <w:szCs w:val="20"/>
        </w:rPr>
        <w:t>own problems with our product candidates, including adverse events of unanticipated severity or frequency, that the product is less effective than previously thought, problems with our third-party manufacturers or manufacturing processes, or failure to com</w:t>
      </w:r>
      <w:r>
        <w:rPr>
          <w:sz w:val="20"/>
          <w:szCs w:val="20"/>
        </w:rPr>
        <w:t>ply with regulatory requirements, may result in, among other things:</w:t>
      </w:r>
    </w:p>
    <w:p w:rsidR="00000000" w:rsidRDefault="00F22B2C">
      <w:pPr>
        <w:ind w:left="547" w:hanging="360"/>
        <w:divId w:val="1189761322"/>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product candidates, withdrawal of the product from the market, or voluntary or mandatory product recalls;</w:t>
      </w:r>
    </w:p>
    <w:p w:rsidR="00000000" w:rsidRDefault="00F22B2C">
      <w:pPr>
        <w:ind w:left="547" w:hanging="360"/>
        <w:divId w:val="1546527810"/>
        <w:rPr>
          <w:rFonts w:eastAsia="Times New Roman"/>
          <w:sz w:val="20"/>
          <w:szCs w:val="20"/>
        </w:rPr>
      </w:pPr>
      <w:r>
        <w:rPr>
          <w:rFonts w:eastAsia="Times New Roman"/>
          <w:sz w:val="20"/>
          <w:szCs w:val="20"/>
        </w:rPr>
        <w:t>●</w:t>
      </w:r>
      <w:r>
        <w:rPr>
          <w:rFonts w:eastAsia="Times New Roman"/>
          <w:sz w:val="20"/>
          <w:szCs w:val="20"/>
        </w:rPr>
        <w:t>restrictio</w:t>
      </w:r>
      <w:r>
        <w:rPr>
          <w:rFonts w:eastAsia="Times New Roman"/>
          <w:sz w:val="20"/>
          <w:szCs w:val="20"/>
        </w:rPr>
        <w:t>ns on the labeling of our product candidates, including required additional warnings, such as black box warnings, contraindications, precautions, and restrictions on the approved indication or use;</w:t>
      </w:r>
    </w:p>
    <w:p w:rsidR="00000000" w:rsidRDefault="00F22B2C">
      <w:pPr>
        <w:ind w:left="547" w:hanging="360"/>
        <w:divId w:val="2039158517"/>
        <w:rPr>
          <w:rFonts w:eastAsia="Times New Roman"/>
          <w:sz w:val="20"/>
          <w:szCs w:val="20"/>
        </w:rPr>
      </w:pPr>
      <w:r>
        <w:rPr>
          <w:rFonts w:eastAsia="Times New Roman"/>
          <w:sz w:val="20"/>
          <w:szCs w:val="20"/>
        </w:rPr>
        <w:t>●</w:t>
      </w:r>
      <w:r>
        <w:rPr>
          <w:rFonts w:eastAsia="Times New Roman"/>
          <w:sz w:val="20"/>
          <w:szCs w:val="20"/>
        </w:rPr>
        <w:t>modifications to promotional pieces;</w:t>
      </w:r>
    </w:p>
    <w:p w:rsidR="00000000" w:rsidRDefault="00F22B2C">
      <w:pPr>
        <w:ind w:left="547" w:hanging="360"/>
        <w:divId w:val="1013800761"/>
        <w:rPr>
          <w:rFonts w:eastAsia="Times New Roman"/>
          <w:sz w:val="20"/>
          <w:szCs w:val="20"/>
        </w:rPr>
      </w:pPr>
      <w:r>
        <w:rPr>
          <w:rFonts w:eastAsia="Times New Roman"/>
          <w:sz w:val="20"/>
          <w:szCs w:val="20"/>
        </w:rPr>
        <w:t>●</w:t>
      </w:r>
      <w:r>
        <w:rPr>
          <w:rFonts w:eastAsia="Times New Roman"/>
          <w:sz w:val="20"/>
          <w:szCs w:val="20"/>
        </w:rPr>
        <w:t xml:space="preserve">changes to product </w:t>
      </w:r>
      <w:r>
        <w:rPr>
          <w:rFonts w:eastAsia="Times New Roman"/>
          <w:sz w:val="20"/>
          <w:szCs w:val="20"/>
        </w:rPr>
        <w:t>labeling or the way the product is administered;</w:t>
      </w:r>
    </w:p>
    <w:p w:rsidR="00000000" w:rsidRDefault="00F22B2C">
      <w:pPr>
        <w:ind w:left="547" w:hanging="360"/>
        <w:divId w:val="1123841603"/>
        <w:rPr>
          <w:rFonts w:eastAsia="Times New Roman"/>
          <w:sz w:val="20"/>
          <w:szCs w:val="20"/>
        </w:rPr>
      </w:pPr>
      <w:r>
        <w:rPr>
          <w:rFonts w:eastAsia="Times New Roman"/>
          <w:sz w:val="20"/>
          <w:szCs w:val="20"/>
        </w:rPr>
        <w:t>●</w:t>
      </w:r>
      <w:r>
        <w:rPr>
          <w:rFonts w:eastAsia="Times New Roman"/>
          <w:sz w:val="20"/>
          <w:szCs w:val="20"/>
        </w:rPr>
        <w:t>liability for harm caused to patients or subjects;</w:t>
      </w:r>
    </w:p>
    <w:p w:rsidR="00000000" w:rsidRDefault="00F22B2C">
      <w:pPr>
        <w:ind w:left="547" w:hanging="360"/>
        <w:divId w:val="182792798"/>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rsidR="00000000" w:rsidRDefault="00F22B2C">
      <w:pPr>
        <w:ind w:left="547" w:hanging="360"/>
        <w:divId w:val="1755784030"/>
        <w:rPr>
          <w:rFonts w:eastAsia="Times New Roman"/>
          <w:sz w:val="20"/>
          <w:szCs w:val="20"/>
        </w:rPr>
      </w:pPr>
      <w:r>
        <w:rPr>
          <w:rFonts w:eastAsia="Times New Roman"/>
          <w:sz w:val="20"/>
          <w:szCs w:val="20"/>
        </w:rPr>
        <w:t>●</w:t>
      </w:r>
      <w:r>
        <w:rPr>
          <w:rFonts w:eastAsia="Times New Roman"/>
          <w:sz w:val="20"/>
          <w:szCs w:val="20"/>
        </w:rPr>
        <w:t>refusal by the FDA to approve pending</w:t>
      </w:r>
      <w:r>
        <w:rPr>
          <w:rFonts w:eastAsia="Times New Roman"/>
          <w:sz w:val="20"/>
          <w:szCs w:val="20"/>
        </w:rPr>
        <w:t xml:space="preserve"> applications or supplements to approved applications filed by us or suspension or revocation of license approvals;</w:t>
      </w:r>
    </w:p>
    <w:p w:rsidR="00000000" w:rsidRDefault="00F22B2C">
      <w:pPr>
        <w:ind w:left="547" w:hanging="360"/>
        <w:divId w:val="1629967440"/>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rsidR="00000000" w:rsidRDefault="00F22B2C">
      <w:pPr>
        <w:ind w:left="547" w:hanging="360"/>
        <w:divId w:val="831717565"/>
        <w:rPr>
          <w:rFonts w:eastAsia="Times New Roman"/>
          <w:sz w:val="20"/>
          <w:szCs w:val="20"/>
        </w:rPr>
      </w:pPr>
      <w:r>
        <w:rPr>
          <w:rFonts w:eastAsia="Times New Roman"/>
          <w:sz w:val="20"/>
          <w:szCs w:val="20"/>
        </w:rPr>
        <w:t>●</w:t>
      </w:r>
      <w:r>
        <w:rPr>
          <w:rFonts w:eastAsia="Times New Roman"/>
          <w:sz w:val="20"/>
          <w:szCs w:val="20"/>
        </w:rPr>
        <w:t xml:space="preserve">injunctions or the imposition of civil </w:t>
      </w:r>
      <w:r>
        <w:rPr>
          <w:rFonts w:eastAsia="Times New Roman"/>
          <w:sz w:val="20"/>
          <w:szCs w:val="20"/>
        </w:rPr>
        <w:t>or criminal penalties, including imprisonment;</w:t>
      </w:r>
    </w:p>
    <w:p w:rsidR="00000000" w:rsidRDefault="00F22B2C">
      <w:pPr>
        <w:ind w:left="547" w:hanging="360"/>
        <w:divId w:val="1738893935"/>
        <w:rPr>
          <w:rFonts w:eastAsia="Times New Roman"/>
          <w:sz w:val="20"/>
          <w:szCs w:val="20"/>
        </w:rPr>
      </w:pPr>
      <w:r>
        <w:rPr>
          <w:rFonts w:eastAsia="Times New Roman"/>
          <w:sz w:val="20"/>
          <w:szCs w:val="20"/>
        </w:rPr>
        <w:t>●</w:t>
      </w:r>
      <w:r>
        <w:rPr>
          <w:rFonts w:eastAsia="Times New Roman"/>
          <w:sz w:val="20"/>
          <w:szCs w:val="20"/>
        </w:rPr>
        <w:t>FDA debarment, debarment from government contracts, and refusal of future orders under existing contracts, exclusion from federal healthcare programs, consent decrees, or corporate integrity agreements;</w:t>
      </w:r>
    </w:p>
    <w:p w:rsidR="00000000" w:rsidRDefault="00F22B2C">
      <w:pPr>
        <w:ind w:left="547" w:hanging="360"/>
        <w:divId w:val="1416589857"/>
        <w:rPr>
          <w:rFonts w:eastAsia="Times New Roman"/>
          <w:sz w:val="20"/>
          <w:szCs w:val="20"/>
        </w:rPr>
      </w:pPr>
      <w:r>
        <w:rPr>
          <w:rFonts w:eastAsia="Times New Roman"/>
          <w:sz w:val="20"/>
          <w:szCs w:val="20"/>
        </w:rPr>
        <w:t>●</w:t>
      </w:r>
      <w:r>
        <w:rPr>
          <w:rFonts w:eastAsia="Times New Roman"/>
          <w:sz w:val="20"/>
          <w:szCs w:val="20"/>
        </w:rPr>
        <w:t>regu</w:t>
      </w:r>
      <w:r>
        <w:rPr>
          <w:rFonts w:eastAsia="Times New Roman"/>
          <w:sz w:val="20"/>
          <w:szCs w:val="20"/>
        </w:rPr>
        <w:t>latory authority issuance of safety alerts, Dear Healthcare Provider letters, press releases, or other communications containing warnings or other safety information about the biologic;</w:t>
      </w:r>
    </w:p>
    <w:p w:rsidR="00000000" w:rsidRDefault="00F22B2C">
      <w:pPr>
        <w:ind w:left="547" w:hanging="360"/>
        <w:divId w:val="221992286"/>
        <w:rPr>
          <w:rFonts w:eastAsia="Times New Roman"/>
          <w:sz w:val="20"/>
          <w:szCs w:val="20"/>
        </w:rPr>
      </w:pPr>
      <w:r>
        <w:rPr>
          <w:rFonts w:eastAsia="Times New Roman"/>
          <w:sz w:val="20"/>
          <w:szCs w:val="20"/>
        </w:rPr>
        <w:t>●</w:t>
      </w:r>
      <w:r>
        <w:rPr>
          <w:rFonts w:eastAsia="Times New Roman"/>
          <w:sz w:val="20"/>
          <w:szCs w:val="20"/>
        </w:rPr>
        <w:t>reputational harm; or</w:t>
      </w:r>
    </w:p>
    <w:p w:rsidR="00000000" w:rsidRDefault="00F22B2C">
      <w:pPr>
        <w:ind w:left="547" w:hanging="360"/>
        <w:divId w:val="369304061"/>
        <w:rPr>
          <w:rFonts w:eastAsia="Times New Roman"/>
          <w:sz w:val="20"/>
          <w:szCs w:val="20"/>
        </w:rPr>
      </w:pPr>
      <w:r>
        <w:rPr>
          <w:rFonts w:eastAsia="Times New Roman"/>
          <w:sz w:val="20"/>
          <w:szCs w:val="20"/>
        </w:rPr>
        <w:t>●</w:t>
      </w:r>
      <w:r>
        <w:rPr>
          <w:rFonts w:eastAsia="Times New Roman"/>
          <w:sz w:val="20"/>
          <w:szCs w:val="20"/>
        </w:rPr>
        <w:t>the product becoming less competitive.</w:t>
      </w:r>
    </w:p>
    <w:p w:rsidR="00000000" w:rsidRDefault="00F22B2C">
      <w:pPr>
        <w:pStyle w:val="a3"/>
        <w:spacing w:before="0" w:beforeAutospacing="0" w:after="200" w:afterAutospacing="0"/>
        <w:ind w:firstLine="547"/>
        <w:divId w:val="2137523006"/>
        <w:rPr>
          <w:sz w:val="20"/>
          <w:szCs w:val="20"/>
        </w:rPr>
      </w:pPr>
      <w:r>
        <w:rPr>
          <w:sz w:val="20"/>
          <w:szCs w:val="20"/>
        </w:rPr>
        <w:t xml:space="preserve">Any of </w:t>
      </w:r>
      <w:r>
        <w:rPr>
          <w:sz w:val="20"/>
          <w:szCs w:val="20"/>
        </w:rPr>
        <w:t>these events could further have other material and adverse effects on our operations and business and could adversely impact our stock price and could significantly harm our business, financial condition, results of operations, and prospects.</w:t>
      </w:r>
    </w:p>
    <w:p w:rsidR="00000000" w:rsidRDefault="00F22B2C">
      <w:pPr>
        <w:pStyle w:val="a3"/>
        <w:spacing w:before="0" w:beforeAutospacing="0" w:after="200" w:afterAutospacing="0"/>
        <w:ind w:firstLine="547"/>
        <w:divId w:val="2137523006"/>
        <w:rPr>
          <w:sz w:val="20"/>
          <w:szCs w:val="20"/>
        </w:rPr>
      </w:pPr>
      <w:r>
        <w:rPr>
          <w:sz w:val="20"/>
          <w:szCs w:val="20"/>
        </w:rPr>
        <w:t>The FDA’s and</w:t>
      </w:r>
      <w:r>
        <w:rPr>
          <w:sz w:val="20"/>
          <w:szCs w:val="20"/>
        </w:rPr>
        <w:t xml:space="preserve"> other regulatory authorities’ policies may change, and additional government regulations may be enacted that could prevent, limit or delay regulatory approval of our product candidates. We cannot predict the likelihood, nature or extent of government regu</w:t>
      </w:r>
      <w:r>
        <w:rPr>
          <w:sz w:val="20"/>
          <w:szCs w:val="20"/>
        </w:rPr>
        <w:t>lation that may arise from future legislation or administrative action, either in the U.S. or abroad. If we are slow or unable to adapt to changes in existing requirements or the adoption of new requirements or policies, or if we are not able to maintain r</w:t>
      </w:r>
      <w:r>
        <w:rPr>
          <w:sz w:val="20"/>
          <w:szCs w:val="20"/>
        </w:rPr>
        <w:t>egulatory compliance, we may lose any marketing approval that we may have obtained, be subject to other regulatory enforcement action, and we may not achieve or sustain profitability.</w:t>
      </w:r>
    </w:p>
    <w:p w:rsidR="00000000" w:rsidRDefault="00F22B2C">
      <w:pPr>
        <w:pStyle w:val="a3"/>
        <w:spacing w:before="0" w:beforeAutospacing="0" w:after="200" w:afterAutospacing="0"/>
        <w:ind w:firstLine="547"/>
        <w:divId w:val="2137523006"/>
        <w:rPr>
          <w:sz w:val="20"/>
          <w:szCs w:val="20"/>
        </w:rPr>
      </w:pPr>
      <w:r>
        <w:rPr>
          <w:b/>
          <w:bCs/>
          <w:i/>
          <w:iCs/>
          <w:sz w:val="20"/>
          <w:szCs w:val="20"/>
        </w:rPr>
        <w:t>If we fail to comply with federal and state healthcare and promotional l</w:t>
      </w:r>
      <w:r>
        <w:rPr>
          <w:b/>
          <w:bCs/>
          <w:i/>
          <w:iCs/>
          <w:sz w:val="20"/>
          <w:szCs w:val="20"/>
        </w:rPr>
        <w:t>aws, including fraud and abuse and information privacy and security laws, we could face substantial penalties and our business, financial condition, results of operations, and prospects could be adversely affected.</w:t>
      </w:r>
    </w:p>
    <w:p w:rsidR="00000000" w:rsidRDefault="00F22B2C">
      <w:pPr>
        <w:pStyle w:val="a3"/>
        <w:spacing w:before="0" w:beforeAutospacing="0" w:after="200" w:afterAutospacing="0"/>
        <w:ind w:firstLine="547"/>
        <w:divId w:val="2137523006"/>
        <w:rPr>
          <w:sz w:val="20"/>
          <w:szCs w:val="20"/>
        </w:rPr>
      </w:pPr>
      <w:r>
        <w:rPr>
          <w:sz w:val="20"/>
          <w:szCs w:val="20"/>
        </w:rPr>
        <w:t>As a biopharmaceutical company, we are subject to many federal and state healthcare laws, including the federal AKS, the federal civil and criminal FCA, the civil monetary penalties statute, the Medicaid Drug Rebate statute and other price reporting requir</w:t>
      </w:r>
      <w:r>
        <w:rPr>
          <w:sz w:val="20"/>
          <w:szCs w:val="20"/>
        </w:rPr>
        <w:t>ements, the Veterans Health Care Act of 1992, the federal Health Insurance Portability and Accountability Act of 1996 (as amended by the Health Information Technology for Economics and Clinical Health Act), the Foreign Corrupt Practices Act of 1977, the Pa</w:t>
      </w:r>
      <w:r>
        <w:rPr>
          <w:sz w:val="20"/>
          <w:szCs w:val="20"/>
        </w:rPr>
        <w:t xml:space="preserve">tient Protection and Affordable Care Act of 2010, and similar state laws. Even though we do not and will not control referrals of healthcare services or bill directly to Medicare, Medicaid, or other third-party payors, certain federal and state healthcare </w:t>
      </w:r>
      <w:r>
        <w:rPr>
          <w:sz w:val="20"/>
          <w:szCs w:val="20"/>
        </w:rPr>
        <w:t>laws and regulations pertaining to fraud and abuse and patients’ rights are and will be applicable to our business. If we do not comply with all applicable fraud and abuse laws, we may be subject to enforcement by both the federal government and the states</w:t>
      </w:r>
      <w:r>
        <w:rPr>
          <w:sz w:val="20"/>
          <w:szCs w:val="20"/>
        </w:rPr>
        <w:t xml:space="preserve"> in which we conduct our business.</w:t>
      </w:r>
    </w:p>
    <w:p w:rsidR="00000000" w:rsidRDefault="00F22B2C">
      <w:pPr>
        <w:pStyle w:val="a3"/>
        <w:spacing w:before="480" w:beforeAutospacing="0" w:after="0" w:afterAutospacing="0"/>
        <w:jc w:val="center"/>
        <w:divId w:val="2029327628"/>
        <w:rPr>
          <w:sz w:val="20"/>
          <w:szCs w:val="20"/>
        </w:rPr>
      </w:pPr>
      <w:r>
        <w:rPr>
          <w:sz w:val="20"/>
          <w:szCs w:val="20"/>
        </w:rPr>
        <w:t>71</w:t>
      </w:r>
    </w:p>
    <w:p w:rsidR="00000000" w:rsidRDefault="00F22B2C">
      <w:pPr>
        <w:pStyle w:val="a3"/>
        <w:spacing w:before="0" w:beforeAutospacing="0" w:after="600" w:afterAutospacing="0"/>
        <w:divId w:val="603154879"/>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7"/>
        <w:divId w:val="1962686255"/>
        <w:rPr>
          <w:sz w:val="20"/>
          <w:szCs w:val="20"/>
        </w:rPr>
      </w:pPr>
      <w:r>
        <w:rPr>
          <w:sz w:val="20"/>
          <w:szCs w:val="20"/>
        </w:rPr>
        <w:t>Laws and regulations require calculation and reporting of complex pricing information for prescription drugs, and compliance will require us to invest in significant resources and develop a price reporting infrastructure, or depend on third parties to comp</w:t>
      </w:r>
      <w:r>
        <w:rPr>
          <w:sz w:val="20"/>
          <w:szCs w:val="20"/>
        </w:rPr>
        <w:t>ute and report our drug pricing. Pricing reported to CMS must be certified. Non-compliant activities expose us to FCA risk if they result in overcharging agencies, underpaying rebates to agencies, or causing agencies to overpay providers.</w:t>
      </w:r>
    </w:p>
    <w:p w:rsidR="00000000" w:rsidRDefault="00F22B2C">
      <w:pPr>
        <w:pStyle w:val="a3"/>
        <w:spacing w:before="0" w:beforeAutospacing="0" w:after="200" w:afterAutospacing="0"/>
        <w:ind w:firstLine="547"/>
        <w:divId w:val="1962686255"/>
        <w:rPr>
          <w:sz w:val="20"/>
          <w:szCs w:val="20"/>
        </w:rPr>
      </w:pPr>
      <w:r>
        <w:rPr>
          <w:sz w:val="20"/>
          <w:szCs w:val="20"/>
        </w:rPr>
        <w:t>If we or our oper</w:t>
      </w:r>
      <w:r>
        <w:rPr>
          <w:sz w:val="20"/>
          <w:szCs w:val="20"/>
        </w:rPr>
        <w:t>ations are found to be in violation of any federal or state healthcare law, or any other governmental regulations that apply to us, we may be subject to penalties, including civil, criminal, and administrative penalties, damages, fines, disgorgement, debar</w:t>
      </w:r>
      <w:r>
        <w:rPr>
          <w:sz w:val="20"/>
          <w:szCs w:val="20"/>
        </w:rPr>
        <w:t>ment from government contracts, refusal of orders under existing contracts, exclusion from participation in U.S. federal or state health care programs, corporate integrity agreements, and the curtailment or restructuring of our operations, any of which cou</w:t>
      </w:r>
      <w:r>
        <w:rPr>
          <w:sz w:val="20"/>
          <w:szCs w:val="20"/>
        </w:rPr>
        <w:t>ld materially adversely affect our ability to operate our business and our financial results. If any of the physicians or other healthcare providers or entities with whom we expect to do business, including our collaborators, is found not to be in complian</w:t>
      </w:r>
      <w:r>
        <w:rPr>
          <w:sz w:val="20"/>
          <w:szCs w:val="20"/>
        </w:rPr>
        <w:t>ce with applicable laws, they may be subject to criminal, civil, or administrative sanctions, including but not limited to, exclusions from participation in government healthcare programs, which could also materially affect our business.</w:t>
      </w:r>
    </w:p>
    <w:p w:rsidR="00000000" w:rsidRDefault="00F22B2C">
      <w:pPr>
        <w:pStyle w:val="a3"/>
        <w:spacing w:before="0" w:beforeAutospacing="0" w:after="200" w:afterAutospacing="0"/>
        <w:ind w:firstLine="547"/>
        <w:divId w:val="1962686255"/>
        <w:rPr>
          <w:sz w:val="20"/>
          <w:szCs w:val="20"/>
        </w:rPr>
      </w:pPr>
      <w:r>
        <w:rPr>
          <w:sz w:val="20"/>
          <w:szCs w:val="20"/>
        </w:rPr>
        <w:t xml:space="preserve">In particular, if </w:t>
      </w:r>
      <w:r>
        <w:rPr>
          <w:sz w:val="20"/>
          <w:szCs w:val="20"/>
        </w:rPr>
        <w:t xml:space="preserve">we are found to have impermissibly promoted any of our product candidates, we may become subject to significant liability and government fines. We, and any of our collaborators, must comply with requirements concerning advertising and promotion for any of </w:t>
      </w:r>
      <w:r>
        <w:rPr>
          <w:sz w:val="20"/>
          <w:szCs w:val="20"/>
        </w:rPr>
        <w:t>our product candidates for which we or they obtain marketing approval. Promotional communications with respect to therapeutics are subject to a variety of legal and regulatory restrictions and continuing review by the FDA, Department of Justice, Department</w:t>
      </w:r>
      <w:r>
        <w:rPr>
          <w:sz w:val="20"/>
          <w:szCs w:val="20"/>
        </w:rPr>
        <w:t xml:space="preserve"> of Health and Human Services’ Office of Inspector General, state attorneys general, members of Congress, and the public. When the FDA or comparable foreign regulatory authorities issue regulatory approval for a product candidate, the regulatory approval i</w:t>
      </w:r>
      <w:r>
        <w:rPr>
          <w:sz w:val="20"/>
          <w:szCs w:val="20"/>
        </w:rPr>
        <w:t>s limited to those specific uses and indications for which a product is approved. If we are not able to obtain FDA approval for desired uses or indications for our products and product candidates, we may not market or promote our products for those indicat</w:t>
      </w:r>
      <w:r>
        <w:rPr>
          <w:sz w:val="20"/>
          <w:szCs w:val="20"/>
        </w:rPr>
        <w:t>ions and uses, referred to as off-label uses, and our business may be adversely affected. We further must be able to sufficiently substantiate any claims that we make for our products including claims comparing our products to other companies’ products and</w:t>
      </w:r>
      <w:r>
        <w:rPr>
          <w:sz w:val="20"/>
          <w:szCs w:val="20"/>
        </w:rPr>
        <w:t xml:space="preserve"> must abide by the FDA’s strict requirements regarding the content of promotion and advertising.</w:t>
      </w:r>
    </w:p>
    <w:p w:rsidR="00000000" w:rsidRDefault="00F22B2C">
      <w:pPr>
        <w:pStyle w:val="a3"/>
        <w:spacing w:before="0" w:beforeAutospacing="0" w:after="200" w:afterAutospacing="0"/>
        <w:ind w:firstLine="547"/>
        <w:divId w:val="1962686255"/>
        <w:rPr>
          <w:sz w:val="20"/>
          <w:szCs w:val="20"/>
        </w:rPr>
      </w:pPr>
      <w:r>
        <w:rPr>
          <w:sz w:val="20"/>
          <w:szCs w:val="20"/>
        </w:rPr>
        <w:t>While physicians may choose to prescribe products for uses that are not described in the product’s labeling and for uses that differ from those tested in clini</w:t>
      </w:r>
      <w:r>
        <w:rPr>
          <w:sz w:val="20"/>
          <w:szCs w:val="20"/>
        </w:rPr>
        <w:t>cal studies and approved by the regulatory authorities, we are prohibited from marketing and promoting the products for indications and uses that are not specifically approved by the FDA. These off-label uses are common across medical specialties and may c</w:t>
      </w:r>
      <w:r>
        <w:rPr>
          <w:sz w:val="20"/>
          <w:szCs w:val="20"/>
        </w:rPr>
        <w:t>onstitute an appropriate treatment for some patients in varied circumstances. Regulatory authorities in the U.S. generally do not restrict or regulate the behavior of physicians in their choice of treatment within the practice of medicine. Regulatory autho</w:t>
      </w:r>
      <w:r>
        <w:rPr>
          <w:sz w:val="20"/>
          <w:szCs w:val="20"/>
        </w:rPr>
        <w:t>rities do, however, restrict communications by biopharmaceutical companies concerning off-label use.</w:t>
      </w:r>
    </w:p>
    <w:p w:rsidR="00000000" w:rsidRDefault="00F22B2C">
      <w:pPr>
        <w:pStyle w:val="a3"/>
        <w:spacing w:before="0" w:beforeAutospacing="0" w:after="200" w:afterAutospacing="0"/>
        <w:ind w:firstLine="547"/>
        <w:divId w:val="1962686255"/>
        <w:rPr>
          <w:sz w:val="20"/>
          <w:szCs w:val="20"/>
        </w:rPr>
      </w:pPr>
      <w:r>
        <w:rPr>
          <w:sz w:val="20"/>
          <w:szCs w:val="20"/>
        </w:rPr>
        <w:t>The FDA and other agencies actively enforce the laws and regulations regarding product promotion, particularly those prohibiting the promotion of off-label</w:t>
      </w:r>
      <w:r>
        <w:rPr>
          <w:sz w:val="20"/>
          <w:szCs w:val="20"/>
        </w:rPr>
        <w:t xml:space="preserve"> uses, and a company that is found to have improperly promoted a product may be subject to significant sanctions. The federal government has levied large civil and criminal fines against companies for alleged improper promotion and has enjoined several com</w:t>
      </w:r>
      <w:r>
        <w:rPr>
          <w:sz w:val="20"/>
          <w:szCs w:val="20"/>
        </w:rPr>
        <w:t xml:space="preserve">panies from engaging in off-label promotion. The FDA has also requested that companies enter into consent decrees of permanent injunctions under which specified promotional conduct is changed or curtailed. Thus, we and any of our collaborators will not be </w:t>
      </w:r>
      <w:r>
        <w:rPr>
          <w:sz w:val="20"/>
          <w:szCs w:val="20"/>
        </w:rPr>
        <w:t>able to promote any products we develop for indications or uses for which they are not approved.</w:t>
      </w:r>
    </w:p>
    <w:p w:rsidR="00000000" w:rsidRDefault="00F22B2C">
      <w:pPr>
        <w:pStyle w:val="a3"/>
        <w:spacing w:before="0" w:beforeAutospacing="0" w:after="0" w:afterAutospacing="0"/>
        <w:ind w:firstLine="547"/>
        <w:divId w:val="1962686255"/>
        <w:rPr>
          <w:sz w:val="20"/>
          <w:szCs w:val="20"/>
        </w:rPr>
      </w:pPr>
      <w:r>
        <w:rPr>
          <w:sz w:val="20"/>
          <w:szCs w:val="20"/>
        </w:rPr>
        <w:t>In the U.S., engaging in the impermissible promotion of our products, following approval, for off-label uses can also subject us to false claims and other liti</w:t>
      </w:r>
      <w:r>
        <w:rPr>
          <w:sz w:val="20"/>
          <w:szCs w:val="20"/>
        </w:rPr>
        <w:t>gation under federal and state statutes, including fraud and abuse and consumer protection laws, which can lead to civil and criminal penalties and fines, agreements with governmental authorities that materially restrict the manner in which we promote or d</w:t>
      </w:r>
      <w:r>
        <w:rPr>
          <w:sz w:val="20"/>
          <w:szCs w:val="20"/>
        </w:rPr>
        <w:t>istribute therapeutic products and do business through, for example, corporate integrity agreements, suspension or exclusion from participation in federal and state healthcare programs, and debarment from government contracts and refusal of future orders u</w:t>
      </w:r>
      <w:r>
        <w:rPr>
          <w:sz w:val="20"/>
          <w:szCs w:val="20"/>
        </w:rPr>
        <w:t>nder existing contracts. These false claims statutes include the federal civil False Claims Act, which allows any individual to bring a lawsuit against a biopharmaceutical company on behalf of the federal government alleging submission of false or fraudule</w:t>
      </w:r>
      <w:r>
        <w:rPr>
          <w:sz w:val="20"/>
          <w:szCs w:val="20"/>
        </w:rPr>
        <w:t>nt claims or causing others to present such false or fraudulent claims, for payment by a federal program such as Medicare or Medicaid. If the government decides to intervene and prevails in the lawsuit, the individual will share in the proceeds from any fi</w:t>
      </w:r>
      <w:r>
        <w:rPr>
          <w:sz w:val="20"/>
          <w:szCs w:val="20"/>
        </w:rPr>
        <w:t xml:space="preserve">nes or settlement funds. If the government declines to intervene, the individual may pursue the case alone. These False Claims Act lawsuits against manufacturers of drugs and biologics have increased significantly in volume and breadth, leading to several </w:t>
      </w:r>
      <w:r>
        <w:rPr>
          <w:sz w:val="20"/>
          <w:szCs w:val="20"/>
        </w:rPr>
        <w:t>substantial civil and criminal settlements, up to $3.0 billion, pertaining to certain sales practices and promoting off-label uses. In addition, False Claims Act lawsuits may expose manufacturers to follow-on claims by private payors based on fraudulent ma</w:t>
      </w:r>
      <w:r>
        <w:rPr>
          <w:sz w:val="20"/>
          <w:szCs w:val="20"/>
        </w:rPr>
        <w:t>rketing practices. This growth in litigation has increased the risk that a biopharmaceutical company will have to defend a false claim action, pay settlement fines or restitution, as well as criminal and civil penalties, agree to comply with burdensome rep</w:t>
      </w:r>
      <w:r>
        <w:rPr>
          <w:sz w:val="20"/>
          <w:szCs w:val="20"/>
        </w:rPr>
        <w:t xml:space="preserve">orting and compliance obligations, and be excluded from Medicare, Medicaid, or other federal and state healthcare programs. If we or our future collaborators do not lawfully </w:t>
      </w:r>
    </w:p>
    <w:p w:rsidR="00000000" w:rsidRDefault="00F22B2C">
      <w:pPr>
        <w:pStyle w:val="a3"/>
        <w:spacing w:before="480" w:beforeAutospacing="0" w:after="0" w:afterAutospacing="0"/>
        <w:jc w:val="center"/>
        <w:divId w:val="334918117"/>
        <w:rPr>
          <w:sz w:val="20"/>
          <w:szCs w:val="20"/>
        </w:rPr>
      </w:pPr>
      <w:r>
        <w:rPr>
          <w:sz w:val="20"/>
          <w:szCs w:val="20"/>
        </w:rPr>
        <w:t>72</w:t>
      </w:r>
    </w:p>
    <w:p w:rsidR="00000000" w:rsidRDefault="00F22B2C">
      <w:pPr>
        <w:pStyle w:val="a3"/>
        <w:spacing w:before="0" w:beforeAutospacing="0" w:after="600" w:afterAutospacing="0"/>
        <w:divId w:val="134566063"/>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1214925594"/>
        <w:rPr>
          <w:sz w:val="20"/>
          <w:szCs w:val="20"/>
        </w:rPr>
      </w:pPr>
      <w:r>
        <w:rPr>
          <w:sz w:val="20"/>
          <w:szCs w:val="20"/>
        </w:rPr>
        <w:t xml:space="preserve">promote our approved products, if </w:t>
      </w:r>
      <w:r>
        <w:rPr>
          <w:sz w:val="20"/>
          <w:szCs w:val="20"/>
        </w:rPr>
        <w:t>any, we may become subject to such litigation and, if we do not successfully defend against such actions, those actions may have a material adverse effect on our business, financial condition, results of operations and prospects.</w:t>
      </w:r>
    </w:p>
    <w:p w:rsidR="00000000" w:rsidRDefault="00F22B2C">
      <w:pPr>
        <w:pStyle w:val="a3"/>
        <w:spacing w:before="0" w:beforeAutospacing="0" w:after="200" w:afterAutospacing="0"/>
        <w:ind w:firstLine="547"/>
        <w:divId w:val="1214925594"/>
        <w:rPr>
          <w:sz w:val="20"/>
          <w:szCs w:val="20"/>
        </w:rPr>
      </w:pPr>
      <w:r>
        <w:rPr>
          <w:sz w:val="20"/>
          <w:szCs w:val="20"/>
        </w:rPr>
        <w:t>Although an effective comp</w:t>
      </w:r>
      <w:r>
        <w:rPr>
          <w:sz w:val="20"/>
          <w:szCs w:val="20"/>
        </w:rPr>
        <w:t>liance program can mitigate the risk of investigation and prosecution for violations of these laws, the risks cannot be entirely eliminated. Moreover, achieving and sustaining compliance with applicable federal and state fraud laws may prove costly. Any ac</w:t>
      </w:r>
      <w:r>
        <w:rPr>
          <w:sz w:val="20"/>
          <w:szCs w:val="20"/>
        </w:rPr>
        <w:t>tion against us for violation of these laws, even if we successfully defend against it, could cause us to incur significant legal expenses and divert our management’s attention from the operation of our business.</w:t>
      </w:r>
    </w:p>
    <w:p w:rsidR="00000000" w:rsidRDefault="00F22B2C">
      <w:pPr>
        <w:pStyle w:val="a3"/>
        <w:spacing w:before="0" w:beforeAutospacing="0" w:after="200" w:afterAutospacing="0"/>
        <w:ind w:firstLine="547"/>
        <w:divId w:val="1214925594"/>
        <w:rPr>
          <w:sz w:val="20"/>
          <w:szCs w:val="20"/>
        </w:rPr>
      </w:pPr>
      <w:r>
        <w:rPr>
          <w:b/>
          <w:bCs/>
          <w:i/>
          <w:iCs/>
          <w:sz w:val="20"/>
          <w:szCs w:val="20"/>
        </w:rPr>
        <w:t>Coverage and reimbursement may be limited o</w:t>
      </w:r>
      <w:r>
        <w:rPr>
          <w:b/>
          <w:bCs/>
          <w:i/>
          <w:iCs/>
          <w:sz w:val="20"/>
          <w:szCs w:val="20"/>
        </w:rPr>
        <w:t>r unavailable in certain market segments for our product candidates, which could make it difficult for us to sell our product candidates profitably.</w:t>
      </w:r>
    </w:p>
    <w:p w:rsidR="00000000" w:rsidRDefault="00F22B2C">
      <w:pPr>
        <w:pStyle w:val="a3"/>
        <w:spacing w:before="0" w:beforeAutospacing="0" w:after="200" w:afterAutospacing="0"/>
        <w:ind w:firstLine="547"/>
        <w:divId w:val="1214925594"/>
        <w:rPr>
          <w:sz w:val="20"/>
          <w:szCs w:val="20"/>
        </w:rPr>
      </w:pPr>
      <w:r>
        <w:rPr>
          <w:sz w:val="20"/>
          <w:szCs w:val="20"/>
        </w:rPr>
        <w:t>In both domestic and foreign markets, sales of our product candidates, if approved, depend on the availabil</w:t>
      </w:r>
      <w:r>
        <w:rPr>
          <w:sz w:val="20"/>
          <w:szCs w:val="20"/>
        </w:rPr>
        <w:t>ity of coverage and adequate reimbursement from third-party payors. Such third-party payors include government health programs such as Medicare and Medicaid, managed care providers, private health insurers, and other organizations. In addition, because our</w:t>
      </w:r>
      <w:r>
        <w:rPr>
          <w:sz w:val="20"/>
          <w:szCs w:val="20"/>
        </w:rPr>
        <w:t xml:space="preserve"> product candidates represent new approaches to the treatment of cancer, we cannot accurately estimate the potential revenue from our product candidates.</w:t>
      </w:r>
    </w:p>
    <w:p w:rsidR="00000000" w:rsidRDefault="00F22B2C">
      <w:pPr>
        <w:pStyle w:val="a3"/>
        <w:spacing w:before="0" w:beforeAutospacing="0" w:after="200" w:afterAutospacing="0"/>
        <w:ind w:firstLine="547"/>
        <w:divId w:val="1214925594"/>
        <w:rPr>
          <w:sz w:val="20"/>
          <w:szCs w:val="20"/>
        </w:rPr>
      </w:pPr>
      <w:r>
        <w:rPr>
          <w:sz w:val="20"/>
          <w:szCs w:val="20"/>
        </w:rPr>
        <w:t xml:space="preserve">Patients who are provided medical treatment for their conditions generally rely on third-party payors </w:t>
      </w:r>
      <w:r>
        <w:rPr>
          <w:sz w:val="20"/>
          <w:szCs w:val="20"/>
        </w:rPr>
        <w:t>to reimburse all or part of the costs associated with their treatment. Obtaining coverage and adequate reimbursement from governmental healthcare programs, such as Medicare and Medicaid, and commercial payors is critical to new product acceptance.</w:t>
      </w:r>
    </w:p>
    <w:p w:rsidR="00000000" w:rsidRDefault="00F22B2C">
      <w:pPr>
        <w:pStyle w:val="a3"/>
        <w:spacing w:before="0" w:beforeAutospacing="0" w:after="200" w:afterAutospacing="0"/>
        <w:ind w:firstLine="547"/>
        <w:divId w:val="1214925594"/>
        <w:rPr>
          <w:sz w:val="20"/>
          <w:szCs w:val="20"/>
        </w:rPr>
      </w:pPr>
      <w:r>
        <w:rPr>
          <w:sz w:val="20"/>
          <w:szCs w:val="20"/>
        </w:rPr>
        <w:t>Governme</w:t>
      </w:r>
      <w:r>
        <w:rPr>
          <w:sz w:val="20"/>
          <w:szCs w:val="20"/>
        </w:rPr>
        <w:t xml:space="preserve">nt authorities and third-party payors decide which drugs and treatments they will cover and the amount of reimbursement. Coverage decisions may depend upon clinical and economic standards that disfavor new drug products when more established or lower cost </w:t>
      </w:r>
      <w:r>
        <w:rPr>
          <w:sz w:val="20"/>
          <w:szCs w:val="20"/>
        </w:rPr>
        <w:t xml:space="preserve">therapeutic alternatives are already available or subsequently become available. If reimbursement is not available, or is available only to limited levels, our product candidates may be competitively disadvantaged, and we, or our collaborators, may not be </w:t>
      </w:r>
      <w:r>
        <w:rPr>
          <w:sz w:val="20"/>
          <w:szCs w:val="20"/>
        </w:rPr>
        <w:t xml:space="preserve">able to successfully commercialize our product candidates. Even if coverage is provided, the approved reimbursement amount may not be high enough to allow us, or our collaborators, to establish or maintain a market share sufficient to realize a sufficient </w:t>
      </w:r>
      <w:r>
        <w:rPr>
          <w:sz w:val="20"/>
          <w:szCs w:val="20"/>
        </w:rPr>
        <w:t>return on our or their investments. Alternatively, securing favorable reimbursement terms may require us to compromise pricing and prevent us from realizing an adequate margin over cost. Reimbursement by a third-party payor may depend upon a number of fact</w:t>
      </w:r>
      <w:r>
        <w:rPr>
          <w:sz w:val="20"/>
          <w:szCs w:val="20"/>
        </w:rPr>
        <w:t>ors, including, but not limited to, the third-party payor’s determination that use of a product is:</w:t>
      </w:r>
    </w:p>
    <w:p w:rsidR="00000000" w:rsidRDefault="00F22B2C">
      <w:pPr>
        <w:ind w:left="547" w:hanging="360"/>
        <w:divId w:val="1902716187"/>
        <w:rPr>
          <w:rFonts w:eastAsia="Times New Roman"/>
          <w:sz w:val="20"/>
          <w:szCs w:val="20"/>
        </w:rPr>
      </w:pPr>
      <w:r>
        <w:rPr>
          <w:rFonts w:eastAsia="Times New Roman"/>
          <w:sz w:val="20"/>
          <w:szCs w:val="20"/>
        </w:rPr>
        <w:t>●</w:t>
      </w:r>
      <w:r>
        <w:rPr>
          <w:rFonts w:eastAsia="Times New Roman"/>
          <w:sz w:val="20"/>
          <w:szCs w:val="20"/>
        </w:rPr>
        <w:t>a covered benefit under its health plan;</w:t>
      </w:r>
    </w:p>
    <w:p w:rsidR="00000000" w:rsidRDefault="00F22B2C">
      <w:pPr>
        <w:ind w:left="547" w:hanging="360"/>
        <w:divId w:val="165290850"/>
        <w:rPr>
          <w:rFonts w:eastAsia="Times New Roman"/>
          <w:sz w:val="20"/>
          <w:szCs w:val="20"/>
        </w:rPr>
      </w:pPr>
      <w:r>
        <w:rPr>
          <w:rFonts w:eastAsia="Times New Roman"/>
          <w:sz w:val="20"/>
          <w:szCs w:val="20"/>
        </w:rPr>
        <w:t>●</w:t>
      </w:r>
      <w:r>
        <w:rPr>
          <w:rFonts w:eastAsia="Times New Roman"/>
          <w:sz w:val="20"/>
          <w:szCs w:val="20"/>
        </w:rPr>
        <w:t>safe, effective and medically necessary;</w:t>
      </w:r>
    </w:p>
    <w:p w:rsidR="00000000" w:rsidRDefault="00F22B2C">
      <w:pPr>
        <w:ind w:left="547" w:hanging="360"/>
        <w:divId w:val="1979607350"/>
        <w:rPr>
          <w:rFonts w:eastAsia="Times New Roman"/>
          <w:sz w:val="20"/>
          <w:szCs w:val="20"/>
        </w:rPr>
      </w:pPr>
      <w:r>
        <w:rPr>
          <w:rFonts w:eastAsia="Times New Roman"/>
          <w:sz w:val="20"/>
          <w:szCs w:val="20"/>
        </w:rPr>
        <w:t>●</w:t>
      </w:r>
      <w:r>
        <w:rPr>
          <w:rFonts w:eastAsia="Times New Roman"/>
          <w:sz w:val="20"/>
          <w:szCs w:val="20"/>
        </w:rPr>
        <w:t>appropriate for the specific patient;</w:t>
      </w:r>
    </w:p>
    <w:p w:rsidR="00000000" w:rsidRDefault="00F22B2C">
      <w:pPr>
        <w:ind w:left="547" w:hanging="360"/>
        <w:divId w:val="1772965143"/>
        <w:rPr>
          <w:rFonts w:eastAsia="Times New Roman"/>
          <w:sz w:val="20"/>
          <w:szCs w:val="20"/>
        </w:rPr>
      </w:pPr>
      <w:r>
        <w:rPr>
          <w:rFonts w:eastAsia="Times New Roman"/>
          <w:sz w:val="20"/>
          <w:szCs w:val="20"/>
        </w:rPr>
        <w:t>●</w:t>
      </w:r>
      <w:r>
        <w:rPr>
          <w:rFonts w:eastAsia="Times New Roman"/>
          <w:sz w:val="20"/>
          <w:szCs w:val="20"/>
        </w:rPr>
        <w:t>cost-effective; and</w:t>
      </w:r>
    </w:p>
    <w:p w:rsidR="00000000" w:rsidRDefault="00F22B2C">
      <w:pPr>
        <w:ind w:left="547" w:hanging="360"/>
        <w:divId w:val="317346493"/>
        <w:rPr>
          <w:rFonts w:eastAsia="Times New Roman"/>
          <w:sz w:val="20"/>
          <w:szCs w:val="20"/>
        </w:rPr>
      </w:pPr>
      <w:r>
        <w:rPr>
          <w:rFonts w:eastAsia="Times New Roman"/>
          <w:sz w:val="20"/>
          <w:szCs w:val="20"/>
        </w:rPr>
        <w:t>●</w:t>
      </w:r>
      <w:r>
        <w:rPr>
          <w:rFonts w:eastAsia="Times New Roman"/>
          <w:sz w:val="20"/>
          <w:szCs w:val="20"/>
        </w:rPr>
        <w:t>neither exp</w:t>
      </w:r>
      <w:r>
        <w:rPr>
          <w:rFonts w:eastAsia="Times New Roman"/>
          <w:sz w:val="20"/>
          <w:szCs w:val="20"/>
        </w:rPr>
        <w:t>erimental nor investigational.</w:t>
      </w:r>
    </w:p>
    <w:p w:rsidR="00000000" w:rsidRDefault="00F22B2C">
      <w:pPr>
        <w:pStyle w:val="a3"/>
        <w:spacing w:before="0" w:beforeAutospacing="0" w:after="200" w:afterAutospacing="0"/>
        <w:ind w:firstLine="547"/>
        <w:divId w:val="1214925594"/>
        <w:rPr>
          <w:sz w:val="20"/>
          <w:szCs w:val="20"/>
        </w:rPr>
      </w:pPr>
      <w:r>
        <w:rPr>
          <w:sz w:val="20"/>
          <w:szCs w:val="20"/>
        </w:rPr>
        <w:t>Obtaining coverage and reimbursement approval of a product from a government or other third-party payor is a time-consuming and costly process that could require us to provide to the payor supporting scientific, clinical and cost-effectiveness data for the</w:t>
      </w:r>
      <w:r>
        <w:rPr>
          <w:sz w:val="20"/>
          <w:szCs w:val="20"/>
        </w:rPr>
        <w:t xml:space="preserve"> use of our products. Even if we obtain coverage for a given product, the resulting reimbursement payment rates might not be adequate for us to achieve or sustain profitability or may require co-payments that patients find unacceptably high. Moreover, the </w:t>
      </w:r>
      <w:r>
        <w:rPr>
          <w:sz w:val="20"/>
          <w:szCs w:val="20"/>
        </w:rPr>
        <w:t>factors noted above have continued to be the focus of policy and regulatory debate that has, thus far, shown the potential for movement towards permanent policy changes; this trend is apt to continue, and may result in more or less favorable impacts on pri</w:t>
      </w:r>
      <w:r>
        <w:rPr>
          <w:sz w:val="20"/>
          <w:szCs w:val="20"/>
        </w:rPr>
        <w:t>cing. Patients are unlikely to use our product candidates unless coverage is provided, and reimbursement is adequate to cover a significant portion of the cost of our product candidates.</w:t>
      </w:r>
    </w:p>
    <w:p w:rsidR="00000000" w:rsidRDefault="00F22B2C">
      <w:pPr>
        <w:pStyle w:val="a3"/>
        <w:spacing w:before="0" w:beforeAutospacing="0" w:after="200" w:afterAutospacing="0"/>
        <w:ind w:firstLine="547"/>
        <w:divId w:val="1214925594"/>
        <w:rPr>
          <w:sz w:val="20"/>
          <w:szCs w:val="20"/>
        </w:rPr>
      </w:pPr>
      <w:r>
        <w:rPr>
          <w:sz w:val="20"/>
          <w:szCs w:val="20"/>
        </w:rPr>
        <w:t>In the U.S., no uniform policy of coverage and reimbursement for prod</w:t>
      </w:r>
      <w:r>
        <w:rPr>
          <w:sz w:val="20"/>
          <w:szCs w:val="20"/>
        </w:rPr>
        <w:t>ucts exists among third-party payors. Therefore, coverage and reimbursement for products can differ significantly from payor to payor. As a result, the coverage determination process is often a time-consuming and costly process that will require us to prov</w:t>
      </w:r>
      <w:r>
        <w:rPr>
          <w:sz w:val="20"/>
          <w:szCs w:val="20"/>
        </w:rPr>
        <w:t>ide scientific and clinical support for the use of our product candidates to each payor separately, with no assurance that coverage and adequate reimbursement will be obtained.</w:t>
      </w:r>
    </w:p>
    <w:p w:rsidR="00000000" w:rsidRDefault="00F22B2C">
      <w:pPr>
        <w:pStyle w:val="a3"/>
        <w:spacing w:before="0" w:beforeAutospacing="0" w:after="200" w:afterAutospacing="0"/>
        <w:ind w:firstLine="547"/>
        <w:divId w:val="1214925594"/>
        <w:rPr>
          <w:sz w:val="20"/>
          <w:szCs w:val="20"/>
        </w:rPr>
      </w:pPr>
      <w:r>
        <w:rPr>
          <w:sz w:val="20"/>
          <w:szCs w:val="20"/>
        </w:rPr>
        <w:t>Prices paid for a drug also vary depending on the class of trade. Prices charge</w:t>
      </w:r>
      <w:r>
        <w:rPr>
          <w:sz w:val="20"/>
          <w:szCs w:val="20"/>
        </w:rPr>
        <w:t>d to government customers are subject to price controls, including ceilings, and private institutions obtain discounts through group purchasing organizations. Net prices for drugs may be further reduced by mandatory discounts or rebates required by governm</w:t>
      </w:r>
      <w:r>
        <w:rPr>
          <w:sz w:val="20"/>
          <w:szCs w:val="20"/>
        </w:rPr>
        <w:t>ent healthcare programs and demanded by private payors. It is also not uncommon for market conditions to warrant multiple discounts to different customers on the same unit, such as purchase discounts to institutional care providers and rebates to the healt</w:t>
      </w:r>
      <w:r>
        <w:rPr>
          <w:sz w:val="20"/>
          <w:szCs w:val="20"/>
        </w:rPr>
        <w:t>h plans that pay them, which reduces the net realization on the original sale.</w:t>
      </w:r>
    </w:p>
    <w:p w:rsidR="00000000" w:rsidRDefault="00F22B2C">
      <w:pPr>
        <w:pStyle w:val="a3"/>
        <w:spacing w:before="480" w:beforeAutospacing="0" w:after="0" w:afterAutospacing="0"/>
        <w:jc w:val="center"/>
        <w:divId w:val="1108891442"/>
        <w:rPr>
          <w:sz w:val="20"/>
          <w:szCs w:val="20"/>
        </w:rPr>
      </w:pPr>
      <w:r>
        <w:rPr>
          <w:sz w:val="20"/>
          <w:szCs w:val="20"/>
        </w:rPr>
        <w:t>73</w:t>
      </w:r>
    </w:p>
    <w:p w:rsidR="00000000" w:rsidRDefault="00F22B2C">
      <w:pPr>
        <w:pStyle w:val="a3"/>
        <w:spacing w:before="0" w:beforeAutospacing="0" w:after="600" w:afterAutospacing="0"/>
        <w:divId w:val="335426386"/>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7"/>
        <w:divId w:val="554005431"/>
        <w:rPr>
          <w:sz w:val="20"/>
          <w:szCs w:val="20"/>
        </w:rPr>
      </w:pPr>
      <w:r>
        <w:rPr>
          <w:sz w:val="20"/>
          <w:szCs w:val="20"/>
        </w:rPr>
        <w:t>In addition, federal programs impose penalties on manufacturers of drugs marketed under an NDA or BLA, in the form of mandatory ad</w:t>
      </w:r>
      <w:r>
        <w:rPr>
          <w:sz w:val="20"/>
          <w:szCs w:val="20"/>
        </w:rPr>
        <w:t>ditional rebates and/or discounts if commercial prices increase at a rate greater than the Consumer Price Index-Urban, and these rebates and/or discounts, which can be substantial, may impact our ability to raise commercial prices. Regulatory authorities a</w:t>
      </w:r>
      <w:r>
        <w:rPr>
          <w:sz w:val="20"/>
          <w:szCs w:val="20"/>
        </w:rPr>
        <w:t>nd third-party payors have attempted to control costs by limiting coverage and the amount of reimbursement for particular medications, which could affect our ability or that of our collaborators to sell our product candidates profitably. These payors may n</w:t>
      </w:r>
      <w:r>
        <w:rPr>
          <w:sz w:val="20"/>
          <w:szCs w:val="20"/>
        </w:rPr>
        <w:t>ot view our products, if any, as cost-effective, and coverage and reimbursement may not be available to our customers, or those of our collaborators, or may not be sufficient to allow our products, if any, to be marketed on a competitive basis. Cost contro</w:t>
      </w:r>
      <w:r>
        <w:rPr>
          <w:sz w:val="20"/>
          <w:szCs w:val="20"/>
        </w:rPr>
        <w:t>l initiatives could cause us, or our collaborators, to decrease, discount, or rebate a portion of the price we, or they, might establish for products, which could result in lower than anticipated product revenues. If the realized prices for our products, i</w:t>
      </w:r>
      <w:r>
        <w:rPr>
          <w:sz w:val="20"/>
          <w:szCs w:val="20"/>
        </w:rPr>
        <w:t>f any, decrease or if governmental and other third-party payors do not provide adequate coverage or reimbursement, our prospects for revenue and profitability will suffer. Moreover, the recent and ongoing series of congressional hearings relating to drug p</w:t>
      </w:r>
      <w:r>
        <w:rPr>
          <w:sz w:val="20"/>
          <w:szCs w:val="20"/>
        </w:rPr>
        <w:t>ricing has presented heightened attention to the biopharmaceutical industry, creating the potential for political and public pressure, while the potential for resulting legislative or policy changes presents uncertainty.</w:t>
      </w:r>
    </w:p>
    <w:p w:rsidR="00000000" w:rsidRDefault="00F22B2C">
      <w:pPr>
        <w:pStyle w:val="a3"/>
        <w:spacing w:before="0" w:beforeAutospacing="0" w:after="200" w:afterAutospacing="0"/>
        <w:ind w:firstLine="547"/>
        <w:divId w:val="554005431"/>
        <w:rPr>
          <w:sz w:val="20"/>
          <w:szCs w:val="20"/>
        </w:rPr>
      </w:pPr>
      <w:r>
        <w:rPr>
          <w:sz w:val="20"/>
          <w:szCs w:val="20"/>
        </w:rPr>
        <w:t xml:space="preserve">Assuming coverage is approved, the </w:t>
      </w:r>
      <w:r>
        <w:rPr>
          <w:sz w:val="20"/>
          <w:szCs w:val="20"/>
        </w:rPr>
        <w:t>resulting reimbursement payment rates might not be adequate. If payors subject our product candidates to maximum payment amounts or impose limitations that make it difficult to obtain reimbursement, providers may choose to use therapies which are less expe</w:t>
      </w:r>
      <w:r>
        <w:rPr>
          <w:sz w:val="20"/>
          <w:szCs w:val="20"/>
        </w:rPr>
        <w:t>nsive when compared to our product candidates. Additionally, if payors require high copayments, beneficiaries may decline prescriptions and seek alternative therapies. We may need to conduct post-marketing studies in order to demonstrate the cost-effective</w:t>
      </w:r>
      <w:r>
        <w:rPr>
          <w:sz w:val="20"/>
          <w:szCs w:val="20"/>
        </w:rPr>
        <w:t>ness of any future products to the satisfaction of hospitals and other target customers and their third-party payors. Such studies might require us to commit a significant amount of management time and financial and other resources. Our future products mig</w:t>
      </w:r>
      <w:r>
        <w:rPr>
          <w:sz w:val="20"/>
          <w:szCs w:val="20"/>
        </w:rPr>
        <w:t>ht not ultimately be considered cost-effective. Adequate third-party coverage and reimbursement might not be available to enable us to maintain price levels sufficient to realize an appropriate return on investment in product development.</w:t>
      </w:r>
    </w:p>
    <w:p w:rsidR="00000000" w:rsidRDefault="00F22B2C">
      <w:pPr>
        <w:pStyle w:val="a3"/>
        <w:spacing w:before="0" w:beforeAutospacing="0" w:after="200" w:afterAutospacing="0"/>
        <w:ind w:firstLine="547"/>
        <w:divId w:val="554005431"/>
        <w:rPr>
          <w:sz w:val="20"/>
          <w:szCs w:val="20"/>
        </w:rPr>
      </w:pPr>
      <w:r>
        <w:rPr>
          <w:sz w:val="20"/>
          <w:szCs w:val="20"/>
        </w:rPr>
        <w:t>Third-party payor</w:t>
      </w:r>
      <w:r>
        <w:rPr>
          <w:sz w:val="20"/>
          <w:szCs w:val="20"/>
        </w:rPr>
        <w:t xml:space="preserve">s, whether domestic or foreign, or governmental or commercial, are developing increasingly sophisticated methods of controlling healthcare costs. In addition, third-party payors are requiring higher levels of evidence of the benefits and clinical outcomes </w:t>
      </w:r>
      <w:r>
        <w:rPr>
          <w:sz w:val="20"/>
          <w:szCs w:val="20"/>
        </w:rPr>
        <w:t>of new technologies and are challenging the prices charged. We, and our collaborators, cannot be sure that coverage will be available for any product candidate that we, or they, commercialize and, if available, that the reimbursement rates will be adequate</w:t>
      </w:r>
      <w:r>
        <w:rPr>
          <w:sz w:val="20"/>
          <w:szCs w:val="20"/>
        </w:rPr>
        <w:t>. Further, the net reimbursement for drug products may be subject to additional reductions if there are changes to laws that presently restrict imports of drugs from countries where they may be sold at lower prices than in the U.S. An inability to promptly</w:t>
      </w:r>
      <w:r>
        <w:rPr>
          <w:sz w:val="20"/>
          <w:szCs w:val="20"/>
        </w:rPr>
        <w:t xml:space="preserve"> obtain coverage and adequate payment rates from both government-funded and private payors for any our product candidates for which we obtain marketing approval could have a material adverse effect on our operating results, our ability to raise capital nee</w:t>
      </w:r>
      <w:r>
        <w:rPr>
          <w:sz w:val="20"/>
          <w:szCs w:val="20"/>
        </w:rPr>
        <w:t>ded to commercialize products, and our overall financial condition.</w:t>
      </w:r>
    </w:p>
    <w:p w:rsidR="00000000" w:rsidRDefault="00F22B2C">
      <w:pPr>
        <w:pStyle w:val="a3"/>
        <w:spacing w:before="0" w:beforeAutospacing="0" w:after="200" w:afterAutospacing="0"/>
        <w:ind w:firstLine="547"/>
        <w:divId w:val="554005431"/>
        <w:rPr>
          <w:sz w:val="20"/>
          <w:szCs w:val="20"/>
        </w:rPr>
      </w:pPr>
      <w:r>
        <w:rPr>
          <w:sz w:val="20"/>
          <w:szCs w:val="20"/>
        </w:rPr>
        <w:t>There have been, and likely will continue to be, legislative and regulatory proposals at the federal and state levels directed at broadening the availability of healthcare and containing o</w:t>
      </w:r>
      <w:r>
        <w:rPr>
          <w:sz w:val="20"/>
          <w:szCs w:val="20"/>
        </w:rPr>
        <w:t>r lowering the cost of healthcare. We cannot predict the initiatives that may be adopted in the future. The continuing efforts of the government, insurance companies, managed care organizations and other payors of healthcare services to contain or reduce c</w:t>
      </w:r>
      <w:r>
        <w:rPr>
          <w:sz w:val="20"/>
          <w:szCs w:val="20"/>
        </w:rPr>
        <w:t>osts of healthcare and/or impose price controls may adversely affect:</w:t>
      </w:r>
    </w:p>
    <w:p w:rsidR="00000000" w:rsidRDefault="00F22B2C">
      <w:pPr>
        <w:ind w:left="547" w:hanging="360"/>
        <w:divId w:val="1678187639"/>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rsidR="00000000" w:rsidRDefault="00F22B2C">
      <w:pPr>
        <w:ind w:left="547" w:hanging="360"/>
        <w:divId w:val="232929110"/>
        <w:rPr>
          <w:rFonts w:eastAsia="Times New Roman"/>
          <w:sz w:val="20"/>
          <w:szCs w:val="20"/>
        </w:rPr>
      </w:pPr>
      <w:r>
        <w:rPr>
          <w:rFonts w:eastAsia="Times New Roman"/>
          <w:sz w:val="20"/>
          <w:szCs w:val="20"/>
        </w:rPr>
        <w:t>●</w:t>
      </w:r>
      <w:r>
        <w:rPr>
          <w:rFonts w:eastAsia="Times New Roman"/>
          <w:sz w:val="20"/>
          <w:szCs w:val="20"/>
        </w:rPr>
        <w:t>our ability to set a price that we believe is fair for our products;</w:t>
      </w:r>
    </w:p>
    <w:p w:rsidR="00000000" w:rsidRDefault="00F22B2C">
      <w:pPr>
        <w:ind w:left="547" w:hanging="360"/>
        <w:divId w:val="1808626610"/>
        <w:rPr>
          <w:rFonts w:eastAsia="Times New Roman"/>
          <w:sz w:val="20"/>
          <w:szCs w:val="20"/>
        </w:rPr>
      </w:pPr>
      <w:r>
        <w:rPr>
          <w:rFonts w:eastAsia="Times New Roman"/>
          <w:sz w:val="20"/>
          <w:szCs w:val="20"/>
        </w:rPr>
        <w:t>●</w:t>
      </w:r>
      <w:r>
        <w:rPr>
          <w:rFonts w:eastAsia="Times New Roman"/>
          <w:sz w:val="20"/>
          <w:szCs w:val="20"/>
        </w:rPr>
        <w:t>our ability to generate revenue and achiev</w:t>
      </w:r>
      <w:r>
        <w:rPr>
          <w:rFonts w:eastAsia="Times New Roman"/>
          <w:sz w:val="20"/>
          <w:szCs w:val="20"/>
        </w:rPr>
        <w:t>e or maintain profitability;</w:t>
      </w:r>
    </w:p>
    <w:p w:rsidR="00000000" w:rsidRDefault="00F22B2C">
      <w:pPr>
        <w:ind w:left="547" w:hanging="360"/>
        <w:divId w:val="419714004"/>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rsidR="00000000" w:rsidRDefault="00F22B2C">
      <w:pPr>
        <w:ind w:left="547" w:hanging="360"/>
        <w:divId w:val="246617567"/>
        <w:rPr>
          <w:rFonts w:eastAsia="Times New Roman"/>
          <w:sz w:val="20"/>
          <w:szCs w:val="20"/>
        </w:rPr>
      </w:pPr>
      <w:r>
        <w:rPr>
          <w:rFonts w:eastAsia="Times New Roman"/>
          <w:sz w:val="20"/>
          <w:szCs w:val="20"/>
        </w:rPr>
        <w:t>●</w:t>
      </w:r>
      <w:r>
        <w:rPr>
          <w:rFonts w:eastAsia="Times New Roman"/>
          <w:sz w:val="20"/>
          <w:szCs w:val="20"/>
        </w:rPr>
        <w:t>the availability of capital.</w:t>
      </w:r>
    </w:p>
    <w:p w:rsidR="00000000" w:rsidRDefault="00F22B2C">
      <w:pPr>
        <w:pStyle w:val="a3"/>
        <w:spacing w:before="0" w:beforeAutospacing="0" w:after="200" w:afterAutospacing="0"/>
        <w:ind w:firstLine="547"/>
        <w:divId w:val="554005431"/>
        <w:rPr>
          <w:sz w:val="20"/>
          <w:szCs w:val="20"/>
        </w:rPr>
      </w:pPr>
      <w:r>
        <w:rPr>
          <w:sz w:val="20"/>
          <w:szCs w:val="20"/>
        </w:rPr>
        <w:t>Any reduction in reimbursement from Medicare or other government programs may result in a similar reduction in payments from private payors, whi</w:t>
      </w:r>
      <w:r>
        <w:rPr>
          <w:sz w:val="20"/>
          <w:szCs w:val="20"/>
        </w:rPr>
        <w:t>ch may adversely affect our future profitability. A particular challenge for our product candidates arises from the fact that they will primarily be used in an inpatient setting. Inpatient reimbursement generally relies on stringent packaging rules that ma</w:t>
      </w:r>
      <w:r>
        <w:rPr>
          <w:sz w:val="20"/>
          <w:szCs w:val="20"/>
        </w:rPr>
        <w:t xml:space="preserve">y mean that there is no separate payment for our product candidates. Additionally, data used to set the payment rates for inpatient admissions is usually several years old and would not take into account all of the additional therapy costs associated with </w:t>
      </w:r>
      <w:r>
        <w:rPr>
          <w:sz w:val="20"/>
          <w:szCs w:val="20"/>
        </w:rPr>
        <w:t>the administration of our product candidates. If special rules are not created for reimbursement for immunotherapy treatments such as our product candidates, hospitals might not receive enough reimbursement to cover their costs of treatment, which will hav</w:t>
      </w:r>
      <w:r>
        <w:rPr>
          <w:sz w:val="20"/>
          <w:szCs w:val="20"/>
        </w:rPr>
        <w:t>e a negative effect on their adoption of our product candidates.</w:t>
      </w:r>
    </w:p>
    <w:p w:rsidR="00000000" w:rsidRDefault="00F22B2C">
      <w:pPr>
        <w:pStyle w:val="a3"/>
        <w:spacing w:before="480" w:beforeAutospacing="0" w:after="0" w:afterAutospacing="0"/>
        <w:jc w:val="center"/>
        <w:divId w:val="1864317611"/>
        <w:rPr>
          <w:sz w:val="20"/>
          <w:szCs w:val="20"/>
        </w:rPr>
      </w:pPr>
      <w:r>
        <w:rPr>
          <w:sz w:val="20"/>
          <w:szCs w:val="20"/>
        </w:rPr>
        <w:t>74</w:t>
      </w:r>
    </w:p>
    <w:p w:rsidR="00000000" w:rsidRDefault="00F22B2C">
      <w:pPr>
        <w:pStyle w:val="a3"/>
        <w:spacing w:before="0" w:beforeAutospacing="0" w:after="600" w:afterAutospacing="0"/>
        <w:divId w:val="1657999666"/>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0"/>
        <w:divId w:val="1024406696"/>
        <w:rPr>
          <w:sz w:val="20"/>
          <w:szCs w:val="20"/>
        </w:rPr>
      </w:pPr>
      <w:r>
        <w:rPr>
          <w:b/>
          <w:bCs/>
          <w:i/>
          <w:iCs/>
          <w:sz w:val="20"/>
          <w:szCs w:val="20"/>
        </w:rPr>
        <w:t>We are subject to new legislation, regulatory proposals, and healthcare payor initiatives that may increase our costs of compliance, and adverse</w:t>
      </w:r>
      <w:r>
        <w:rPr>
          <w:b/>
          <w:bCs/>
          <w:i/>
          <w:iCs/>
          <w:sz w:val="20"/>
          <w:szCs w:val="20"/>
        </w:rPr>
        <w:t>ly affect our ability to market our products, obtain collaborators, and raise capital.</w:t>
      </w:r>
    </w:p>
    <w:p w:rsidR="00000000" w:rsidRDefault="00F22B2C">
      <w:pPr>
        <w:pStyle w:val="a3"/>
        <w:spacing w:before="0" w:beforeAutospacing="0" w:after="200" w:afterAutospacing="0"/>
        <w:ind w:firstLine="540"/>
        <w:divId w:val="1024406696"/>
        <w:rPr>
          <w:sz w:val="20"/>
          <w:szCs w:val="20"/>
        </w:rPr>
      </w:pPr>
      <w:r>
        <w:rPr>
          <w:sz w:val="20"/>
          <w:szCs w:val="20"/>
        </w:rPr>
        <w:t>In the U.S. and some foreign jurisdictions, there have been a number of legislative and regulatory changes and proposed changes regarding the healthcare system that coul</w:t>
      </w:r>
      <w:r>
        <w:rPr>
          <w:sz w:val="20"/>
          <w:szCs w:val="20"/>
        </w:rPr>
        <w:t>d prevent or delay marketing approval of our product candidates, restrict or regulate post-approval activities, and affect our ability, or the ability of our collaborators, to profitably sell any products for which we obtain marketing approval. We expect t</w:t>
      </w:r>
      <w:r>
        <w:rPr>
          <w:sz w:val="20"/>
          <w:szCs w:val="20"/>
        </w:rPr>
        <w:t>hat current laws, as well as other healthcare reform measures that may be adopted in the future, may result in more rigorous coverage criteria and in additional downward pressure on the price that we, or our collaborators, may receive for any approved prod</w:t>
      </w:r>
      <w:r>
        <w:rPr>
          <w:sz w:val="20"/>
          <w:szCs w:val="20"/>
        </w:rPr>
        <w:t>ucts.</w:t>
      </w:r>
    </w:p>
    <w:p w:rsidR="00000000" w:rsidRDefault="00F22B2C">
      <w:pPr>
        <w:pStyle w:val="a3"/>
        <w:spacing w:before="0" w:beforeAutospacing="0" w:after="200" w:afterAutospacing="0"/>
        <w:ind w:firstLine="540"/>
        <w:divId w:val="1024406696"/>
        <w:rPr>
          <w:sz w:val="20"/>
          <w:szCs w:val="20"/>
        </w:rPr>
      </w:pPr>
      <w:r>
        <w:rPr>
          <w:sz w:val="20"/>
          <w:szCs w:val="20"/>
        </w:rPr>
        <w:t>Since enactment of the Patient Protection and Affordable Care Act, as amended (the “ACA”) in 2010, in both the U.S. and certain foreign jurisdictions, there have been a number of legislative and regulatory changes to the health care system that could</w:t>
      </w:r>
      <w:r>
        <w:rPr>
          <w:sz w:val="20"/>
          <w:szCs w:val="20"/>
        </w:rPr>
        <w:t xml:space="preserve"> impact our ability to sell our products profitably. In August 2011, the Budget Control Act of 2011, among other things, created measures for spending reductions by Congress. A Joint Select Committee on Deficit Reduction, tasked with recommending a targete</w:t>
      </w:r>
      <w:r>
        <w:rPr>
          <w:sz w:val="20"/>
          <w:szCs w:val="20"/>
        </w:rPr>
        <w:t>d deficit reduction of at least $1.2 trillion for the years 2013 through 2021, was unable to reach required goals, thereby triggering the legislation’s automatic reduction to several government programs. This includes aggregate reductions of Medicare payme</w:t>
      </w:r>
      <w:r>
        <w:rPr>
          <w:sz w:val="20"/>
          <w:szCs w:val="20"/>
        </w:rPr>
        <w:t xml:space="preserve">nts to providers up to 2% per fiscal year, which went into effect on April 1, 2013 and were to remain in effect until 2024. The Bipartisan Budget Act of 2015 extended the 2% sequestration to 2025. In January 2013, the American Taxpayer Relief Act of 2012, </w:t>
      </w:r>
      <w:r>
        <w:rPr>
          <w:sz w:val="20"/>
          <w:szCs w:val="20"/>
        </w:rPr>
        <w:t xml:space="preserve">or ATRA, was approved which, among other things, reduced Medicare payments to several providers, with primary focus on the hospital outpatient setting and ancillary services, including hospitals, imaging centers and cancer treatment centers, and increased </w:t>
      </w:r>
      <w:r>
        <w:rPr>
          <w:sz w:val="20"/>
          <w:szCs w:val="20"/>
        </w:rPr>
        <w:t>the statute of limitations period for the government to recover overpayments to providers from three to five years. On January 20, 2017, the new administration signed an Executive Order directing federal agencies with authorities and responsibilities under</w:t>
      </w:r>
      <w:r>
        <w:rPr>
          <w:sz w:val="20"/>
          <w:szCs w:val="20"/>
        </w:rPr>
        <w:t xml:space="preserve"> the ACA to waive, defer, grant exemptions from, or delay the implementation of any provision of the ACA that would impose a fiscal or regulatory burden on states, individuals, healthcare providers, health insurers, or manufacturers of pharmaceuticals or m</w:t>
      </w:r>
      <w:r>
        <w:rPr>
          <w:sz w:val="20"/>
          <w:szCs w:val="20"/>
        </w:rPr>
        <w:t>edical devices, and, for that reason, some final regulations have yet to take effect. In December 2017, Congress repealed the individual mandate for health insurance required by the ACA and could consider further legislation to repeal other elements of the</w:t>
      </w:r>
      <w:r>
        <w:rPr>
          <w:sz w:val="20"/>
          <w:szCs w:val="20"/>
        </w:rPr>
        <w:t xml:space="preserve"> ACA. At the end of 2017, CMS promulgated regulations that reduce the amount paid to hospitals for outpatient drugs purchased under the 340B program, and some states have enacted transparency laws requiring manufacturers to report information on drug price</w:t>
      </w:r>
      <w:r>
        <w:rPr>
          <w:sz w:val="20"/>
          <w:szCs w:val="20"/>
        </w:rPr>
        <w:t xml:space="preserve">s and price increases. In June 2021, the Supreme Court issued its opinion in California v. Texas, upholding the constitutionality of the ACA. </w:t>
      </w:r>
    </w:p>
    <w:p w:rsidR="00000000" w:rsidRDefault="00F22B2C">
      <w:pPr>
        <w:pStyle w:val="a3"/>
        <w:spacing w:before="0" w:beforeAutospacing="0" w:after="200" w:afterAutospacing="0"/>
        <w:ind w:firstLine="540"/>
        <w:divId w:val="1024406696"/>
        <w:rPr>
          <w:sz w:val="20"/>
          <w:szCs w:val="20"/>
        </w:rPr>
      </w:pPr>
      <w:r>
        <w:rPr>
          <w:sz w:val="20"/>
          <w:szCs w:val="20"/>
        </w:rPr>
        <w:t>Additional federal and state healthcare reform measures may be adopted in the future that may result in more rigo</w:t>
      </w:r>
      <w:r>
        <w:rPr>
          <w:sz w:val="20"/>
          <w:szCs w:val="20"/>
        </w:rPr>
        <w:t>rous coverage criteria, increased regulatory burdens and operating costs, decreased net revenue from our pharmaceutical products, decreased potential returns from our development efforts, and additional downward pressure on the price that we receive for an</w:t>
      </w:r>
      <w:r>
        <w:rPr>
          <w:sz w:val="20"/>
          <w:szCs w:val="20"/>
        </w:rPr>
        <w:t>y approved drug. Any reduction in reimbursement from Medicare or other government healthcare programs may result in a similar reduction in payments from private payors. The implementation of cost containment measures or other healthcare reforms may prevent</w:t>
      </w:r>
      <w:r>
        <w:rPr>
          <w:sz w:val="20"/>
          <w:szCs w:val="20"/>
        </w:rPr>
        <w:t xml:space="preserve"> us from being able to generate revenue, attain profitability or commercialize our products.</w:t>
      </w:r>
    </w:p>
    <w:p w:rsidR="00000000" w:rsidRDefault="00F22B2C">
      <w:pPr>
        <w:pStyle w:val="a3"/>
        <w:spacing w:before="0" w:beforeAutospacing="0" w:after="200" w:afterAutospacing="0"/>
        <w:ind w:firstLine="540"/>
        <w:divId w:val="1024406696"/>
        <w:rPr>
          <w:sz w:val="20"/>
          <w:szCs w:val="20"/>
        </w:rPr>
      </w:pPr>
      <w:r>
        <w:rPr>
          <w:sz w:val="20"/>
          <w:szCs w:val="20"/>
        </w:rPr>
        <w:t>Legislative and regulatory proposals may also be made to expand post-approval requirements and restrict sales and promotional activities for drugs. We cannot be su</w:t>
      </w:r>
      <w:r>
        <w:rPr>
          <w:sz w:val="20"/>
          <w:szCs w:val="20"/>
        </w:rPr>
        <w:t>re whether additional legislative changes will be enacted, or whether the FDA regulations, guidance, or interpretations will be changed, or what the impact of such changes on the marketing approvals of our product candidates, if any, may be. In addition, i</w:t>
      </w:r>
      <w:r>
        <w:rPr>
          <w:sz w:val="20"/>
          <w:szCs w:val="20"/>
        </w:rPr>
        <w:t>ncreased scrutiny by Congress of the FDA’s approval process may significantly delay or prevent marketing approval, as well as subject us to more stringent product labeling and post-marketing testing and other requirements.</w:t>
      </w:r>
    </w:p>
    <w:p w:rsidR="00000000" w:rsidRDefault="00F22B2C">
      <w:pPr>
        <w:pStyle w:val="a3"/>
        <w:spacing w:before="0" w:beforeAutospacing="0" w:after="200" w:afterAutospacing="0"/>
        <w:ind w:firstLine="540"/>
        <w:divId w:val="1024406696"/>
        <w:rPr>
          <w:sz w:val="20"/>
          <w:szCs w:val="20"/>
        </w:rPr>
      </w:pPr>
      <w:r>
        <w:rPr>
          <w:sz w:val="20"/>
          <w:szCs w:val="20"/>
        </w:rPr>
        <w:t>In addition, there have been a nu</w:t>
      </w:r>
      <w:r>
        <w:rPr>
          <w:sz w:val="20"/>
          <w:szCs w:val="20"/>
        </w:rPr>
        <w:t>mber of other policy, legislative and regulatory proposals aimed at changing the pharmaceutical industry. The U.S. government, state legislatures and foreign governmental entities have shown significant interest in implementing cost containment programs to</w:t>
      </w:r>
      <w:r>
        <w:rPr>
          <w:sz w:val="20"/>
          <w:szCs w:val="20"/>
        </w:rPr>
        <w:t xml:space="preserve"> limit the growth of government-paid healthcare costs, including price controls, restrictions on reimbursement and coverage and requirements for substitution of generic products for branded prescription drugs. Adoption of government controls and measures, </w:t>
      </w:r>
      <w:r>
        <w:rPr>
          <w:sz w:val="20"/>
          <w:szCs w:val="20"/>
        </w:rPr>
        <w:t>and tightening of restrictive policies in jurisdictions with existing controls and measures, could exclude or limit our product candidates from coverage and limit payments for pharmaceutical</w:t>
      </w:r>
      <w:r>
        <w:rPr>
          <w:sz w:val="20"/>
          <w:szCs w:val="20"/>
        </w:rPr>
        <w:t>s</w:t>
      </w:r>
      <w:r>
        <w:rPr>
          <w:sz w:val="20"/>
          <w:szCs w:val="20"/>
        </w:rPr>
        <w:t xml:space="preserve">. Under the Biden Administration’s Build Back Better Agenda, for </w:t>
      </w:r>
      <w:r>
        <w:rPr>
          <w:sz w:val="20"/>
          <w:szCs w:val="20"/>
        </w:rPr>
        <w:t xml:space="preserve">example, Medicare negotiation of prescription drug costs with biopharmaceutical companies is proposed to lower prescription drug costs We continue to monitor the potential impact of these and other proposals to lower prescription drug costs at the federal </w:t>
      </w:r>
      <w:r>
        <w:rPr>
          <w:sz w:val="20"/>
          <w:szCs w:val="20"/>
        </w:rPr>
        <w:t>and state level</w:t>
      </w:r>
      <w:r>
        <w:rPr>
          <w:sz w:val="20"/>
          <w:szCs w:val="20"/>
        </w:rPr>
        <w:t>.</w:t>
      </w:r>
    </w:p>
    <w:p w:rsidR="00000000" w:rsidRDefault="00F22B2C">
      <w:pPr>
        <w:pStyle w:val="a3"/>
        <w:spacing w:before="0" w:beforeAutospacing="0" w:after="0" w:afterAutospacing="0"/>
        <w:ind w:firstLine="540"/>
        <w:divId w:val="1024406696"/>
        <w:rPr>
          <w:sz w:val="20"/>
          <w:szCs w:val="20"/>
        </w:rPr>
      </w:pPr>
      <w:r>
        <w:rPr>
          <w:sz w:val="20"/>
          <w:szCs w:val="20"/>
        </w:rPr>
        <w:t xml:space="preserve">At the state level, legislatures have increasingly passed legislation and implemented regulations designed to control pharmaceutical and biological product pricing, including price or patient reimbursement constraints, discounts, restrictions on certain </w:t>
      </w:r>
    </w:p>
    <w:p w:rsidR="00000000" w:rsidRDefault="00F22B2C">
      <w:pPr>
        <w:pStyle w:val="a3"/>
        <w:spacing w:before="480" w:beforeAutospacing="0" w:after="0" w:afterAutospacing="0"/>
        <w:jc w:val="center"/>
        <w:divId w:val="825977076"/>
        <w:rPr>
          <w:sz w:val="20"/>
          <w:szCs w:val="20"/>
        </w:rPr>
      </w:pPr>
      <w:r>
        <w:rPr>
          <w:sz w:val="20"/>
          <w:szCs w:val="20"/>
        </w:rPr>
        <w:t>7</w:t>
      </w:r>
      <w:r>
        <w:rPr>
          <w:sz w:val="20"/>
          <w:szCs w:val="20"/>
        </w:rPr>
        <w:t>5</w:t>
      </w:r>
    </w:p>
    <w:p w:rsidR="00000000" w:rsidRDefault="00F22B2C">
      <w:pPr>
        <w:pStyle w:val="a3"/>
        <w:spacing w:before="0" w:beforeAutospacing="0" w:after="600" w:afterAutospacing="0"/>
        <w:divId w:val="851725178"/>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880942804"/>
        <w:rPr>
          <w:sz w:val="20"/>
          <w:szCs w:val="20"/>
        </w:rPr>
      </w:pPr>
      <w:r>
        <w:rPr>
          <w:sz w:val="20"/>
          <w:szCs w:val="20"/>
        </w:rPr>
        <w:t>product access and marketing cost disclosure and transparency measures, and, in some cases, designed to encourage importation from other countries and bulk purchasing.</w:t>
      </w:r>
    </w:p>
    <w:p w:rsidR="00000000" w:rsidRDefault="00F22B2C">
      <w:pPr>
        <w:pStyle w:val="a3"/>
        <w:spacing w:before="0" w:beforeAutospacing="0" w:after="200" w:afterAutospacing="0"/>
        <w:ind w:firstLine="540"/>
        <w:divId w:val="880942804"/>
        <w:rPr>
          <w:sz w:val="20"/>
          <w:szCs w:val="20"/>
        </w:rPr>
      </w:pPr>
      <w:r>
        <w:rPr>
          <w:sz w:val="20"/>
          <w:szCs w:val="20"/>
        </w:rPr>
        <w:t>We are unable to predict the future course</w:t>
      </w:r>
      <w:r>
        <w:rPr>
          <w:sz w:val="20"/>
          <w:szCs w:val="20"/>
        </w:rPr>
        <w:t xml:space="preserve"> of federal or state healthcare legislation in the U.S. directed at broadening the availability of healthcare and containing or lowering the cost of healthcare. The ACA and any further changes in the law or regulatory framework that reduce our revenue or i</w:t>
      </w:r>
      <w:r>
        <w:rPr>
          <w:sz w:val="20"/>
          <w:szCs w:val="20"/>
        </w:rPr>
        <w:t>ncrease our costs could also have a material and adverse effect on our business, financial condition and results of operations.</w:t>
      </w:r>
    </w:p>
    <w:p w:rsidR="00000000" w:rsidRDefault="00F22B2C">
      <w:pPr>
        <w:pStyle w:val="a3"/>
        <w:spacing w:before="0" w:beforeAutospacing="0" w:after="200" w:afterAutospacing="0"/>
        <w:ind w:firstLine="547"/>
        <w:divId w:val="880942804"/>
        <w:rPr>
          <w:sz w:val="20"/>
          <w:szCs w:val="20"/>
        </w:rPr>
      </w:pPr>
      <w:r>
        <w:rPr>
          <w:b/>
          <w:bCs/>
          <w:i/>
          <w:iCs/>
          <w:sz w:val="20"/>
          <w:szCs w:val="20"/>
        </w:rPr>
        <w:t>Governments outside the U.S. tend to impose strict price controls, which may adversely affect our revenues, if any.</w:t>
      </w:r>
    </w:p>
    <w:p w:rsidR="00000000" w:rsidRDefault="00F22B2C">
      <w:pPr>
        <w:pStyle w:val="a3"/>
        <w:spacing w:before="0" w:beforeAutospacing="0" w:after="200" w:afterAutospacing="0"/>
        <w:ind w:firstLine="540"/>
        <w:divId w:val="880942804"/>
        <w:rPr>
          <w:sz w:val="20"/>
          <w:szCs w:val="20"/>
        </w:rPr>
      </w:pPr>
      <w:r>
        <w:rPr>
          <w:sz w:val="20"/>
          <w:szCs w:val="20"/>
        </w:rPr>
        <w:t>In internati</w:t>
      </w:r>
      <w:r>
        <w:rPr>
          <w:sz w:val="20"/>
          <w:szCs w:val="20"/>
        </w:rPr>
        <w:t>onal markets, reimbursement and health care payment systems vary significantly by country, and many countries have instituted price ceilings on specific products and therapies. In some countries, particularly the countries of the EU and the United Kingdom,</w:t>
      </w:r>
      <w:r>
        <w:rPr>
          <w:sz w:val="20"/>
          <w:szCs w:val="20"/>
        </w:rPr>
        <w:t xml:space="preserve"> the pricing of prescription pharmaceuticals is subject to governmental control. In these countries, pricing negotiations with governmental authorities can take considerable time after the receipt of marketing approval for a product. To obtain coverage and</w:t>
      </w:r>
      <w:r>
        <w:rPr>
          <w:sz w:val="20"/>
          <w:szCs w:val="20"/>
        </w:rPr>
        <w:t xml:space="preserve"> reimbursement or pricing approval in some countries, we may be required to conduct a clinical trial that compares the cost-effectiveness of our product candidate to other available therapies. There can be no assurance that our products will be considered </w:t>
      </w:r>
      <w:r>
        <w:rPr>
          <w:sz w:val="20"/>
          <w:szCs w:val="20"/>
        </w:rPr>
        <w:t xml:space="preserve">cost-effective by third-party payors, that an adequate level of reimbursement will be available, or that the third-party payors’ reimbursement policies will not adversely affect our ability to sell our products profitably. If reimbursement of our products </w:t>
      </w:r>
      <w:r>
        <w:rPr>
          <w:sz w:val="20"/>
          <w:szCs w:val="20"/>
        </w:rPr>
        <w:t>is unavailable or limited in scope or amount, or if pricing is set at unsatisfactory levels, our business could be harmed, possibly materially.</w:t>
      </w:r>
    </w:p>
    <w:p w:rsidR="00000000" w:rsidRDefault="00F22B2C">
      <w:pPr>
        <w:pStyle w:val="a3"/>
        <w:spacing w:before="0" w:beforeAutospacing="0" w:after="200" w:afterAutospacing="0"/>
        <w:ind w:firstLine="547"/>
        <w:divId w:val="880942804"/>
        <w:rPr>
          <w:sz w:val="20"/>
          <w:szCs w:val="20"/>
        </w:rPr>
      </w:pPr>
      <w:r>
        <w:rPr>
          <w:b/>
          <w:bCs/>
          <w:i/>
          <w:iCs/>
          <w:sz w:val="20"/>
          <w:szCs w:val="20"/>
        </w:rPr>
        <w:t>Our employees, independent contractors, consultants, commercial partners and vendors may engage in misconduct or</w:t>
      </w:r>
      <w:r>
        <w:rPr>
          <w:b/>
          <w:bCs/>
          <w:i/>
          <w:iCs/>
          <w:sz w:val="20"/>
          <w:szCs w:val="20"/>
        </w:rPr>
        <w:t xml:space="preserve"> other improper activities, including noncompliance with regulatory standards and requirements.</w:t>
      </w:r>
    </w:p>
    <w:p w:rsidR="00000000" w:rsidRDefault="00F22B2C">
      <w:pPr>
        <w:pStyle w:val="a3"/>
        <w:spacing w:before="0" w:beforeAutospacing="0" w:after="200" w:afterAutospacing="0"/>
        <w:ind w:firstLine="540"/>
        <w:divId w:val="880942804"/>
        <w:rPr>
          <w:sz w:val="20"/>
          <w:szCs w:val="20"/>
        </w:rPr>
      </w:pPr>
      <w:r>
        <w:rPr>
          <w:sz w:val="20"/>
          <w:szCs w:val="20"/>
        </w:rPr>
        <w:t xml:space="preserve">We are exposed to the risk of employee fraud or other illegal activity by our employees, independent contractors, consultants, commercial partners and vendors. </w:t>
      </w:r>
      <w:r>
        <w:rPr>
          <w:sz w:val="20"/>
          <w:szCs w:val="20"/>
        </w:rPr>
        <w:t>Misconduct by these parties could include intentional, reckless and/or negligent conduct that fails to: comply with the laws of the FDA and other similar foreign regulatory bodies, provide true, complete and accurate information to the FDA and other simila</w:t>
      </w:r>
      <w:r>
        <w:rPr>
          <w:sz w:val="20"/>
          <w:szCs w:val="20"/>
        </w:rPr>
        <w:t xml:space="preserve">r foreign regulatory bodies, comply with manufacturing standards we have established, comply with healthcare fraud and abuse laws in the U.S. and similar foreign fraudulent misconduct laws, or report financial information or data accurately or to disclose </w:t>
      </w:r>
      <w:r>
        <w:rPr>
          <w:sz w:val="20"/>
          <w:szCs w:val="20"/>
        </w:rPr>
        <w:t>unauthorized activities to us. If we obtain FDA approval of any of our product candidates and begin commercializing those products in the U.S., our potential exposure under such laws will increase significantly, and our costs associated with compliance wit</w:t>
      </w:r>
      <w:r>
        <w:rPr>
          <w:sz w:val="20"/>
          <w:szCs w:val="20"/>
        </w:rPr>
        <w:t>h such laws are also likely to increase. These laws may impact, among other things, our current activities with principal investigators and research patients, as well as proposed and future sales, marketing and education programs. In particular, the promot</w:t>
      </w:r>
      <w:r>
        <w:rPr>
          <w:sz w:val="20"/>
          <w:szCs w:val="20"/>
        </w:rPr>
        <w:t>ion, sales and marketing of healthcare items and services, as well as certain business arrangements in the healthcare industry, are subject to extensive laws designed to prevent fraud, kickbacks, self-dealing and other abusive practices. These laws and reg</w:t>
      </w:r>
      <w:r>
        <w:rPr>
          <w:sz w:val="20"/>
          <w:szCs w:val="20"/>
        </w:rPr>
        <w:t>ulations may restrict or prohibit a wide range of pricing, discounting, marketing and promotion, structuring and commission(s), certain customer incentive programs and other business arrangements generally. Activities subject to these laws also involve the</w:t>
      </w:r>
      <w:r>
        <w:rPr>
          <w:sz w:val="20"/>
          <w:szCs w:val="20"/>
        </w:rPr>
        <w:t xml:space="preserve"> improper use of information obtained in the course of patient recruitment for clinical trials.</w:t>
      </w:r>
    </w:p>
    <w:p w:rsidR="00000000" w:rsidRDefault="00F22B2C">
      <w:pPr>
        <w:pStyle w:val="a3"/>
        <w:spacing w:before="0" w:beforeAutospacing="0" w:after="200" w:afterAutospacing="0"/>
        <w:ind w:firstLine="540"/>
        <w:divId w:val="880942804"/>
        <w:rPr>
          <w:sz w:val="20"/>
          <w:szCs w:val="20"/>
        </w:rPr>
      </w:pPr>
      <w:r>
        <w:rPr>
          <w:sz w:val="20"/>
          <w:szCs w:val="20"/>
        </w:rPr>
        <w:t>We have adopted a Code of Conduct and Ethics, but it is not always possible to identify and deter employee misconduct, and the precautions we take to detect and</w:t>
      </w:r>
      <w:r>
        <w:rPr>
          <w:sz w:val="20"/>
          <w:szCs w:val="20"/>
        </w:rPr>
        <w:t xml:space="preserve"> prevent inappropriate conduct may not be effective in controlling unknown or unmanaged risks or losses or in protecting us from governmental investigations or other actions or lawsuits stemming from a failure to comply with such laws or regulations. Effor</w:t>
      </w:r>
      <w:r>
        <w:rPr>
          <w:sz w:val="20"/>
          <w:szCs w:val="20"/>
        </w:rPr>
        <w:t>ts to ensure that our business arrangements will comply with applicable healthcare laws may involve substantial costs. It is possible that governmental and enforcement authorities will conclude that our, or our employees’, consultants’, collaborators’, con</w:t>
      </w:r>
      <w:r>
        <w:rPr>
          <w:sz w:val="20"/>
          <w:szCs w:val="20"/>
        </w:rPr>
        <w:t>tractors’, or vendors’ business practices may not comply with current or future statutes, regulations or case law interpreting applicable fraud and abuse or other healthcare laws and regulations. If any such actions are instituted against us, and we are no</w:t>
      </w:r>
      <w:r>
        <w:rPr>
          <w:sz w:val="20"/>
          <w:szCs w:val="20"/>
        </w:rPr>
        <w:t xml:space="preserve">t successful in defending ourselves or asserting our rights, those actions could have a significant impact on our business, including the imposition of civil, criminal and administrative penalties, damages, disgorgement, monetary fines, possible exclusion </w:t>
      </w:r>
      <w:r>
        <w:rPr>
          <w:sz w:val="20"/>
          <w:szCs w:val="20"/>
        </w:rPr>
        <w:t>from participation in Medicare, Medicaid and other federal healthcare programs, contractual damages, reputational harm, diminished profits and future earnings, compliance agreements, withdrawal of product approvals, and curtailment of our operations, among</w:t>
      </w:r>
      <w:r>
        <w:rPr>
          <w:sz w:val="20"/>
          <w:szCs w:val="20"/>
        </w:rPr>
        <w:t xml:space="preserve"> other things, any of which could adversely affect our ability to operate our business and our results of operations. In addition, the approval and commercialization of any of our product candidates outside the U.S. will also likely subject us to foreign e</w:t>
      </w:r>
      <w:r>
        <w:rPr>
          <w:sz w:val="20"/>
          <w:szCs w:val="20"/>
        </w:rPr>
        <w:t>quivalents of the healthcare laws mentioned above, among other foreign laws.</w:t>
      </w:r>
    </w:p>
    <w:p w:rsidR="00000000" w:rsidRDefault="00F22B2C">
      <w:pPr>
        <w:pStyle w:val="a3"/>
        <w:spacing w:before="480" w:beforeAutospacing="0" w:after="0" w:afterAutospacing="0"/>
        <w:jc w:val="center"/>
        <w:divId w:val="1286305270"/>
        <w:rPr>
          <w:sz w:val="20"/>
          <w:szCs w:val="20"/>
        </w:rPr>
      </w:pPr>
      <w:r>
        <w:rPr>
          <w:sz w:val="20"/>
          <w:szCs w:val="20"/>
        </w:rPr>
        <w:t>76</w:t>
      </w:r>
    </w:p>
    <w:p w:rsidR="00000000" w:rsidRDefault="00F22B2C">
      <w:pPr>
        <w:pStyle w:val="a3"/>
        <w:spacing w:before="0" w:beforeAutospacing="0" w:after="600" w:afterAutospacing="0"/>
        <w:divId w:val="1881625045"/>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jc w:val="both"/>
        <w:divId w:val="1746218240"/>
        <w:rPr>
          <w:sz w:val="20"/>
          <w:szCs w:val="20"/>
        </w:rPr>
      </w:pPr>
      <w:r>
        <w:rPr>
          <w:b/>
          <w:bCs/>
          <w:sz w:val="20"/>
          <w:szCs w:val="20"/>
        </w:rPr>
        <w:t>Risks Related to Our Intellectual Property</w:t>
      </w:r>
    </w:p>
    <w:p w:rsidR="00000000" w:rsidRDefault="00F22B2C">
      <w:pPr>
        <w:pStyle w:val="a3"/>
        <w:spacing w:before="0" w:beforeAutospacing="0" w:after="200" w:afterAutospacing="0"/>
        <w:ind w:firstLine="540"/>
        <w:divId w:val="1746218240"/>
        <w:rPr>
          <w:sz w:val="20"/>
          <w:szCs w:val="20"/>
        </w:rPr>
      </w:pPr>
      <w:r>
        <w:rPr>
          <w:b/>
          <w:bCs/>
          <w:i/>
          <w:iCs/>
          <w:sz w:val="20"/>
          <w:szCs w:val="20"/>
        </w:rPr>
        <w:t>We may be involved in lawsuits to protect or enforce our patents or the patents of our li</w:t>
      </w:r>
      <w:r>
        <w:rPr>
          <w:b/>
          <w:bCs/>
          <w:i/>
          <w:iCs/>
          <w:sz w:val="20"/>
          <w:szCs w:val="20"/>
        </w:rPr>
        <w:t>censors, or lawsuits accusing our products of patent infringement, which could be expensive, time-consuming and unsuccessful.</w:t>
      </w:r>
    </w:p>
    <w:p w:rsidR="00000000" w:rsidRDefault="00F22B2C">
      <w:pPr>
        <w:pStyle w:val="a3"/>
        <w:spacing w:before="0" w:beforeAutospacing="0" w:after="200" w:afterAutospacing="0"/>
        <w:ind w:firstLine="540"/>
        <w:divId w:val="1746218240"/>
        <w:rPr>
          <w:sz w:val="20"/>
          <w:szCs w:val="20"/>
        </w:rPr>
      </w:pPr>
      <w:r>
        <w:rPr>
          <w:sz w:val="20"/>
          <w:szCs w:val="20"/>
        </w:rPr>
        <w:t>Competitors may infringe the patents of our licensors. To counter infringement or unauthorized use, we may be required to file inf</w:t>
      </w:r>
      <w:r>
        <w:rPr>
          <w:sz w:val="20"/>
          <w:szCs w:val="20"/>
        </w:rPr>
        <w:t xml:space="preserve">ringement claims, which can be expensive and time-consuming. In addition, in an infringement proceeding, a court may decide that one or more of our patents is not valid or is unenforceable or may refuse to stop the other party from using the technology at </w:t>
      </w:r>
      <w:r>
        <w:rPr>
          <w:sz w:val="20"/>
          <w:szCs w:val="20"/>
        </w:rPr>
        <w:t>issue on the grounds that our patents do not cover the technology in question. An adverse result in any litigation or defense proceedings could put one or more of our patents at risk of being invalidated, held unenforceable, or interpreted narrowly and cou</w:t>
      </w:r>
      <w:r>
        <w:rPr>
          <w:sz w:val="20"/>
          <w:szCs w:val="20"/>
        </w:rPr>
        <w:t>ld put our patent applications at risk of not issuing. Defense of these claims, regardless of their merit, would involve substantial litigation expense and would be a substantial diversion of employee resources from our business. In the event of a successf</w:t>
      </w:r>
      <w:r>
        <w:rPr>
          <w:sz w:val="20"/>
          <w:szCs w:val="20"/>
        </w:rPr>
        <w:t>ul claim of infringement against us, we may be enjoined from manufacturing, use, and marketing our products, or may have to pay substantial damages, including treble damages and attorneys’ fees for willful infringement, obtain one or more licenses from thi</w:t>
      </w:r>
      <w:r>
        <w:rPr>
          <w:sz w:val="20"/>
          <w:szCs w:val="20"/>
        </w:rPr>
        <w:t>rd parties, pay royalties or redesign our infringing products, which may be impossible or require substantial time and monetary expenditure.</w:t>
      </w:r>
    </w:p>
    <w:p w:rsidR="00000000" w:rsidRDefault="00F22B2C">
      <w:pPr>
        <w:pStyle w:val="a3"/>
        <w:spacing w:before="0" w:beforeAutospacing="0" w:after="200" w:afterAutospacing="0"/>
        <w:ind w:firstLine="540"/>
        <w:divId w:val="1746218240"/>
        <w:rPr>
          <w:sz w:val="20"/>
          <w:szCs w:val="20"/>
        </w:rPr>
      </w:pPr>
      <w:r>
        <w:rPr>
          <w:sz w:val="20"/>
          <w:szCs w:val="20"/>
        </w:rPr>
        <w:t>Periodic maintenance fees on any issued patent are due to be paid to the U.S. Patent and Trademark Office, or USPTO</w:t>
      </w:r>
      <w:r>
        <w:rPr>
          <w:sz w:val="20"/>
          <w:szCs w:val="20"/>
        </w:rPr>
        <w:t xml:space="preserve">, and foreign patent agencies in several stages over the lifetime of the patent. The USPTO and various foreign governmental patent agencies require compliance with several procedural, documentary, fee payment and other similar provisions during the patent </w:t>
      </w:r>
      <w:r>
        <w:rPr>
          <w:sz w:val="20"/>
          <w:szCs w:val="20"/>
        </w:rPr>
        <w:t>application process. While an inadvertent lapse can in many cases be cured by payment of a late fee or by other means in accordance with the applicable rules, there are situations in which noncompliance can result in abandonment or lapse of the patent or p</w:t>
      </w:r>
      <w:r>
        <w:rPr>
          <w:sz w:val="20"/>
          <w:szCs w:val="20"/>
        </w:rPr>
        <w:t xml:space="preserve">atent application, resulting in partial or complete loss of patent rights in the relevant jurisdiction. Noncompliance events that could result in abandonment or lapse of a patent or patent application include, but are not limited to, failure to respond to </w:t>
      </w:r>
      <w:r>
        <w:rPr>
          <w:sz w:val="20"/>
          <w:szCs w:val="20"/>
        </w:rPr>
        <w:t>official actions within prescribed time limits, non-payment of fees and failure to properly legalize and submit formal documents. In such an event, our competitors might be able to enter the market, which would have a material adverse effect on our busines</w:t>
      </w:r>
      <w:r>
        <w:rPr>
          <w:sz w:val="20"/>
          <w:szCs w:val="20"/>
        </w:rPr>
        <w:t>s.</w:t>
      </w:r>
    </w:p>
    <w:p w:rsidR="00000000" w:rsidRDefault="00F22B2C">
      <w:pPr>
        <w:pStyle w:val="a3"/>
        <w:spacing w:before="0" w:beforeAutospacing="0" w:after="200" w:afterAutospacing="0"/>
        <w:ind w:firstLine="540"/>
        <w:divId w:val="1746218240"/>
        <w:rPr>
          <w:sz w:val="20"/>
          <w:szCs w:val="20"/>
        </w:rPr>
      </w:pPr>
      <w:r>
        <w:rPr>
          <w:b/>
          <w:bCs/>
          <w:i/>
          <w:iCs/>
          <w:sz w:val="20"/>
          <w:szCs w:val="20"/>
        </w:rPr>
        <w:t>We may incur substantial costs as a result of litigation or other proceedings relating to patent and other intellectual property rights.</w:t>
      </w:r>
    </w:p>
    <w:p w:rsidR="00000000" w:rsidRDefault="00F22B2C">
      <w:pPr>
        <w:pStyle w:val="a3"/>
        <w:spacing w:before="0" w:beforeAutospacing="0" w:after="200" w:afterAutospacing="0"/>
        <w:ind w:firstLine="540"/>
        <w:divId w:val="1746218240"/>
        <w:rPr>
          <w:sz w:val="20"/>
          <w:szCs w:val="20"/>
        </w:rPr>
      </w:pPr>
      <w:r>
        <w:rPr>
          <w:sz w:val="20"/>
          <w:szCs w:val="20"/>
        </w:rPr>
        <w:t>The cost to us of any litigation or other proceeding relating to intellectual property rights, even if resolved in o</w:t>
      </w:r>
      <w:r>
        <w:rPr>
          <w:sz w:val="20"/>
          <w:szCs w:val="20"/>
        </w:rPr>
        <w:t>ur favor, could be substantial. Some of our competitors may be better able to sustain the costs of complex patent litigation because they have substantially greater resources. If there is litigation against us, we may not be able to continue our operations</w:t>
      </w:r>
      <w:r>
        <w:rPr>
          <w:sz w:val="20"/>
          <w:szCs w:val="20"/>
        </w:rPr>
        <w:t>.</w:t>
      </w:r>
    </w:p>
    <w:p w:rsidR="00000000" w:rsidRDefault="00F22B2C">
      <w:pPr>
        <w:pStyle w:val="a3"/>
        <w:spacing w:before="0" w:beforeAutospacing="0" w:after="200" w:afterAutospacing="0"/>
        <w:ind w:firstLine="540"/>
        <w:divId w:val="1746218240"/>
        <w:rPr>
          <w:sz w:val="20"/>
          <w:szCs w:val="20"/>
        </w:rPr>
      </w:pPr>
      <w:r>
        <w:rPr>
          <w:sz w:val="20"/>
          <w:szCs w:val="20"/>
        </w:rPr>
        <w:t>Should third parties file patent applications or be issued patents claiming technology also used or claimed by us, we may be required to participate in interference proceedings in the USPTO to determine priority of invention. We may be required to partic</w:t>
      </w:r>
      <w:r>
        <w:rPr>
          <w:sz w:val="20"/>
          <w:szCs w:val="20"/>
        </w:rPr>
        <w:t>ipate in interference proceedings involving our issued patents and pending applications. We may be required to cease using the technology or to license rights from prevailing third parties as a result of an unfavorable outcome in an interference proceeding</w:t>
      </w:r>
      <w:r>
        <w:rPr>
          <w:sz w:val="20"/>
          <w:szCs w:val="20"/>
        </w:rPr>
        <w:t>. A prevailing party in that case may not offer us a license on commercially acceptable terms.</w:t>
      </w:r>
    </w:p>
    <w:p w:rsidR="00000000" w:rsidRDefault="00F22B2C">
      <w:pPr>
        <w:pStyle w:val="a3"/>
        <w:spacing w:before="0" w:beforeAutospacing="0" w:after="200" w:afterAutospacing="0"/>
        <w:ind w:firstLine="540"/>
        <w:divId w:val="1746218240"/>
        <w:rPr>
          <w:sz w:val="20"/>
          <w:szCs w:val="20"/>
        </w:rPr>
      </w:pPr>
      <w:r>
        <w:rPr>
          <w:b/>
          <w:bCs/>
          <w:i/>
          <w:iCs/>
          <w:sz w:val="20"/>
          <w:szCs w:val="20"/>
        </w:rPr>
        <w:t>Issued patents covering our product candidates could be found invalid or unenforceable if challenged in court or the USPTO.</w:t>
      </w:r>
    </w:p>
    <w:p w:rsidR="00000000" w:rsidRDefault="00F22B2C">
      <w:pPr>
        <w:pStyle w:val="a3"/>
        <w:spacing w:before="0" w:beforeAutospacing="0" w:after="200" w:afterAutospacing="0"/>
        <w:ind w:firstLine="540"/>
        <w:divId w:val="1746218240"/>
        <w:rPr>
          <w:sz w:val="20"/>
          <w:szCs w:val="20"/>
        </w:rPr>
      </w:pPr>
      <w:r>
        <w:rPr>
          <w:sz w:val="20"/>
          <w:szCs w:val="20"/>
        </w:rPr>
        <w:t>If we or one of our licensing partners initiate legal proceedings against a third party to enforce a patent covering one of our product candidates, the defendant could counterclaim that the patent covering our product candidate, as applicable, is invalid a</w:t>
      </w:r>
      <w:r>
        <w:rPr>
          <w:sz w:val="20"/>
          <w:szCs w:val="20"/>
        </w:rPr>
        <w:t>nd/or unenforceable. In patent litigation in the U.S., defendant counterclaims alleging invalidity and/or unenforceability are commonplace, and there are numerous grounds upon which a third party can assert invalidity or unenforceability of a patent. Third</w:t>
      </w:r>
      <w:r>
        <w:rPr>
          <w:sz w:val="20"/>
          <w:szCs w:val="20"/>
        </w:rPr>
        <w:t xml:space="preserve"> parties may also raise similar claims before administrative bodies in the U.S. or abroad, even outside the context of litigation. Such mechanisms include re-examination, post grant review, and equivalent proceedings in foreign jurisdictions (e.g., opposit</w:t>
      </w:r>
      <w:r>
        <w:rPr>
          <w:sz w:val="20"/>
          <w:szCs w:val="20"/>
        </w:rPr>
        <w:t>ion proceedings). For example, on November 24, 2021 an opposition proceeding was initiated in the European Patent Office against our European Patent No. 3601533 B1. This opposition proceeding, or any similar proceedings that may arise in the U.S. or foreig</w:t>
      </w:r>
      <w:r>
        <w:rPr>
          <w:sz w:val="20"/>
          <w:szCs w:val="20"/>
        </w:rPr>
        <w:t>n jurisdictions, could result in revocation or amendment to our patents in such a way that they no longer cover our product candidates. The outcome following legal assertions of invalidity and unenforceability is unpredictable. With respect to the validity</w:t>
      </w:r>
      <w:r>
        <w:rPr>
          <w:sz w:val="20"/>
          <w:szCs w:val="20"/>
        </w:rPr>
        <w:t xml:space="preserve"> question, for example, we cannot be certain that there is no invalidating prior art, of which we, our patent counsel and the patent examiner were unaware during prosecution. If a defendant or third party were to prevail on a legal assertion of invalidity </w:t>
      </w:r>
      <w:r>
        <w:rPr>
          <w:sz w:val="20"/>
          <w:szCs w:val="20"/>
        </w:rPr>
        <w:t>and/or unenforceability, we would lose at least part, and perhaps all, of the patent protection on our product candidates. Such a loss of patent protection could have a material adverse impact on our business.</w:t>
      </w:r>
    </w:p>
    <w:p w:rsidR="00000000" w:rsidRDefault="00F22B2C">
      <w:pPr>
        <w:pStyle w:val="a3"/>
        <w:spacing w:before="480" w:beforeAutospacing="0" w:after="0" w:afterAutospacing="0"/>
        <w:jc w:val="center"/>
        <w:divId w:val="1943872631"/>
        <w:rPr>
          <w:sz w:val="20"/>
          <w:szCs w:val="20"/>
        </w:rPr>
      </w:pPr>
      <w:r>
        <w:rPr>
          <w:sz w:val="20"/>
          <w:szCs w:val="20"/>
        </w:rPr>
        <w:t>77</w:t>
      </w:r>
    </w:p>
    <w:p w:rsidR="00000000" w:rsidRDefault="00F22B2C">
      <w:pPr>
        <w:pStyle w:val="a3"/>
        <w:spacing w:before="0" w:beforeAutospacing="0" w:after="600" w:afterAutospacing="0"/>
        <w:divId w:val="761683760"/>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0"/>
        <w:divId w:val="1448162785"/>
        <w:rPr>
          <w:sz w:val="20"/>
          <w:szCs w:val="20"/>
        </w:rPr>
      </w:pPr>
      <w:r>
        <w:rPr>
          <w:b/>
          <w:bCs/>
          <w:i/>
          <w:iCs/>
          <w:sz w:val="20"/>
          <w:szCs w:val="20"/>
        </w:rPr>
        <w:t>If we are unable to protect our proprietary rights, we may not be able to compete effectively or operate profitably.</w:t>
      </w:r>
    </w:p>
    <w:p w:rsidR="00000000" w:rsidRDefault="00F22B2C">
      <w:pPr>
        <w:pStyle w:val="a3"/>
        <w:spacing w:before="0" w:beforeAutospacing="0" w:after="200" w:afterAutospacing="0"/>
        <w:ind w:firstLine="540"/>
        <w:divId w:val="1448162785"/>
        <w:rPr>
          <w:sz w:val="20"/>
          <w:szCs w:val="20"/>
        </w:rPr>
      </w:pPr>
      <w:r>
        <w:rPr>
          <w:sz w:val="20"/>
          <w:szCs w:val="20"/>
        </w:rPr>
        <w:t>Our success is dependent in part on maintaining and enforcing the patents and other proprietary rights that we have licensed and may devel</w:t>
      </w:r>
      <w:r>
        <w:rPr>
          <w:sz w:val="20"/>
          <w:szCs w:val="20"/>
        </w:rPr>
        <w:t>op, and on our ability to avoid infringing the proprietary rights of others. Certain of our intellectual property rights are licensed from another entity, and as such the preparation and prosecution of these patents and patent applications was not performe</w:t>
      </w:r>
      <w:r>
        <w:rPr>
          <w:sz w:val="20"/>
          <w:szCs w:val="20"/>
        </w:rPr>
        <w:t>d by us or under our control. Furthermore, patent law relating to the scope of claims in the biotechnology field in which we operate is still evolving and, consequently, patent positions in our industry may not be as strong as in other more well-establishe</w:t>
      </w:r>
      <w:r>
        <w:rPr>
          <w:sz w:val="20"/>
          <w:szCs w:val="20"/>
        </w:rPr>
        <w:t>d fields. The patent positions of biotechnology companies can be highly uncertain and involve complex legal and factual questions for which important legal principles remain unresolved. No consistent policy regarding the breadth of claims allowed in biotec</w:t>
      </w:r>
      <w:r>
        <w:rPr>
          <w:sz w:val="20"/>
          <w:szCs w:val="20"/>
        </w:rPr>
        <w:t>hnology patents has emerged to date.</w:t>
      </w:r>
    </w:p>
    <w:p w:rsidR="00000000" w:rsidRDefault="00F22B2C">
      <w:pPr>
        <w:pStyle w:val="a3"/>
        <w:spacing w:before="0" w:beforeAutospacing="0" w:after="200" w:afterAutospacing="0"/>
        <w:ind w:firstLine="540"/>
        <w:divId w:val="1448162785"/>
        <w:rPr>
          <w:sz w:val="20"/>
          <w:szCs w:val="20"/>
        </w:rPr>
      </w:pPr>
      <w:r>
        <w:rPr>
          <w:sz w:val="20"/>
          <w:szCs w:val="20"/>
        </w:rPr>
        <w:t>The issuance of a patent is not conclusive as to its validity or enforceability and it is uncertain how much protection, if any, will be given to the patents we have licensed from the NIH, Moffitt, or MDACC if any of th</w:t>
      </w:r>
      <w:r>
        <w:rPr>
          <w:sz w:val="20"/>
          <w:szCs w:val="20"/>
        </w:rPr>
        <w:t>ese parties, or we, attempt to enforce the patents and/or if they are challenged in court or in other proceedings, such as oppositions, which may be brought in foreign jurisdictions to challenge the validity of a patent. A third party may challenge the val</w:t>
      </w:r>
      <w:r>
        <w:rPr>
          <w:sz w:val="20"/>
          <w:szCs w:val="20"/>
        </w:rPr>
        <w:t xml:space="preserve">idity or enforceability of a patent after its issuance by the Patent Office. It is possible that a competitor may successfully challenge our patents or that a challenge will result in limiting their coverage. Moreover, the cost of litigation to uphold the </w:t>
      </w:r>
      <w:r>
        <w:rPr>
          <w:sz w:val="20"/>
          <w:szCs w:val="20"/>
        </w:rPr>
        <w:t>validity of patents and to prevent infringement can be substantial. If the outcome of litigation is adverse to us, third parties may be able to use our patented invention without payment to us. Moreover, it is possible that competitors may infringe our pat</w:t>
      </w:r>
      <w:r>
        <w:rPr>
          <w:sz w:val="20"/>
          <w:szCs w:val="20"/>
        </w:rPr>
        <w:t>ents or successfully avoid the patented technology through design innovation. To stop these activities, we may need to file a lawsuit. These lawsuits are expensive and would consume time and other resources, even if we were successful in stopping the viola</w:t>
      </w:r>
      <w:r>
        <w:rPr>
          <w:sz w:val="20"/>
          <w:szCs w:val="20"/>
        </w:rPr>
        <w:t>tion of our patent rights. In addition, there is a risk that a court would decide that our patents are not valid and that we do not have the right to stop the other party from using the inventions. There is also the risk that, even if the validity of our p</w:t>
      </w:r>
      <w:r>
        <w:rPr>
          <w:sz w:val="20"/>
          <w:szCs w:val="20"/>
        </w:rPr>
        <w:t>atents were upheld, a court would refuse to stop the other party on the grounds that its activities are not covered by, that is, do not infringe, our patents.</w:t>
      </w:r>
    </w:p>
    <w:p w:rsidR="00000000" w:rsidRDefault="00F22B2C">
      <w:pPr>
        <w:pStyle w:val="a3"/>
        <w:spacing w:before="0" w:beforeAutospacing="0" w:after="200" w:afterAutospacing="0"/>
        <w:ind w:firstLine="540"/>
        <w:divId w:val="1448162785"/>
        <w:rPr>
          <w:sz w:val="20"/>
          <w:szCs w:val="20"/>
        </w:rPr>
      </w:pPr>
      <w:r>
        <w:rPr>
          <w:sz w:val="20"/>
          <w:szCs w:val="20"/>
        </w:rPr>
        <w:t>Should third parties file patent applications, or be issued patents claiming technology also used</w:t>
      </w:r>
      <w:r>
        <w:rPr>
          <w:sz w:val="20"/>
          <w:szCs w:val="20"/>
        </w:rPr>
        <w:t xml:space="preserve"> or claimed by our licensor(s) or by us in any future patent application, we may be required to participate in interference proceedings in the USPTO to determine priority of invention for those patents or patent applications that are subject to the first-t</w:t>
      </w:r>
      <w:r>
        <w:rPr>
          <w:sz w:val="20"/>
          <w:szCs w:val="20"/>
        </w:rPr>
        <w:t>o-invent law in the U.S., or may be required to participate in derivation proceedings in the USPTO for those patents or patent applications that are subject to the first-inventor-to-file law in the U.S. We may be required to participate in such interferenc</w:t>
      </w:r>
      <w:r>
        <w:rPr>
          <w:sz w:val="20"/>
          <w:szCs w:val="20"/>
        </w:rPr>
        <w:t>e or derivation proceedings involving our issued patents and pending applications. We may be required to cease using the technology or to license rights from prevailing third parties as a result of an unfavorable outcome in an interference proceeding or de</w:t>
      </w:r>
      <w:r>
        <w:rPr>
          <w:sz w:val="20"/>
          <w:szCs w:val="20"/>
        </w:rPr>
        <w:t>rivation proceeding. A prevailing party in that case may not offer us a license on commercially acceptable terms.</w:t>
      </w:r>
    </w:p>
    <w:p w:rsidR="00000000" w:rsidRDefault="00F22B2C">
      <w:pPr>
        <w:pStyle w:val="a3"/>
        <w:spacing w:before="0" w:beforeAutospacing="0" w:after="200" w:afterAutospacing="0"/>
        <w:ind w:firstLine="540"/>
        <w:divId w:val="1448162785"/>
        <w:rPr>
          <w:sz w:val="20"/>
          <w:szCs w:val="20"/>
        </w:rPr>
      </w:pPr>
      <w:r>
        <w:rPr>
          <w:b/>
          <w:bCs/>
          <w:i/>
          <w:iCs/>
          <w:sz w:val="20"/>
          <w:szCs w:val="20"/>
        </w:rPr>
        <w:t xml:space="preserve">We cannot prevent other companies from licensing most of the same intellectual properties that we have licensed or from otherwise duplicating </w:t>
      </w:r>
      <w:r>
        <w:rPr>
          <w:b/>
          <w:bCs/>
          <w:i/>
          <w:iCs/>
          <w:sz w:val="20"/>
          <w:szCs w:val="20"/>
        </w:rPr>
        <w:t>our business model and operations.</w:t>
      </w:r>
    </w:p>
    <w:p w:rsidR="00000000" w:rsidRDefault="00F22B2C">
      <w:pPr>
        <w:pStyle w:val="a3"/>
        <w:spacing w:before="0" w:beforeAutospacing="0" w:after="200" w:afterAutospacing="0"/>
        <w:ind w:firstLine="540"/>
        <w:divId w:val="1448162785"/>
        <w:rPr>
          <w:sz w:val="20"/>
          <w:szCs w:val="20"/>
        </w:rPr>
      </w:pPr>
      <w:r>
        <w:rPr>
          <w:sz w:val="20"/>
          <w:szCs w:val="20"/>
        </w:rPr>
        <w:t>Certain intellectual properties that we are using to develop TIL-based cancer therapy products were licensed to us by the NIH. The issued or pending patents that the NIH licensed to us are exclusive, and specific with res</w:t>
      </w:r>
      <w:r>
        <w:rPr>
          <w:sz w:val="20"/>
          <w:szCs w:val="20"/>
        </w:rPr>
        <w:t>pect to melanoma, breast, HPV-associated, bladder and lung cancers. No assurance can be given that the NIH has not previously licensed, or that the NIH hereafter will not license to other biotechnology companies some or all of the non-exclusive technologie</w:t>
      </w:r>
      <w:r>
        <w:rPr>
          <w:sz w:val="20"/>
          <w:szCs w:val="20"/>
        </w:rPr>
        <w:t>s available to us under the NIH License Agreement. In addition, one pending U.S. patent application in the NIH License Agreement is not owned solely by the NIH. No assurance can be given that NIH’s co-owner of the certain pending U.S. patent application in</w:t>
      </w:r>
      <w:r>
        <w:rPr>
          <w:sz w:val="20"/>
          <w:szCs w:val="20"/>
        </w:rPr>
        <w:t xml:space="preserve"> the NIH License Agreement has not previously licensed, or that the co-owner thereafter will not license, to other biotechnology companies some or all of the technologies available to us. Co-ownership of these intellectual properties will create issues wit</w:t>
      </w:r>
      <w:r>
        <w:rPr>
          <w:sz w:val="20"/>
          <w:szCs w:val="20"/>
        </w:rPr>
        <w:t>h respect to our ability to enforce the intellectual property rights in courts, and will create issues with respect to the accountability of one entity with respect to the other.</w:t>
      </w:r>
    </w:p>
    <w:p w:rsidR="00000000" w:rsidRDefault="00F22B2C">
      <w:pPr>
        <w:pStyle w:val="a3"/>
        <w:spacing w:before="0" w:beforeAutospacing="0" w:after="200" w:afterAutospacing="0"/>
        <w:ind w:firstLine="540"/>
        <w:divId w:val="1448162785"/>
        <w:rPr>
          <w:sz w:val="20"/>
          <w:szCs w:val="20"/>
        </w:rPr>
      </w:pPr>
      <w:r>
        <w:rPr>
          <w:sz w:val="20"/>
          <w:szCs w:val="20"/>
        </w:rPr>
        <w:t>Since the NCI, Moffitt, MDACC, and others already use TIL therapy for the tre</w:t>
      </w:r>
      <w:r>
        <w:rPr>
          <w:sz w:val="20"/>
          <w:szCs w:val="20"/>
        </w:rPr>
        <w:t>atment of metastatic melanoma and other indications, their methods and data are also available to third parties, who may want to enter into our line of business and compete against us. Other than the Gen 2 manufacturing process, we currently do not own any</w:t>
      </w:r>
      <w:r>
        <w:rPr>
          <w:sz w:val="20"/>
          <w:szCs w:val="20"/>
        </w:rPr>
        <w:t xml:space="preserve"> exclusive rights on our entire product portfolio that could be used to prevent third parties from duplicating our business plan or from otherwise directly competing against us. While additional technologies that may be developed under our CRADA may be lic</w:t>
      </w:r>
      <w:r>
        <w:rPr>
          <w:sz w:val="20"/>
          <w:szCs w:val="20"/>
        </w:rPr>
        <w:t>ensed to us on an exclusive basis, no assurance can be given that our existing exclusive rights and will be sufficient to prevent others from competing with us and developing substantially similar products.</w:t>
      </w:r>
    </w:p>
    <w:p w:rsidR="00000000" w:rsidRDefault="00F22B2C">
      <w:pPr>
        <w:pStyle w:val="a3"/>
        <w:spacing w:before="480" w:beforeAutospacing="0" w:after="0" w:afterAutospacing="0"/>
        <w:jc w:val="center"/>
        <w:divId w:val="406273440"/>
        <w:rPr>
          <w:sz w:val="20"/>
          <w:szCs w:val="20"/>
        </w:rPr>
      </w:pPr>
      <w:r>
        <w:rPr>
          <w:sz w:val="20"/>
          <w:szCs w:val="20"/>
        </w:rPr>
        <w:t>78</w:t>
      </w:r>
    </w:p>
    <w:p w:rsidR="00000000" w:rsidRDefault="00F22B2C">
      <w:pPr>
        <w:pStyle w:val="a3"/>
        <w:spacing w:before="0" w:beforeAutospacing="0" w:after="600" w:afterAutospacing="0"/>
        <w:divId w:val="2007702277"/>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0"/>
        <w:divId w:val="250167941"/>
        <w:rPr>
          <w:sz w:val="20"/>
          <w:szCs w:val="20"/>
        </w:rPr>
      </w:pPr>
      <w:r>
        <w:rPr>
          <w:b/>
          <w:bCs/>
          <w:i/>
          <w:iCs/>
          <w:sz w:val="20"/>
          <w:szCs w:val="20"/>
        </w:rPr>
        <w:t>Th</w:t>
      </w:r>
      <w:r>
        <w:rPr>
          <w:b/>
          <w:bCs/>
          <w:i/>
          <w:iCs/>
          <w:sz w:val="20"/>
          <w:szCs w:val="20"/>
        </w:rPr>
        <w:t>e use of our technologies could potentially conflict with the rights of others.</w:t>
      </w:r>
    </w:p>
    <w:p w:rsidR="00000000" w:rsidRDefault="00F22B2C">
      <w:pPr>
        <w:pStyle w:val="a3"/>
        <w:spacing w:before="0" w:beforeAutospacing="0" w:after="200" w:afterAutospacing="0"/>
        <w:ind w:firstLine="540"/>
        <w:divId w:val="250167941"/>
        <w:rPr>
          <w:sz w:val="20"/>
          <w:szCs w:val="20"/>
        </w:rPr>
      </w:pPr>
      <w:r>
        <w:rPr>
          <w:sz w:val="20"/>
          <w:szCs w:val="20"/>
        </w:rPr>
        <w:t>Our potential competitors or others may have or acquire patent rights that they could enforce against us. If they do so, then we may be required to alter our products, pay lice</w:t>
      </w:r>
      <w:r>
        <w:rPr>
          <w:sz w:val="20"/>
          <w:szCs w:val="20"/>
        </w:rPr>
        <w:t>nsing fees or cease activities. If our products conflict with patent rights of others, third parties could bring legal actions against us or our collaborators, licensees, suppliers or customers, claiming damages and seeking to enjoin manufacturing, use and</w:t>
      </w:r>
      <w:r>
        <w:rPr>
          <w:sz w:val="20"/>
          <w:szCs w:val="20"/>
        </w:rPr>
        <w:t xml:space="preserve"> marketing of the affected products. If these legal actions are successful, in addition to any potential liability for damages (including treble damages and attorneys’ fees for willful infringement), we could be required to obtain a license to continue man</w:t>
      </w:r>
      <w:r>
        <w:rPr>
          <w:sz w:val="20"/>
          <w:szCs w:val="20"/>
        </w:rPr>
        <w:t>ufacturing, promoting the use or marketing the affected products. We may not prevail in any legal action and a required license under the patent may not be available on acceptable terms or at all.</w:t>
      </w:r>
    </w:p>
    <w:p w:rsidR="00000000" w:rsidRDefault="00F22B2C">
      <w:pPr>
        <w:pStyle w:val="a3"/>
        <w:spacing w:before="0" w:beforeAutospacing="0" w:after="200" w:afterAutospacing="0"/>
        <w:ind w:firstLine="540"/>
        <w:divId w:val="250167941"/>
        <w:rPr>
          <w:sz w:val="20"/>
          <w:szCs w:val="20"/>
        </w:rPr>
      </w:pPr>
      <w:r>
        <w:rPr>
          <w:sz w:val="20"/>
          <w:szCs w:val="20"/>
        </w:rPr>
        <w:t xml:space="preserve">We have conducted an extensive freedom-to-operate, or FTO, </w:t>
      </w:r>
      <w:r>
        <w:rPr>
          <w:sz w:val="20"/>
          <w:szCs w:val="20"/>
        </w:rPr>
        <w:t xml:space="preserve">analyses of the patent landscape with respect to our lead product candidates. Although we continue to undertake FTO analyses of our manufacturing processes, our lead TIL products, and contemplated future processes and products, because patent applications </w:t>
      </w:r>
      <w:r>
        <w:rPr>
          <w:sz w:val="20"/>
          <w:szCs w:val="20"/>
        </w:rPr>
        <w:t>do not publish for 18 months, and because the claims of patent applications can change over time, no FTO analysis can be considered exhaustive. Furthermore, patent and other intellectual property rights in biotechnology remains an evolving area with many r</w:t>
      </w:r>
      <w:r>
        <w:rPr>
          <w:sz w:val="20"/>
          <w:szCs w:val="20"/>
        </w:rPr>
        <w:t>isks and uncertainties. As such, we may not be able to ensure that we can market our product candidates without conflict with the rights of others.</w:t>
      </w:r>
    </w:p>
    <w:p w:rsidR="00000000" w:rsidRDefault="00F22B2C">
      <w:pPr>
        <w:pStyle w:val="a3"/>
        <w:spacing w:before="0" w:beforeAutospacing="0" w:after="200" w:afterAutospacing="0"/>
        <w:ind w:firstLine="540"/>
        <w:divId w:val="250167941"/>
        <w:rPr>
          <w:sz w:val="20"/>
          <w:szCs w:val="20"/>
        </w:rPr>
      </w:pPr>
      <w:r>
        <w:rPr>
          <w:b/>
          <w:bCs/>
          <w:i/>
          <w:iCs/>
          <w:sz w:val="20"/>
          <w:szCs w:val="20"/>
        </w:rPr>
        <w:t xml:space="preserve">Changes in U.S. patent law could diminish the value of patents in general, thereby impairing our ability to </w:t>
      </w:r>
      <w:r>
        <w:rPr>
          <w:b/>
          <w:bCs/>
          <w:i/>
          <w:iCs/>
          <w:sz w:val="20"/>
          <w:szCs w:val="20"/>
        </w:rPr>
        <w:t>protect our products.</w:t>
      </w:r>
    </w:p>
    <w:p w:rsidR="00000000" w:rsidRDefault="00F22B2C">
      <w:pPr>
        <w:pStyle w:val="a3"/>
        <w:spacing w:before="0" w:beforeAutospacing="0" w:after="200" w:afterAutospacing="0"/>
        <w:ind w:firstLine="540"/>
        <w:divId w:val="250167941"/>
        <w:rPr>
          <w:sz w:val="20"/>
          <w:szCs w:val="20"/>
        </w:rPr>
      </w:pPr>
      <w:r>
        <w:rPr>
          <w:sz w:val="20"/>
          <w:szCs w:val="20"/>
        </w:rPr>
        <w:t>As is the case with other cell therapy and biopharmaceutical companies, our success is dependent on intellectual property, particularly patents. Obtaining and enforcing patents in the biopharmaceutical industry involve both technologi</w:t>
      </w:r>
      <w:r>
        <w:rPr>
          <w:sz w:val="20"/>
          <w:szCs w:val="20"/>
        </w:rPr>
        <w:t>cal and legal complexity, and is therefore costly, time-consuming and inherently uncertain. In addition, the U.S. has recently enacted and is currently implementing wide-ranging patent reform legislation. Recent U.S. Supreme Court rulings have narrowed the</w:t>
      </w:r>
      <w:r>
        <w:rPr>
          <w:sz w:val="20"/>
          <w:szCs w:val="20"/>
        </w:rPr>
        <w:t xml:space="preserve"> scope of patent protection available in certain circumstances and weakened the rights of patent owners in certain situations. In addition to increasing uncertainty with regard to our ability to obtain patents in the future, this combination of events has </w:t>
      </w:r>
      <w:r>
        <w:rPr>
          <w:sz w:val="20"/>
          <w:szCs w:val="20"/>
        </w:rPr>
        <w:t>created uncertainty with respect to the value of patents, once obtained. Depending on decisions by the U.S. Congress, the federal courts, and the USPTO, the laws and regulations governing patents could change in unpredictable ways that would weaken our abi</w:t>
      </w:r>
      <w:r>
        <w:rPr>
          <w:sz w:val="20"/>
          <w:szCs w:val="20"/>
        </w:rPr>
        <w:t>lity to obtain new patents or to enforce our existing patents and patents that we might obtain in the future. While we do not believe that any of the patents owned or licensed by us will be found invalid based on this decision, we cannot predict how future</w:t>
      </w:r>
      <w:r>
        <w:rPr>
          <w:sz w:val="20"/>
          <w:szCs w:val="20"/>
        </w:rPr>
        <w:t xml:space="preserve"> decisions by the courts, the U.S. Congress or the USPTO may impact the value of our patents.</w:t>
      </w:r>
    </w:p>
    <w:p w:rsidR="00000000" w:rsidRDefault="00F22B2C">
      <w:pPr>
        <w:pStyle w:val="a3"/>
        <w:spacing w:before="0" w:beforeAutospacing="0" w:after="200" w:afterAutospacing="0"/>
        <w:ind w:firstLine="540"/>
        <w:divId w:val="250167941"/>
        <w:rPr>
          <w:sz w:val="20"/>
          <w:szCs w:val="20"/>
        </w:rPr>
      </w:pPr>
      <w:r>
        <w:rPr>
          <w:b/>
          <w:bCs/>
          <w:i/>
          <w:iCs/>
          <w:sz w:val="20"/>
          <w:szCs w:val="20"/>
        </w:rPr>
        <w:t>We have limited foreign intellectual property rights and may not be able to protect our intellectual property rights throughout the world.</w:t>
      </w:r>
    </w:p>
    <w:p w:rsidR="00000000" w:rsidRDefault="00F22B2C">
      <w:pPr>
        <w:pStyle w:val="a3"/>
        <w:spacing w:before="0" w:beforeAutospacing="0" w:after="200" w:afterAutospacing="0"/>
        <w:ind w:firstLine="540"/>
        <w:divId w:val="250167941"/>
        <w:rPr>
          <w:sz w:val="20"/>
          <w:szCs w:val="20"/>
        </w:rPr>
      </w:pPr>
      <w:r>
        <w:rPr>
          <w:sz w:val="20"/>
          <w:szCs w:val="20"/>
        </w:rPr>
        <w:t>We have limited intelle</w:t>
      </w:r>
      <w:r>
        <w:rPr>
          <w:sz w:val="20"/>
          <w:szCs w:val="20"/>
        </w:rPr>
        <w:t>ctual property rights outside the U.S. Filing, prosecuting and defending patents on product candidates in all countries throughout the world would be prohibitively expensive, and our intellectual property rights in some countries outside the U.S. can be le</w:t>
      </w:r>
      <w:r>
        <w:rPr>
          <w:sz w:val="20"/>
          <w:szCs w:val="20"/>
        </w:rPr>
        <w:t>ss extensive than those in the U.S. In addition, the laws of some foreign countries do not protect intellectual property rights to the same extent as federal and state laws in the U.S. Consequently, we may not be able to prevent third parties from practici</w:t>
      </w:r>
      <w:r>
        <w:rPr>
          <w:sz w:val="20"/>
          <w:szCs w:val="20"/>
        </w:rPr>
        <w:t>ng our inventions in all countries outside the U.S., or from selling or importing products made using our inventions in and into the U.S. or other jurisdictions. Competitors may use our technologies in jurisdictions where we have not obtained patent protec</w:t>
      </w:r>
      <w:r>
        <w:rPr>
          <w:sz w:val="20"/>
          <w:szCs w:val="20"/>
        </w:rPr>
        <w:t>tion to develop their own products and further, may export otherwise infringing products to territories where we have patent protection, but enforcement is not as strong as that in the U.S. These products may compete with our products and our patents or ot</w:t>
      </w:r>
      <w:r>
        <w:rPr>
          <w:sz w:val="20"/>
          <w:szCs w:val="20"/>
        </w:rPr>
        <w:t>her intellectual property rights may not be effective or sufficient to prevent them from competing.</w:t>
      </w:r>
    </w:p>
    <w:p w:rsidR="00000000" w:rsidRDefault="00F22B2C">
      <w:pPr>
        <w:pStyle w:val="a3"/>
        <w:spacing w:before="0" w:beforeAutospacing="0" w:after="200" w:afterAutospacing="0"/>
        <w:ind w:firstLine="540"/>
        <w:divId w:val="250167941"/>
        <w:rPr>
          <w:sz w:val="20"/>
          <w:szCs w:val="20"/>
        </w:rPr>
      </w:pPr>
      <w:r>
        <w:rPr>
          <w:sz w:val="20"/>
          <w:szCs w:val="20"/>
        </w:rPr>
        <w:t>Many companies have encountered significant problems in protecting and defending intellectual property rights in foreign jurisdictions. The legal systems of</w:t>
      </w:r>
      <w:r>
        <w:rPr>
          <w:sz w:val="20"/>
          <w:szCs w:val="20"/>
        </w:rPr>
        <w:t xml:space="preserve"> certain countries, particularly certain developing countries, do not favor the enforcement of patents, trade secrets and other intellectual property protection, particularly those relating to biopharmaceutical products, which could make it difficult for u</w:t>
      </w:r>
      <w:r>
        <w:rPr>
          <w:sz w:val="20"/>
          <w:szCs w:val="20"/>
        </w:rPr>
        <w:t>s to stop the infringement of our patents or marketing of competing products in violation of our proprietary rights generally. Proceedings to enforce our patent rights in foreign jurisdictions could result in substantial costs and divert our efforts and at</w:t>
      </w:r>
      <w:r>
        <w:rPr>
          <w:sz w:val="20"/>
          <w:szCs w:val="20"/>
        </w:rPr>
        <w:t>tention from other aspects of our business, could put our patents at risk of being invalidated or interpreted narrowly and our patent applications at risk of not issuing and could provoke third parties to assert claims against us. We may not prevail in any</w:t>
      </w:r>
      <w:r>
        <w:rPr>
          <w:sz w:val="20"/>
          <w:szCs w:val="20"/>
        </w:rPr>
        <w:t xml:space="preserve"> lawsuits that we initiate, and the damages or other remedies awarded, if any, may not be commercially meaningful. Accordingly, our efforts to enforce our intellectual property rights around the world may be inadequate to obtain a significant commercial ad</w:t>
      </w:r>
      <w:r>
        <w:rPr>
          <w:sz w:val="20"/>
          <w:szCs w:val="20"/>
        </w:rPr>
        <w:t>vantage from the intellectual property that we develop or license.</w:t>
      </w:r>
    </w:p>
    <w:p w:rsidR="00000000" w:rsidRDefault="00F22B2C">
      <w:pPr>
        <w:pStyle w:val="a3"/>
        <w:spacing w:before="480" w:beforeAutospacing="0" w:after="0" w:afterAutospacing="0"/>
        <w:jc w:val="center"/>
        <w:divId w:val="30617407"/>
        <w:rPr>
          <w:sz w:val="20"/>
          <w:szCs w:val="20"/>
        </w:rPr>
      </w:pPr>
      <w:r>
        <w:rPr>
          <w:sz w:val="20"/>
          <w:szCs w:val="20"/>
        </w:rPr>
        <w:t>79</w:t>
      </w:r>
    </w:p>
    <w:p w:rsidR="00000000" w:rsidRDefault="00F22B2C">
      <w:pPr>
        <w:pStyle w:val="a3"/>
        <w:spacing w:before="0" w:beforeAutospacing="0" w:after="600" w:afterAutospacing="0"/>
        <w:divId w:val="1501773169"/>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0"/>
        <w:divId w:val="1953978093"/>
        <w:rPr>
          <w:sz w:val="20"/>
          <w:szCs w:val="20"/>
        </w:rPr>
      </w:pPr>
      <w:r>
        <w:rPr>
          <w:b/>
          <w:bCs/>
          <w:i/>
          <w:iCs/>
          <w:sz w:val="20"/>
          <w:szCs w:val="20"/>
        </w:rPr>
        <w:t>We may be subject to claims that our employees, consultants or independent contractors have wrongfully used or disclosed confidential informat</w:t>
      </w:r>
      <w:r>
        <w:rPr>
          <w:b/>
          <w:bCs/>
          <w:i/>
          <w:iCs/>
          <w:sz w:val="20"/>
          <w:szCs w:val="20"/>
        </w:rPr>
        <w:t>ion of third parties.</w:t>
      </w:r>
    </w:p>
    <w:p w:rsidR="00000000" w:rsidRDefault="00F22B2C">
      <w:pPr>
        <w:pStyle w:val="a3"/>
        <w:spacing w:before="0" w:beforeAutospacing="0" w:after="200" w:afterAutospacing="0"/>
        <w:ind w:firstLine="547"/>
        <w:divId w:val="1953978093"/>
        <w:rPr>
          <w:sz w:val="20"/>
          <w:szCs w:val="20"/>
        </w:rPr>
      </w:pPr>
      <w:r>
        <w:rPr>
          <w:sz w:val="20"/>
          <w:szCs w:val="20"/>
        </w:rPr>
        <w:t>We have received confidential and proprietary information from third parties and our employees and contractors. In addition, we employ individuals who were previously employed at other biotechnology or pharmaceutical companies. We may</w:t>
      </w:r>
      <w:r>
        <w:rPr>
          <w:sz w:val="20"/>
          <w:szCs w:val="20"/>
        </w:rPr>
        <w:t xml:space="preserve"> be subject to claims that we or our employees, consultants or independent contractors have inadvertently or otherwise used or disclosed confidential information of these third parties or our employees’ former employers. Litigation may be necessary to defe</w:t>
      </w:r>
      <w:r>
        <w:rPr>
          <w:sz w:val="20"/>
          <w:szCs w:val="20"/>
        </w:rPr>
        <w:t>nd against or pursue these claims. For example, we are currently engaged in litigation involving counterclaims that we have brought relating to theft of certain of our trade secrets, breach of confidentiality, and related counterclaims. Even if we are succ</w:t>
      </w:r>
      <w:r>
        <w:rPr>
          <w:sz w:val="20"/>
          <w:szCs w:val="20"/>
        </w:rPr>
        <w:t>essful in resolving these claims, litigation could result in substantial cost and be a distraction to our management and employees.</w:t>
      </w:r>
    </w:p>
    <w:p w:rsidR="00000000" w:rsidRDefault="00F22B2C">
      <w:pPr>
        <w:pStyle w:val="a3"/>
        <w:spacing w:before="0" w:beforeAutospacing="0" w:after="200" w:afterAutospacing="0"/>
        <w:divId w:val="1953978093"/>
        <w:rPr>
          <w:sz w:val="20"/>
          <w:szCs w:val="20"/>
        </w:rPr>
      </w:pPr>
      <w:r>
        <w:rPr>
          <w:b/>
          <w:bCs/>
          <w:sz w:val="20"/>
          <w:szCs w:val="20"/>
        </w:rPr>
        <w:t>Risks Related to Our Securities</w:t>
      </w:r>
    </w:p>
    <w:p w:rsidR="00000000" w:rsidRDefault="00F22B2C">
      <w:pPr>
        <w:pStyle w:val="a3"/>
        <w:spacing w:before="0" w:beforeAutospacing="0" w:after="200" w:afterAutospacing="0"/>
        <w:ind w:firstLine="547"/>
        <w:divId w:val="1953978093"/>
        <w:rPr>
          <w:sz w:val="20"/>
          <w:szCs w:val="20"/>
        </w:rPr>
      </w:pPr>
      <w:r>
        <w:rPr>
          <w:b/>
          <w:bCs/>
          <w:i/>
          <w:iCs/>
          <w:sz w:val="20"/>
          <w:szCs w:val="20"/>
        </w:rPr>
        <w:t>Our officers, directors and principal stockholders own a substantial percentage of our stock and will be able to exert significant control over matters subject to stockholder approval.</w:t>
      </w:r>
    </w:p>
    <w:p w:rsidR="00000000" w:rsidRDefault="00F22B2C">
      <w:pPr>
        <w:pStyle w:val="a3"/>
        <w:spacing w:before="0" w:beforeAutospacing="0" w:after="200" w:afterAutospacing="0"/>
        <w:ind w:firstLine="547"/>
        <w:divId w:val="1953978093"/>
        <w:rPr>
          <w:sz w:val="20"/>
          <w:szCs w:val="20"/>
        </w:rPr>
      </w:pPr>
      <w:r>
        <w:rPr>
          <w:sz w:val="20"/>
          <w:szCs w:val="20"/>
        </w:rPr>
        <w:t>Our officers, directors, and principal stockholders currently beneficia</w:t>
      </w:r>
      <w:r>
        <w:rPr>
          <w:sz w:val="20"/>
          <w:szCs w:val="20"/>
        </w:rPr>
        <w:t>lly own a substantial portion of our outstanding voting stock. Therefore, these stockholders have the ability and may continue to have the ability to influence our corporate decision making. Given current ownership levels, these stockholders may be able to</w:t>
      </w:r>
      <w:r>
        <w:rPr>
          <w:sz w:val="20"/>
          <w:szCs w:val="20"/>
        </w:rPr>
        <w:t xml:space="preserve"> determine some or all matters requiring stockholder approval. For example, these stockholders, acting together, may be able to control or influence elections of directors, amendments to our certificate of incorporation or bylaws, or approval of any merger</w:t>
      </w:r>
      <w:r>
        <w:rPr>
          <w:sz w:val="20"/>
          <w:szCs w:val="20"/>
        </w:rPr>
        <w:t>, sale of assets, or other major corporate transaction. This level of control may prevent or discourage unsolicited acquisition proposals or offers for our common stock that you may believe are in your best interest as one of our stockholders.</w:t>
      </w:r>
    </w:p>
    <w:p w:rsidR="00000000" w:rsidRDefault="00F22B2C">
      <w:pPr>
        <w:pStyle w:val="a3"/>
        <w:spacing w:before="0" w:beforeAutospacing="0" w:after="240" w:afterAutospacing="0"/>
        <w:ind w:firstLine="547"/>
        <w:divId w:val="1953978093"/>
        <w:rPr>
          <w:sz w:val="20"/>
          <w:szCs w:val="20"/>
        </w:rPr>
      </w:pPr>
      <w:r>
        <w:rPr>
          <w:b/>
          <w:bCs/>
          <w:i/>
          <w:iCs/>
          <w:sz w:val="20"/>
          <w:szCs w:val="20"/>
        </w:rPr>
        <w:t>Our stock pr</w:t>
      </w:r>
      <w:r>
        <w:rPr>
          <w:b/>
          <w:bCs/>
          <w:i/>
          <w:iCs/>
          <w:sz w:val="20"/>
          <w:szCs w:val="20"/>
        </w:rPr>
        <w:t>ice may be volatile, and our stockholders’ investment in our stock could decline in value.</w:t>
      </w:r>
    </w:p>
    <w:p w:rsidR="00000000" w:rsidRDefault="00F22B2C">
      <w:pPr>
        <w:pStyle w:val="a3"/>
        <w:spacing w:before="0" w:beforeAutospacing="0" w:after="240" w:afterAutospacing="0"/>
        <w:ind w:firstLine="547"/>
        <w:divId w:val="1953978093"/>
        <w:rPr>
          <w:sz w:val="20"/>
          <w:szCs w:val="20"/>
        </w:rPr>
      </w:pPr>
      <w:r>
        <w:rPr>
          <w:sz w:val="20"/>
          <w:szCs w:val="20"/>
        </w:rPr>
        <w:t>The market price of our common stock is likely to be volatile and could fluctuate widely in response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sz w:val="20"/>
                <w:szCs w:val="20"/>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volatility and</w:t>
            </w:r>
            <w:r>
              <w:rPr>
                <w:rFonts w:eastAsia="Times New Roman"/>
                <w:sz w:val="20"/>
                <w:szCs w:val="20"/>
              </w:rPr>
              <w:t xml:space="preserve"> instability in the capital markets due to the COVID-19 pandemic;</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announcements of the results of clinical trials by us, our collaborators, or our competitors, or negative developments with respect to similar products, including those being developed by our collaborators;</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developments with respect to patents or prop</w:t>
            </w:r>
            <w:r>
              <w:rPr>
                <w:rFonts w:eastAsia="Times New Roman"/>
                <w:sz w:val="20"/>
                <w:szCs w:val="20"/>
              </w:rPr>
              <w:t>rietary rights;</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announcements of technological innovations by us or our competitors;</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announcements of new products or new contracts by us or our competitors;</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actual or anticipated variations in our operating results due to the level of development expenses and other factors;</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changes in financial estimates by equities research analysts and whether our earnings meet or exceed such estimates;</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 xml:space="preserve">conditions </w:t>
            </w:r>
            <w:r>
              <w:rPr>
                <w:rFonts w:eastAsia="Times New Roman"/>
                <w:sz w:val="20"/>
                <w:szCs w:val="20"/>
              </w:rPr>
              <w:t>and trends in the pharmaceutical, biotechnology and other industries;</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receipt, or lack of receipt, of funding in support of conducing our business;</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regulatory developments within, and outside of, the U.S.;</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litigation or arbitration;</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general volatility in the financial markets;</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general economic, political and market conditions and other factors; and</w:t>
            </w:r>
          </w:p>
        </w:tc>
      </w:tr>
    </w:tbl>
    <w:p w:rsidR="00000000" w:rsidRDefault="00F22B2C">
      <w:pPr>
        <w:divId w:val="19539780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953978093"/>
        </w:trPr>
        <w:tc>
          <w:tcPr>
            <w:tcW w:w="547"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the occurrence of any of the risks described in this Annual Report on Form 10-K</w:t>
            </w:r>
          </w:p>
        </w:tc>
      </w:tr>
    </w:tbl>
    <w:p w:rsidR="00000000" w:rsidRDefault="00F22B2C">
      <w:pPr>
        <w:pStyle w:val="a3"/>
        <w:spacing w:before="0" w:beforeAutospacing="0" w:after="240" w:afterAutospacing="0"/>
        <w:ind w:firstLine="547"/>
        <w:divId w:val="1953978093"/>
        <w:rPr>
          <w:sz w:val="20"/>
          <w:szCs w:val="20"/>
        </w:rPr>
      </w:pPr>
      <w:r>
        <w:rPr>
          <w:b/>
          <w:bCs/>
          <w:i/>
          <w:iCs/>
          <w:sz w:val="20"/>
          <w:szCs w:val="20"/>
        </w:rPr>
        <w:t>You may experience future dilution as a result of future equity offerings or other equity issuances.</w:t>
      </w:r>
    </w:p>
    <w:p w:rsidR="00000000" w:rsidRDefault="00F22B2C">
      <w:pPr>
        <w:pStyle w:val="a3"/>
        <w:spacing w:before="0" w:beforeAutospacing="0" w:after="240" w:afterAutospacing="0"/>
        <w:ind w:firstLine="547"/>
        <w:divId w:val="1953978093"/>
        <w:rPr>
          <w:sz w:val="20"/>
          <w:szCs w:val="20"/>
        </w:rPr>
      </w:pPr>
      <w:r>
        <w:rPr>
          <w:sz w:val="20"/>
          <w:szCs w:val="20"/>
        </w:rPr>
        <w:t>We may have to raise additional capital in the future. To raise additional</w:t>
      </w:r>
      <w:r>
        <w:rPr>
          <w:sz w:val="20"/>
          <w:szCs w:val="20"/>
        </w:rPr>
        <w:t xml:space="preserve"> capital, we may in the future offer additional shares of our common stock or other securities convertible into or exchangeable for our common stock at prices that may be lower than the current price per share of our common stock. In addition, investors pu</w:t>
      </w:r>
      <w:r>
        <w:rPr>
          <w:sz w:val="20"/>
          <w:szCs w:val="20"/>
        </w:rPr>
        <w:t>rchasing shares or other securities in the future could have rights superior to existing stockholders. The price per share at which we sell additional shares of our common stock, or securities convertible or exchangeable into common stock, in future transa</w:t>
      </w:r>
      <w:r>
        <w:rPr>
          <w:sz w:val="20"/>
          <w:szCs w:val="20"/>
        </w:rPr>
        <w:t>ctions may be higher or lower than the price per share paid by investors in prior offerings. Any such issuance could result in substantial dilution to our existing stockholders.</w:t>
      </w:r>
    </w:p>
    <w:p w:rsidR="00000000" w:rsidRDefault="00F22B2C">
      <w:pPr>
        <w:pStyle w:val="a3"/>
        <w:spacing w:before="480" w:beforeAutospacing="0" w:after="0" w:afterAutospacing="0"/>
        <w:jc w:val="center"/>
        <w:divId w:val="1542397892"/>
        <w:rPr>
          <w:sz w:val="20"/>
          <w:szCs w:val="20"/>
        </w:rPr>
      </w:pPr>
      <w:r>
        <w:rPr>
          <w:sz w:val="20"/>
          <w:szCs w:val="20"/>
        </w:rPr>
        <w:t>80</w:t>
      </w:r>
    </w:p>
    <w:p w:rsidR="00000000" w:rsidRDefault="00F22B2C">
      <w:pPr>
        <w:pStyle w:val="a3"/>
        <w:spacing w:before="0" w:beforeAutospacing="0" w:after="600" w:afterAutospacing="0"/>
        <w:divId w:val="1541043898"/>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ind w:firstLine="547"/>
        <w:divId w:val="1503352811"/>
        <w:rPr>
          <w:sz w:val="20"/>
          <w:szCs w:val="20"/>
        </w:rPr>
      </w:pPr>
      <w:r>
        <w:rPr>
          <w:b/>
          <w:bCs/>
          <w:i/>
          <w:iCs/>
          <w:sz w:val="20"/>
          <w:szCs w:val="20"/>
        </w:rPr>
        <w:t>Future sales of our common stoc</w:t>
      </w:r>
      <w:r>
        <w:rPr>
          <w:b/>
          <w:bCs/>
          <w:i/>
          <w:iCs/>
          <w:sz w:val="20"/>
          <w:szCs w:val="20"/>
        </w:rPr>
        <w:t>k in the public market could cause our stock price to fall.</w:t>
      </w:r>
    </w:p>
    <w:p w:rsidR="00000000" w:rsidRDefault="00F22B2C">
      <w:pPr>
        <w:pStyle w:val="a3"/>
        <w:spacing w:before="0" w:beforeAutospacing="0" w:after="200" w:afterAutospacing="0"/>
        <w:ind w:firstLine="547"/>
        <w:divId w:val="1503352811"/>
        <w:rPr>
          <w:sz w:val="20"/>
          <w:szCs w:val="20"/>
        </w:rPr>
      </w:pPr>
      <w:r>
        <w:rPr>
          <w:sz w:val="20"/>
          <w:szCs w:val="20"/>
        </w:rPr>
        <w:t xml:space="preserve">Our stock price could decline as a result of sales of a large number of shares of our common stock or the perception that these sales could occur. These sales, or the possibility that these sales </w:t>
      </w:r>
      <w:r>
        <w:rPr>
          <w:sz w:val="20"/>
          <w:szCs w:val="20"/>
        </w:rPr>
        <w:t>may occur, also might make it more difficult for us to sell equity securities in the future at a time and at a price that we deem appropriate.</w:t>
      </w:r>
    </w:p>
    <w:p w:rsidR="00000000" w:rsidRDefault="00F22B2C">
      <w:pPr>
        <w:pStyle w:val="a3"/>
        <w:spacing w:before="0" w:beforeAutospacing="0" w:after="200" w:afterAutospacing="0"/>
        <w:ind w:firstLine="547"/>
        <w:divId w:val="1503352811"/>
        <w:rPr>
          <w:sz w:val="20"/>
          <w:szCs w:val="20"/>
        </w:rPr>
      </w:pPr>
      <w:r>
        <w:rPr>
          <w:sz w:val="20"/>
          <w:szCs w:val="20"/>
        </w:rPr>
        <w:t>As of December 31, 2021, we had 157,004,742 shares of common stock outstanding. In addition, we had 16,655,260 sh</w:t>
      </w:r>
      <w:r>
        <w:rPr>
          <w:sz w:val="20"/>
          <w:szCs w:val="20"/>
        </w:rPr>
        <w:t>ares of common stock equivalents that would increase the number of common stock outstanding if these instruments were exercised or converted to purchase common stock based on vesting requirements of stock options and common stock issuable through purchases</w:t>
      </w:r>
      <w:r>
        <w:rPr>
          <w:sz w:val="20"/>
          <w:szCs w:val="20"/>
        </w:rPr>
        <w:t xml:space="preserve"> of employee stock purchase plan, or upon the conversion of preferred stock. The issuance and subsequent sale of the shares underlying these common stock equivalents could depress the trading price of our common stock. On June 10, 2019, our certificate of </w:t>
      </w:r>
      <w:r>
        <w:rPr>
          <w:sz w:val="20"/>
          <w:szCs w:val="20"/>
        </w:rPr>
        <w:t>incorporation was amended to increase the number of authorized shares of our common stock, par value $0.000041666, from 150,000,000 shares to 300,000,000 shares, which was approved by our stockholders on that date.</w:t>
      </w:r>
    </w:p>
    <w:p w:rsidR="00000000" w:rsidRDefault="00F22B2C">
      <w:pPr>
        <w:pStyle w:val="a3"/>
        <w:spacing w:before="0" w:beforeAutospacing="0" w:after="240" w:afterAutospacing="0"/>
        <w:ind w:firstLine="547"/>
        <w:divId w:val="1503352811"/>
        <w:rPr>
          <w:sz w:val="20"/>
          <w:szCs w:val="20"/>
        </w:rPr>
      </w:pPr>
      <w:r>
        <w:rPr>
          <w:sz w:val="20"/>
          <w:szCs w:val="20"/>
        </w:rPr>
        <w:t xml:space="preserve">In addition, in the future, we may issue </w:t>
      </w:r>
      <w:r>
        <w:rPr>
          <w:sz w:val="20"/>
          <w:szCs w:val="20"/>
        </w:rPr>
        <w:t>additional shares of common stock or other equity or debt securities convertible into common stock in connection with a financing, acquisition, litigation settlement, employee arrangements or otherwise. For example, in June 2020, we issued 19,475,806 share</w:t>
      </w:r>
      <w:r>
        <w:rPr>
          <w:sz w:val="20"/>
          <w:szCs w:val="20"/>
        </w:rPr>
        <w:t>s of common stock in connection with an underwritten public offering, and we may offer additional shares under our automatic shelf registration statement in the future. Future issuances may result in substantial dilution to our existing stockholders and co</w:t>
      </w:r>
      <w:r>
        <w:rPr>
          <w:sz w:val="20"/>
          <w:szCs w:val="20"/>
        </w:rPr>
        <w:t>uld cause our stock price to decline.</w:t>
      </w:r>
    </w:p>
    <w:p w:rsidR="00000000" w:rsidRDefault="00F22B2C">
      <w:pPr>
        <w:pStyle w:val="a3"/>
        <w:spacing w:before="0" w:beforeAutospacing="0" w:after="240" w:afterAutospacing="0"/>
        <w:ind w:firstLine="547"/>
        <w:divId w:val="1503352811"/>
        <w:rPr>
          <w:sz w:val="20"/>
          <w:szCs w:val="20"/>
        </w:rPr>
      </w:pPr>
      <w:r>
        <w:rPr>
          <w:b/>
          <w:bCs/>
          <w:i/>
          <w:iCs/>
          <w:sz w:val="20"/>
          <w:szCs w:val="20"/>
        </w:rPr>
        <w:t>If equities or industry analysts do not publish research or reports about our company, or if they issue adverse or misleading opinions regarding us or our stock, our stock price and trading volume could decline.</w:t>
      </w:r>
    </w:p>
    <w:p w:rsidR="00000000" w:rsidRDefault="00F22B2C">
      <w:pPr>
        <w:pStyle w:val="a3"/>
        <w:spacing w:before="0" w:beforeAutospacing="0" w:after="200" w:afterAutospacing="0"/>
        <w:ind w:firstLine="547"/>
        <w:divId w:val="1503352811"/>
        <w:rPr>
          <w:sz w:val="20"/>
          <w:szCs w:val="20"/>
        </w:rPr>
      </w:pPr>
      <w:r>
        <w:rPr>
          <w:sz w:val="20"/>
          <w:szCs w:val="20"/>
        </w:rPr>
        <w:t>Althou</w:t>
      </w:r>
      <w:r>
        <w:rPr>
          <w:sz w:val="20"/>
          <w:szCs w:val="20"/>
        </w:rPr>
        <w:t>gh we have research coverage by equities analysts, if coverage is not maintained, the market price for our stock may be adversely affected. Our stock price also may decline if any analyst who covers us issues an adverse or erroneous opinion regarding us, o</w:t>
      </w:r>
      <w:r>
        <w:rPr>
          <w:sz w:val="20"/>
          <w:szCs w:val="20"/>
        </w:rPr>
        <w:t>ur business model, our intellectual property or our stock performance, or if our clinical trials and operating results fail to meet analysts’ expectations. If one or more analysts cease coverage of us or fail to regularly publish reports on us, we could lo</w:t>
      </w:r>
      <w:r>
        <w:rPr>
          <w:sz w:val="20"/>
          <w:szCs w:val="20"/>
        </w:rPr>
        <w:t>se visibility in the financial markets, which could cause our stock price or trading volume to decline and possibly adversely affect our ability to engage in future financings.</w:t>
      </w:r>
    </w:p>
    <w:p w:rsidR="00000000" w:rsidRDefault="00F22B2C">
      <w:pPr>
        <w:pStyle w:val="a3"/>
        <w:spacing w:before="0" w:beforeAutospacing="0" w:after="200" w:afterAutospacing="0"/>
        <w:ind w:firstLine="547"/>
        <w:divId w:val="1503352811"/>
        <w:rPr>
          <w:sz w:val="20"/>
          <w:szCs w:val="20"/>
        </w:rPr>
      </w:pPr>
      <w:r>
        <w:rPr>
          <w:b/>
          <w:bCs/>
          <w:i/>
          <w:iCs/>
          <w:sz w:val="20"/>
          <w:szCs w:val="20"/>
        </w:rPr>
        <w:t>If we fail to maintain an effective system of internal control over financial r</w:t>
      </w:r>
      <w:r>
        <w:rPr>
          <w:b/>
          <w:bCs/>
          <w:i/>
          <w:iCs/>
          <w:sz w:val="20"/>
          <w:szCs w:val="20"/>
        </w:rPr>
        <w:t>eporting, we may not be able to accurately report our financial results. As a result, we could become subject to sanctions or investigations by regulatory authorities and/or stockholder litigation, which could harm our business and have an adverse effect o</w:t>
      </w:r>
      <w:r>
        <w:rPr>
          <w:b/>
          <w:bCs/>
          <w:i/>
          <w:iCs/>
          <w:sz w:val="20"/>
          <w:szCs w:val="20"/>
        </w:rPr>
        <w:t>n our stock price.</w:t>
      </w:r>
    </w:p>
    <w:p w:rsidR="00000000" w:rsidRDefault="00F22B2C">
      <w:pPr>
        <w:pStyle w:val="a3"/>
        <w:spacing w:before="0" w:beforeAutospacing="0" w:after="200" w:afterAutospacing="0"/>
        <w:ind w:firstLine="547"/>
        <w:divId w:val="1503352811"/>
        <w:rPr>
          <w:sz w:val="20"/>
          <w:szCs w:val="20"/>
        </w:rPr>
      </w:pPr>
      <w:r>
        <w:rPr>
          <w:sz w:val="20"/>
          <w:szCs w:val="20"/>
        </w:rPr>
        <w:t>As a public reporting company, we are subject to various regulatory requirements, including the Sarbanes-Oxley Act of 2002, which requires our management to assess and report on our internal controls over financial reporting. Nevertheles</w:t>
      </w:r>
      <w:r>
        <w:rPr>
          <w:sz w:val="20"/>
          <w:szCs w:val="20"/>
        </w:rPr>
        <w:t>s, in future years, our testing, or the subsequent testing by our independent registered public accounting firm, may reveal deficiencies in our internal controls that we would be required to remediate in a timely manner to be able to comply with the requir</w:t>
      </w:r>
      <w:r>
        <w:rPr>
          <w:sz w:val="20"/>
          <w:szCs w:val="20"/>
        </w:rPr>
        <w:t>ements of Section 404 of the Sarbanes-Oxley Act each year. If we are not able to comply with the requirements of Section 404 of the Sarbanes-Oxley Act each year, we could be subject to sanctions or investigations by the SEC, Nasdaq or other regulatory auth</w:t>
      </w:r>
      <w:r>
        <w:rPr>
          <w:sz w:val="20"/>
          <w:szCs w:val="20"/>
        </w:rPr>
        <w:t>orities which would require additional financial and management resources and could adversely affect the market price of our common stock. In addition, material weaknesses in our internal controls could result in a loss of investor confidence in our financ</w:t>
      </w:r>
      <w:r>
        <w:rPr>
          <w:sz w:val="20"/>
          <w:szCs w:val="20"/>
        </w:rPr>
        <w:t>ial reports.</w:t>
      </w:r>
    </w:p>
    <w:p w:rsidR="00000000" w:rsidRDefault="00F22B2C">
      <w:pPr>
        <w:pStyle w:val="a3"/>
        <w:spacing w:before="0" w:beforeAutospacing="0" w:after="0" w:afterAutospacing="0"/>
        <w:ind w:firstLine="540"/>
        <w:jc w:val="both"/>
        <w:divId w:val="1503352811"/>
        <w:rPr>
          <w:sz w:val="20"/>
          <w:szCs w:val="20"/>
        </w:rPr>
      </w:pPr>
      <w:r>
        <w:rPr>
          <w:b/>
          <w:bCs/>
          <w:i/>
          <w:iCs/>
          <w:sz w:val="20"/>
          <w:szCs w:val="20"/>
        </w:rPr>
        <w:t>We are, and in the future may be, subject to federal or state securities or related legal actions that could adversely affect our results of operations and our business.</w:t>
      </w:r>
    </w:p>
    <w:p w:rsidR="00000000" w:rsidRDefault="00F22B2C">
      <w:pPr>
        <w:pStyle w:val="a3"/>
        <w:shd w:val="clear" w:color="auto" w:fill="FFFFFF"/>
        <w:spacing w:before="0" w:beforeAutospacing="0" w:after="200" w:afterAutospacing="0"/>
        <w:ind w:firstLine="540"/>
        <w:divId w:val="1503352811"/>
        <w:rPr>
          <w:sz w:val="20"/>
          <w:szCs w:val="20"/>
        </w:rPr>
      </w:pPr>
      <w:r>
        <w:rPr>
          <w:sz w:val="20"/>
          <w:szCs w:val="20"/>
        </w:rPr>
        <w:t>Federal and state securities and related legal actions may result in substantial costs and divert our management’s attention from other business concerns, which could seriously harm our business or affect our reputation. We may not be successful in defendi</w:t>
      </w:r>
      <w:r>
        <w:rPr>
          <w:sz w:val="20"/>
          <w:szCs w:val="20"/>
        </w:rPr>
        <w:t>ng future claims and cannot provide assurance that insurance proceeds will be sufficient to cover any costs or liability under such claims.</w:t>
      </w:r>
    </w:p>
    <w:p w:rsidR="00000000" w:rsidRDefault="00F22B2C">
      <w:pPr>
        <w:pStyle w:val="a3"/>
        <w:spacing w:before="0" w:beforeAutospacing="0" w:after="0" w:afterAutospacing="0"/>
        <w:ind w:firstLine="547"/>
        <w:divId w:val="1503352811"/>
        <w:rPr>
          <w:sz w:val="20"/>
          <w:szCs w:val="20"/>
        </w:rPr>
      </w:pPr>
      <w:r>
        <w:rPr>
          <w:sz w:val="20"/>
          <w:szCs w:val="20"/>
        </w:rPr>
        <w:t>For example, on December 11, 2020, a purported stockholder derivative complaint was filed by plaintiff Leo Shumacher</w:t>
      </w:r>
      <w:r>
        <w:rPr>
          <w:sz w:val="20"/>
          <w:szCs w:val="20"/>
        </w:rPr>
        <w:t xml:space="preserve"> against us, as nominal defendant, and our current directors, as defendants, in the Court of Chancery in the State of Delaware. The complaint alleges breach of fiduciary duty and a claim for unjust enrichment in connection with alleged excessive compensati</w:t>
      </w:r>
      <w:r>
        <w:rPr>
          <w:sz w:val="20"/>
          <w:szCs w:val="20"/>
        </w:rPr>
        <w:t>on of certain of our non-executive directors and seeks unspecified damages on behalf of our company. While we intend to vigorously defend against the foregoing complaint, it is not possible to estimate the amount or range of possible loss that might result</w:t>
      </w:r>
      <w:r>
        <w:rPr>
          <w:sz w:val="20"/>
          <w:szCs w:val="20"/>
        </w:rPr>
        <w:t xml:space="preserve"> from these matters.</w:t>
      </w:r>
    </w:p>
    <w:p w:rsidR="00000000" w:rsidRDefault="00F22B2C">
      <w:pPr>
        <w:pStyle w:val="a3"/>
        <w:spacing w:before="0" w:beforeAutospacing="0" w:after="0" w:afterAutospacing="0"/>
        <w:ind w:firstLine="547"/>
        <w:divId w:val="1503352811"/>
        <w:rPr>
          <w:sz w:val="20"/>
          <w:szCs w:val="20"/>
        </w:rPr>
      </w:pPr>
      <w:r>
        <w:rPr>
          <w:sz w:val="20"/>
          <w:szCs w:val="20"/>
        </w:rPr>
        <w:t>​</w:t>
      </w:r>
    </w:p>
    <w:p w:rsidR="00000000" w:rsidRDefault="00F22B2C">
      <w:pPr>
        <w:pStyle w:val="a3"/>
        <w:spacing w:before="480" w:beforeAutospacing="0" w:after="0" w:afterAutospacing="0"/>
        <w:jc w:val="center"/>
        <w:divId w:val="1747339101"/>
        <w:rPr>
          <w:sz w:val="20"/>
          <w:szCs w:val="20"/>
        </w:rPr>
      </w:pPr>
      <w:r>
        <w:rPr>
          <w:sz w:val="20"/>
          <w:szCs w:val="20"/>
        </w:rPr>
        <w:t>81</w:t>
      </w:r>
    </w:p>
    <w:p w:rsidR="00000000" w:rsidRDefault="00F22B2C">
      <w:pPr>
        <w:pStyle w:val="a3"/>
        <w:spacing w:before="0" w:beforeAutospacing="0" w:after="600" w:afterAutospacing="0"/>
        <w:divId w:val="1985616751"/>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7"/>
        <w:divId w:val="2106807148"/>
        <w:rPr>
          <w:sz w:val="20"/>
          <w:szCs w:val="20"/>
        </w:rPr>
      </w:pPr>
      <w:r>
        <w:rPr>
          <w:b/>
          <w:bCs/>
          <w:i/>
          <w:iCs/>
          <w:sz w:val="20"/>
          <w:szCs w:val="20"/>
        </w:rPr>
        <w:t>Our Board of Directors could issue one or more additional series of preferred stock without stockholder approval with the effect of diluting existing stockholders and impairing their vot</w:t>
      </w:r>
      <w:r>
        <w:rPr>
          <w:b/>
          <w:bCs/>
          <w:i/>
          <w:iCs/>
          <w:sz w:val="20"/>
          <w:szCs w:val="20"/>
        </w:rPr>
        <w:t>ing and other rights.</w:t>
      </w:r>
    </w:p>
    <w:p w:rsidR="00000000" w:rsidRDefault="00F22B2C">
      <w:pPr>
        <w:pStyle w:val="a3"/>
        <w:spacing w:before="0" w:beforeAutospacing="0" w:after="200" w:afterAutospacing="0"/>
        <w:ind w:firstLine="547"/>
        <w:divId w:val="2106807148"/>
        <w:rPr>
          <w:sz w:val="20"/>
          <w:szCs w:val="20"/>
        </w:rPr>
      </w:pPr>
      <w:r>
        <w:rPr>
          <w:sz w:val="20"/>
          <w:szCs w:val="20"/>
        </w:rPr>
        <w:t>Our certificate of incorporation, as amended, authorizes the issuance of up to 50,000,000 shares of “blank check” preferred stock (of which only 17,000 shares were issued as Series A Convertible Preferred Stock and 11,500,000 shares w</w:t>
      </w:r>
      <w:r>
        <w:rPr>
          <w:sz w:val="20"/>
          <w:szCs w:val="20"/>
        </w:rPr>
        <w:t>ere issued as Series B Convertible Preferred Stock) with designations, rights and preferences as may be determined from time to time by our Board of Directors. Our Board of Directors is empowered, without stockholder approval, to issue one or more series o</w:t>
      </w:r>
      <w:r>
        <w:rPr>
          <w:sz w:val="20"/>
          <w:szCs w:val="20"/>
        </w:rPr>
        <w:t>f preferred stock with dividend, liquidation, conversion, voting or other rights which could dilute the interest of, or impair the voting power of, our common stockholders. The issuance of a series of preferred stock could be used as a method of discouragi</w:t>
      </w:r>
      <w:r>
        <w:rPr>
          <w:sz w:val="20"/>
          <w:szCs w:val="20"/>
        </w:rPr>
        <w:t>ng, delaying or preventing a change in control. For example, it would be possible for our Board of Directors to issue preferred stock with voting or other rights or preferences that could impede the success of any attempt to effect a change in control of o</w:t>
      </w:r>
      <w:r>
        <w:rPr>
          <w:sz w:val="20"/>
          <w:szCs w:val="20"/>
        </w:rPr>
        <w:t>ur company.</w:t>
      </w:r>
    </w:p>
    <w:p w:rsidR="00000000" w:rsidRDefault="00F22B2C">
      <w:pPr>
        <w:pStyle w:val="a3"/>
        <w:spacing w:before="0" w:beforeAutospacing="0" w:after="200" w:afterAutospacing="0"/>
        <w:ind w:firstLine="547"/>
        <w:divId w:val="2106807148"/>
        <w:rPr>
          <w:sz w:val="20"/>
          <w:szCs w:val="20"/>
        </w:rPr>
      </w:pPr>
      <w:r>
        <w:rPr>
          <w:b/>
          <w:bCs/>
          <w:i/>
          <w:iCs/>
          <w:sz w:val="20"/>
          <w:szCs w:val="20"/>
        </w:rPr>
        <w:t>We do not anticipate paying cash dividends for the foreseeable future, and therefore investors should not buy our stock if they wish to receive cash dividends.</w:t>
      </w:r>
    </w:p>
    <w:p w:rsidR="00000000" w:rsidRDefault="00F22B2C">
      <w:pPr>
        <w:pStyle w:val="a3"/>
        <w:spacing w:before="0" w:beforeAutospacing="0" w:after="200" w:afterAutospacing="0"/>
        <w:ind w:firstLine="547"/>
        <w:divId w:val="2106807148"/>
        <w:rPr>
          <w:sz w:val="20"/>
          <w:szCs w:val="20"/>
        </w:rPr>
      </w:pPr>
      <w:r>
        <w:rPr>
          <w:sz w:val="20"/>
          <w:szCs w:val="20"/>
        </w:rPr>
        <w:t>We have never declared or paid any cash dividends or distributions on our common sto</w:t>
      </w:r>
      <w:r>
        <w:rPr>
          <w:sz w:val="20"/>
          <w:szCs w:val="20"/>
        </w:rPr>
        <w:t>ck. We currently intend to retain our future earnings to support operations and to finance expansion and, therefore, we do not anticipate paying any cash dividends on our common stock in the foreseeable future.</w:t>
      </w:r>
    </w:p>
    <w:p w:rsidR="00000000" w:rsidRDefault="00F22B2C">
      <w:pPr>
        <w:pStyle w:val="a3"/>
        <w:spacing w:before="0" w:beforeAutospacing="0" w:after="200" w:afterAutospacing="0"/>
        <w:ind w:firstLine="547"/>
        <w:divId w:val="2106807148"/>
        <w:rPr>
          <w:sz w:val="20"/>
          <w:szCs w:val="20"/>
        </w:rPr>
      </w:pPr>
      <w:r>
        <w:rPr>
          <w:b/>
          <w:bCs/>
          <w:i/>
          <w:iCs/>
          <w:sz w:val="20"/>
          <w:szCs w:val="20"/>
        </w:rPr>
        <w:t>Provisions in our corporate charter documents</w:t>
      </w:r>
      <w:r>
        <w:rPr>
          <w:b/>
          <w:bCs/>
          <w:i/>
          <w:iCs/>
          <w:sz w:val="20"/>
          <w:szCs w:val="20"/>
        </w:rPr>
        <w:t xml:space="preserve"> and under Delaware law may prevent or frustrate attempts by our stockholders to change our management and hinder efforts to acquire a controlling interest in us, and the market price of our common stock may be lower as a result.</w:t>
      </w:r>
    </w:p>
    <w:p w:rsidR="00000000" w:rsidRDefault="00F22B2C">
      <w:pPr>
        <w:pStyle w:val="a3"/>
        <w:spacing w:before="0" w:beforeAutospacing="0" w:after="200" w:afterAutospacing="0"/>
        <w:ind w:firstLine="547"/>
        <w:divId w:val="2106807148"/>
        <w:rPr>
          <w:sz w:val="20"/>
          <w:szCs w:val="20"/>
        </w:rPr>
      </w:pPr>
      <w:r>
        <w:rPr>
          <w:sz w:val="20"/>
          <w:szCs w:val="20"/>
        </w:rPr>
        <w:t>There are provisions in ou</w:t>
      </w:r>
      <w:r>
        <w:rPr>
          <w:sz w:val="20"/>
          <w:szCs w:val="20"/>
        </w:rPr>
        <w:t>r certificate of incorporation, as amended, and amended and restated bylaws that may make it difficult for a third party to acquire, or attempt to acquire, control of our company, even if a change in control was considered favorable by you and other stockh</w:t>
      </w:r>
      <w:r>
        <w:rPr>
          <w:sz w:val="20"/>
          <w:szCs w:val="20"/>
        </w:rPr>
        <w:t>olders. For example, our Board of Directors has the authority to issue up to 38,483,000 additional shares of preferred stock and to fix the price, rights, preferences, privileges, and restrictions of the preferred stock without any further vote or action b</w:t>
      </w:r>
      <w:r>
        <w:rPr>
          <w:sz w:val="20"/>
          <w:szCs w:val="20"/>
        </w:rPr>
        <w:t>y our stockholders. The issuance of shares of preferred stock may delay or prevent a change in control transaction. As a result, the market price of our common stock and the voting and other rights of our stockholders may be adversely affected. An issuance</w:t>
      </w:r>
      <w:r>
        <w:rPr>
          <w:sz w:val="20"/>
          <w:szCs w:val="20"/>
        </w:rPr>
        <w:t xml:space="preserve"> of shares of preferred stock may result in the loss of voting control to other stockholders.</w:t>
      </w:r>
    </w:p>
    <w:p w:rsidR="00000000" w:rsidRDefault="00F22B2C">
      <w:pPr>
        <w:pStyle w:val="a3"/>
        <w:spacing w:before="0" w:beforeAutospacing="0" w:after="200" w:afterAutospacing="0"/>
        <w:ind w:firstLine="547"/>
        <w:divId w:val="2106807148"/>
        <w:rPr>
          <w:sz w:val="20"/>
          <w:szCs w:val="20"/>
        </w:rPr>
      </w:pPr>
      <w:r>
        <w:rPr>
          <w:sz w:val="20"/>
          <w:szCs w:val="20"/>
        </w:rPr>
        <w:t>In addition, we are subject to the anti-takeover provisions of Section 203 of the Delaware General Corporation Law, which regulates corporate acquisitions by proh</w:t>
      </w:r>
      <w:r>
        <w:rPr>
          <w:sz w:val="20"/>
          <w:szCs w:val="20"/>
        </w:rPr>
        <w:t>ibiting Delaware corporations from engaging in specified business combinations with particular stockholders of those companies. These provisions could discourage potential acquisition proposals and could delay or prevent a change in control transaction. Th</w:t>
      </w:r>
      <w:r>
        <w:rPr>
          <w:sz w:val="20"/>
          <w:szCs w:val="20"/>
        </w:rPr>
        <w:t>ey could also have the effect of discouraging others from making tender offers for our common stock, including transactions that may be in your best interests. These provisions may also prevent changes in our management or limit the price that investors ar</w:t>
      </w:r>
      <w:r>
        <w:rPr>
          <w:sz w:val="20"/>
          <w:szCs w:val="20"/>
        </w:rPr>
        <w:t>e willing to pay for our stock.</w:t>
      </w:r>
    </w:p>
    <w:p w:rsidR="00000000" w:rsidRDefault="00F22B2C">
      <w:pPr>
        <w:pStyle w:val="a3"/>
        <w:spacing w:before="0" w:beforeAutospacing="0" w:after="200" w:afterAutospacing="0"/>
        <w:ind w:firstLine="547"/>
        <w:divId w:val="2106807148"/>
        <w:rPr>
          <w:sz w:val="20"/>
          <w:szCs w:val="20"/>
        </w:rPr>
      </w:pPr>
      <w:r>
        <w:rPr>
          <w:b/>
          <w:bCs/>
          <w:i/>
          <w:iCs/>
          <w:sz w:val="20"/>
          <w:szCs w:val="20"/>
        </w:rPr>
        <w:t xml:space="preserve">Our certificate of incorporation, as amended, designates the Court of Chancery of the State of Delaware as the sole and exclusive forum for certain types of actions and proceedings that may be initiated by our stockholders, </w:t>
      </w:r>
      <w:r>
        <w:rPr>
          <w:b/>
          <w:bCs/>
          <w:i/>
          <w:iCs/>
          <w:sz w:val="20"/>
          <w:szCs w:val="20"/>
        </w:rPr>
        <w:t>which could limit our stockholders’ ability to obtain a favorable judicial forum for disputes with us or our directors, officers or employees.</w:t>
      </w:r>
    </w:p>
    <w:p w:rsidR="00000000" w:rsidRDefault="00F22B2C">
      <w:pPr>
        <w:pStyle w:val="a3"/>
        <w:spacing w:before="0" w:beforeAutospacing="0" w:after="0" w:afterAutospacing="0"/>
        <w:ind w:firstLine="547"/>
        <w:divId w:val="2106807148"/>
        <w:rPr>
          <w:sz w:val="20"/>
          <w:szCs w:val="20"/>
        </w:rPr>
      </w:pPr>
      <w:r>
        <w:rPr>
          <w:sz w:val="20"/>
          <w:szCs w:val="20"/>
        </w:rPr>
        <w:t>Our certificate of incorporation, as amended, provides that, subject to limited exceptions, the Court of Chancery</w:t>
      </w:r>
      <w:r>
        <w:rPr>
          <w:sz w:val="20"/>
          <w:szCs w:val="20"/>
        </w:rPr>
        <w:t xml:space="preserve"> of the State of Delaware shall, to the fullest extent permitted by law, be the sole and exclusive forum for (1) any derivative action or proceeding brought on our behalf, (2) any action asserting a claim of breach of a fiduciary duty owed by any of our di</w:t>
      </w:r>
      <w:r>
        <w:rPr>
          <w:sz w:val="20"/>
          <w:szCs w:val="20"/>
        </w:rPr>
        <w:t>rectors, officers, employees or agents to us or our stockholders, creditors or other constituents (3) any action asserting a claim against us arising pursuant to any provision of the Delaware General Corporation Law, our certificate of incorporation, as am</w:t>
      </w:r>
      <w:r>
        <w:rPr>
          <w:sz w:val="20"/>
          <w:szCs w:val="20"/>
        </w:rPr>
        <w:t>ended, or our amended bylaws, or (4) any other action asserting a claim against us that is governed by the internal affairs doctrine. Any person or entity purchasing or otherwise acquiring any interest in shares of our capital stock shall be deemed to have</w:t>
      </w:r>
      <w:r>
        <w:rPr>
          <w:sz w:val="20"/>
          <w:szCs w:val="20"/>
        </w:rPr>
        <w:t xml:space="preserve"> notice of and to have consented to the provisions of our certificate of incorporation described above. This choice of forum provision may limit a stockholder’s ability to bring a claim in a judicial forum that it finds favorable for disputes with us or ou</w:t>
      </w:r>
      <w:r>
        <w:rPr>
          <w:sz w:val="20"/>
          <w:szCs w:val="20"/>
        </w:rPr>
        <w:t>r directors, officers, or other employees, which may discourage such lawsuits against us and our directors, officers, and employees. Further, this choice of forum provision does not preclude or contract the scope of exclusive federal or concurrent jurisdic</w:t>
      </w:r>
      <w:r>
        <w:rPr>
          <w:sz w:val="20"/>
          <w:szCs w:val="20"/>
        </w:rPr>
        <w:t>tion for any actions brought under the Securities Act or the Exchange Act. Section 27 of the Exchange Act creates exclusive federal jurisdiction over all suits brought to enforce any duty or liability created by the Exchange Act or the rules and regulation</w:t>
      </w:r>
      <w:r>
        <w:rPr>
          <w:sz w:val="20"/>
          <w:szCs w:val="20"/>
        </w:rPr>
        <w:t xml:space="preserve">s thereunder. As a result, the exclusive forum provision will not apply to suits brought to enforce any duty or liability created by the Exchange Act or any other claim for which the federal courts have exclusive jurisdiction. </w:t>
      </w:r>
    </w:p>
    <w:p w:rsidR="00000000" w:rsidRDefault="00F22B2C">
      <w:pPr>
        <w:pStyle w:val="a3"/>
        <w:spacing w:before="480" w:beforeAutospacing="0" w:after="0" w:afterAutospacing="0"/>
        <w:jc w:val="center"/>
        <w:divId w:val="1688947541"/>
        <w:rPr>
          <w:sz w:val="20"/>
          <w:szCs w:val="20"/>
        </w:rPr>
      </w:pPr>
      <w:r>
        <w:rPr>
          <w:sz w:val="20"/>
          <w:szCs w:val="20"/>
        </w:rPr>
        <w:t>82</w:t>
      </w:r>
    </w:p>
    <w:p w:rsidR="00000000" w:rsidRDefault="00F22B2C">
      <w:pPr>
        <w:pStyle w:val="a3"/>
        <w:spacing w:before="0" w:beforeAutospacing="0" w:after="600" w:afterAutospacing="0"/>
        <w:divId w:val="957644211"/>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divId w:val="1854415113"/>
        <w:rPr>
          <w:sz w:val="20"/>
          <w:szCs w:val="20"/>
        </w:rPr>
      </w:pPr>
      <w:r>
        <w:rPr>
          <w:sz w:val="20"/>
          <w:szCs w:val="20"/>
        </w:rPr>
        <w:t xml:space="preserve">In addition, Section 22 of the Securities Act creates concurrent jurisdiction for federal and state courts over all suits brought to enforce any duty or liability created by the Securities Act or the rules and regulations thereunder. As </w:t>
      </w:r>
      <w:r>
        <w:rPr>
          <w:sz w:val="20"/>
          <w:szCs w:val="20"/>
        </w:rPr>
        <w:t xml:space="preserve">a result, the exclusive forum provision will not apply to suits brought to enforce any duty or liability created by the Securities Act or any other claim for which the federal and state courts have concurrent jurisdiction. Accordingly, our exclusive forum </w:t>
      </w:r>
      <w:r>
        <w:rPr>
          <w:sz w:val="20"/>
          <w:szCs w:val="20"/>
        </w:rPr>
        <w:t>provision will not relieve us of our duties to comply with the federal securities laws and the rules and regulations thereunder, and our stockholders will not be deemed to have waived our compliance with these laws, rules and regulations.</w:t>
      </w:r>
    </w:p>
    <w:p w:rsidR="00000000" w:rsidRDefault="00F22B2C">
      <w:pPr>
        <w:pStyle w:val="a3"/>
        <w:spacing w:before="0" w:beforeAutospacing="0" w:after="200" w:afterAutospacing="0"/>
        <w:ind w:firstLine="547"/>
        <w:divId w:val="1854415113"/>
        <w:rPr>
          <w:sz w:val="20"/>
          <w:szCs w:val="20"/>
        </w:rPr>
      </w:pPr>
      <w:r>
        <w:rPr>
          <w:sz w:val="20"/>
          <w:szCs w:val="20"/>
        </w:rPr>
        <w:t>If a court were t</w:t>
      </w:r>
      <w:r>
        <w:rPr>
          <w:sz w:val="20"/>
          <w:szCs w:val="20"/>
        </w:rPr>
        <w:t>o find these provisions of our certificate of incorporation, as amended inapplicable to, or unenforceable in respect of, one or more of the specified types of actions or proceedings, we may incur additional costs associated with resolving such matters in o</w:t>
      </w:r>
      <w:r>
        <w:rPr>
          <w:sz w:val="20"/>
          <w:szCs w:val="20"/>
        </w:rPr>
        <w:t>ther jurisdictions, which could adversely affect our business, results of operations and financial condition. Even if we are successful in defending against these claims, litigation could result in substantial costs and be a distraction to management and o</w:t>
      </w:r>
      <w:r>
        <w:rPr>
          <w:sz w:val="20"/>
          <w:szCs w:val="20"/>
        </w:rPr>
        <w:t>ther employees.</w:t>
      </w:r>
    </w:p>
    <w:p w:rsidR="00000000" w:rsidRDefault="00F22B2C">
      <w:pPr>
        <w:pStyle w:val="a3"/>
        <w:spacing w:before="0" w:beforeAutospacing="0" w:after="200" w:afterAutospacing="0"/>
        <w:ind w:firstLine="547"/>
        <w:divId w:val="1854415113"/>
        <w:rPr>
          <w:sz w:val="20"/>
          <w:szCs w:val="20"/>
        </w:rPr>
      </w:pPr>
      <w:r>
        <w:rPr>
          <w:b/>
          <w:bCs/>
          <w:i/>
          <w:iCs/>
          <w:sz w:val="20"/>
          <w:szCs w:val="20"/>
        </w:rPr>
        <w:t xml:space="preserve">Provisions in our amended and restated bylaws could limit our stockholders’ </w:t>
      </w:r>
      <w:r>
        <w:rPr>
          <w:b/>
          <w:bCs/>
          <w:i/>
          <w:iCs/>
          <w:sz w:val="20"/>
          <w:szCs w:val="20"/>
        </w:rPr>
        <w:t>ability to obtain a favorable judicial forum for disputes with us or our directors, officers or employees.</w:t>
      </w:r>
    </w:p>
    <w:p w:rsidR="00000000" w:rsidRDefault="00F22B2C">
      <w:pPr>
        <w:pStyle w:val="a3"/>
        <w:spacing w:before="0" w:beforeAutospacing="0" w:after="200" w:afterAutospacing="0"/>
        <w:ind w:firstLine="547"/>
        <w:divId w:val="1854415113"/>
        <w:rPr>
          <w:sz w:val="20"/>
          <w:szCs w:val="20"/>
        </w:rPr>
      </w:pPr>
      <w:r>
        <w:rPr>
          <w:sz w:val="20"/>
          <w:szCs w:val="20"/>
        </w:rPr>
        <w:t>Our amended and restated bylaws provide that, unless we consent in writing to the selection of an alternative forum, the federal district courts of t</w:t>
      </w:r>
      <w:r>
        <w:rPr>
          <w:sz w:val="20"/>
          <w:szCs w:val="20"/>
        </w:rPr>
        <w:t>he U.S. shall be the exclusive forum for the resolution of any complaint asserting a cause of action under the Securities Act. This provision limits the ability of our shareholders to bring claims under the Securities Act in any court other than the U.S. f</w:t>
      </w:r>
      <w:r>
        <w:rPr>
          <w:sz w:val="20"/>
          <w:szCs w:val="20"/>
        </w:rPr>
        <w:t>ederal courts, which ultimately may disadvantage our shareholders or be cost prohibitive. Notwithstanding the foregoing, there is uncertainty as to whether a court (other than state courts in the State of Delaware, which have recently upheld the validity o</w:t>
      </w:r>
      <w:r>
        <w:rPr>
          <w:sz w:val="20"/>
          <w:szCs w:val="20"/>
        </w:rPr>
        <w:t>f such a provision) would enforce such a provision and whether investors can waive compliance with the federal securities laws and the rules and regulations thereunder. Furthermore, the exclusive forum provision only applies to claims brought under the Sec</w:t>
      </w:r>
      <w:r>
        <w:rPr>
          <w:sz w:val="20"/>
          <w:szCs w:val="20"/>
        </w:rPr>
        <w:t>urities Act, and does not apply to actions arising under the Exchange Act, which is already subject to federal courts as the exclusive forum.</w:t>
      </w:r>
    </w:p>
    <w:p w:rsidR="00000000" w:rsidRDefault="00F22B2C">
      <w:pPr>
        <w:pStyle w:val="a3"/>
        <w:spacing w:before="0" w:beforeAutospacing="0" w:after="200" w:afterAutospacing="0"/>
        <w:ind w:firstLine="547"/>
        <w:divId w:val="1854415113"/>
        <w:rPr>
          <w:sz w:val="20"/>
          <w:szCs w:val="20"/>
        </w:rPr>
      </w:pPr>
      <w:r>
        <w:rPr>
          <w:sz w:val="20"/>
          <w:szCs w:val="20"/>
        </w:rPr>
        <w:t>If a court were to find these provisions of our amended and restated bylaws inapplicable to, or unenforceable in r</w:t>
      </w:r>
      <w:r>
        <w:rPr>
          <w:sz w:val="20"/>
          <w:szCs w:val="20"/>
        </w:rPr>
        <w:t xml:space="preserve">espect of, one or more of the specified types of actions or proceedings, we may incur additional costs associated with resolving such matters in other jurisdictions, which could adversely affect our business, results of operations and financial condition. </w:t>
      </w:r>
      <w:r>
        <w:rPr>
          <w:sz w:val="20"/>
          <w:szCs w:val="20"/>
        </w:rPr>
        <w:t>Even if we are successful in defending against these claims, litigation could result in substantial costs and be a distraction to management and other employees.</w:t>
      </w:r>
    </w:p>
    <w:p w:rsidR="00000000" w:rsidRDefault="00F22B2C">
      <w:pPr>
        <w:pStyle w:val="a3"/>
        <w:spacing w:before="0" w:beforeAutospacing="0" w:after="0" w:afterAutospacing="0"/>
        <w:ind w:firstLine="360"/>
        <w:divId w:val="1854415113"/>
        <w:rPr>
          <w:sz w:val="20"/>
          <w:szCs w:val="20"/>
        </w:rPr>
      </w:pPr>
      <w:r>
        <w:rPr>
          <w:sz w:val="20"/>
          <w:szCs w:val="20"/>
        </w:rPr>
        <w:t>​</w:t>
      </w:r>
    </w:p>
    <w:p w:rsidR="00000000" w:rsidRDefault="00F22B2C">
      <w:pPr>
        <w:pStyle w:val="a3"/>
        <w:spacing w:before="0" w:beforeAutospacing="0" w:after="240" w:afterAutospacing="0"/>
        <w:divId w:val="1854415113"/>
        <w:rPr>
          <w:sz w:val="20"/>
          <w:szCs w:val="20"/>
        </w:rPr>
      </w:pPr>
      <w:r>
        <w:rPr>
          <w:b/>
          <w:bCs/>
          <w:sz w:val="20"/>
          <w:szCs w:val="20"/>
        </w:rPr>
        <w:t>Item 1B.        Unresolved Staff Comments</w:t>
      </w:r>
    </w:p>
    <w:p w:rsidR="00000000" w:rsidRDefault="00F22B2C">
      <w:pPr>
        <w:pStyle w:val="a3"/>
        <w:spacing w:before="0" w:beforeAutospacing="0" w:after="0" w:afterAutospacing="0"/>
        <w:ind w:firstLine="547"/>
        <w:divId w:val="1854415113"/>
        <w:rPr>
          <w:sz w:val="20"/>
          <w:szCs w:val="20"/>
        </w:rPr>
      </w:pPr>
      <w:r>
        <w:rPr>
          <w:sz w:val="20"/>
          <w:szCs w:val="20"/>
        </w:rPr>
        <w:t>None.</w:t>
      </w:r>
    </w:p>
    <w:p w:rsidR="00000000" w:rsidRDefault="00F22B2C">
      <w:pPr>
        <w:pStyle w:val="a3"/>
        <w:spacing w:before="0" w:beforeAutospacing="0" w:after="0" w:afterAutospacing="0"/>
        <w:ind w:firstLine="360"/>
        <w:divId w:val="1854415113"/>
        <w:rPr>
          <w:sz w:val="20"/>
          <w:szCs w:val="20"/>
        </w:rPr>
      </w:pPr>
      <w:r>
        <w:rPr>
          <w:sz w:val="20"/>
          <w:szCs w:val="20"/>
        </w:rPr>
        <w:t>​</w:t>
      </w:r>
    </w:p>
    <w:p w:rsidR="00000000" w:rsidRDefault="00F22B2C">
      <w:pPr>
        <w:pStyle w:val="a3"/>
        <w:spacing w:before="0" w:beforeAutospacing="0" w:after="240" w:afterAutospacing="0"/>
        <w:divId w:val="1854415113"/>
        <w:rPr>
          <w:sz w:val="20"/>
          <w:szCs w:val="20"/>
        </w:rPr>
      </w:pPr>
      <w:r>
        <w:rPr>
          <w:b/>
          <w:bCs/>
          <w:sz w:val="20"/>
          <w:szCs w:val="20"/>
        </w:rPr>
        <w:t>Item 2.          Properties</w:t>
      </w:r>
    </w:p>
    <w:p w:rsidR="00000000" w:rsidRDefault="00F22B2C">
      <w:pPr>
        <w:pStyle w:val="a3"/>
        <w:spacing w:before="0" w:beforeAutospacing="0" w:after="240" w:afterAutospacing="0"/>
        <w:divId w:val="1854415113"/>
        <w:rPr>
          <w:sz w:val="20"/>
          <w:szCs w:val="20"/>
        </w:rPr>
      </w:pPr>
      <w:r>
        <w:rPr>
          <w:i/>
          <w:iCs/>
          <w:sz w:val="20"/>
          <w:szCs w:val="20"/>
        </w:rPr>
        <w:t>San Carlos New</w:t>
      </w:r>
      <w:r>
        <w:rPr>
          <w:i/>
          <w:iCs/>
          <w:sz w:val="20"/>
          <w:szCs w:val="20"/>
        </w:rPr>
        <w:t xml:space="preserve"> Headquarters Lease</w:t>
      </w:r>
    </w:p>
    <w:p w:rsidR="00000000" w:rsidRDefault="00F22B2C">
      <w:pPr>
        <w:pStyle w:val="a3"/>
        <w:spacing w:before="0" w:beforeAutospacing="0" w:after="240" w:afterAutospacing="0"/>
        <w:ind w:firstLine="547"/>
        <w:divId w:val="1854415113"/>
        <w:rPr>
          <w:sz w:val="20"/>
          <w:szCs w:val="20"/>
        </w:rPr>
      </w:pPr>
      <w:r>
        <w:rPr>
          <w:sz w:val="20"/>
          <w:szCs w:val="20"/>
        </w:rPr>
        <w:t>On February 8, 2021, we entered into a lease agreement with ARE-San Francisco No. 63, LLC, or the New Headquarters Lease, for laboratories and offices to be constructed in Suite 400 of an existing building located at 825 Industrial Road</w:t>
      </w:r>
      <w:r>
        <w:rPr>
          <w:sz w:val="20"/>
          <w:szCs w:val="20"/>
        </w:rPr>
        <w:t>, San Carlos, California, or the Building, commonly known as The District. Under the New Headquarters Lease, we will lease approximately 49,918 rentable square feet of space in the Building, or the Headquarters Premises. The New Headquarters Lease is for a</w:t>
      </w:r>
      <w:r>
        <w:rPr>
          <w:sz w:val="20"/>
          <w:szCs w:val="20"/>
        </w:rPr>
        <w:t xml:space="preserve"> term of 120 months, commencing upon the first day of the first full month, or the Rent Commencement Date after the earlier to occur of (i) the date that is 12 months and one day after the execution date of the New Headquarters Lease, or the Commencement D</w:t>
      </w:r>
      <w:r>
        <w:rPr>
          <w:sz w:val="20"/>
          <w:szCs w:val="20"/>
        </w:rPr>
        <w:t xml:space="preserve">ate, which is February 9, 2022, or (ii) the date that the Tenant Improvements are substantially completed, which was completed in January 2022; provided, however, that the Rent Commencement Date shall be delayed one day for each day after the Commencement </w:t>
      </w:r>
      <w:r>
        <w:rPr>
          <w:sz w:val="20"/>
          <w:szCs w:val="20"/>
        </w:rPr>
        <w:t xml:space="preserve">Date that (a) to the extent that, after the Commencement Date, any governmental authority having jurisdiction, as a result of the COVID-19 outbreak in the United States, declares or implements any order or mandate that restricts construction activities in </w:t>
      </w:r>
      <w:r>
        <w:rPr>
          <w:sz w:val="20"/>
          <w:szCs w:val="20"/>
        </w:rPr>
        <w:t>San Mateo County, California (any such order or mandate, a Government Mandate), to the extent that such Government Mandate precludes the construction of tenant improvements, or (b) a landlord delay occurs. The New Headquarters Lease includes an option to e</w:t>
      </w:r>
      <w:r>
        <w:rPr>
          <w:sz w:val="20"/>
          <w:szCs w:val="20"/>
        </w:rPr>
        <w:t>xtend the term of the lease for 60 months, exercisable under certain conditions and at a market rate as described in the New Headquarters Lease.</w:t>
      </w:r>
    </w:p>
    <w:p w:rsidR="00000000" w:rsidRDefault="00F22B2C">
      <w:pPr>
        <w:pStyle w:val="a3"/>
        <w:spacing w:before="0" w:beforeAutospacing="0" w:after="240" w:afterAutospacing="0"/>
        <w:ind w:firstLine="547"/>
        <w:divId w:val="1854415113"/>
        <w:rPr>
          <w:sz w:val="20"/>
          <w:szCs w:val="20"/>
        </w:rPr>
      </w:pPr>
      <w:r>
        <w:rPr>
          <w:sz w:val="20"/>
          <w:szCs w:val="20"/>
        </w:rPr>
        <w:t>Commencing 210 days after the Rent Commencement Date as the result of a rent abatement, our monthly base rent u</w:t>
      </w:r>
      <w:r>
        <w:rPr>
          <w:sz w:val="20"/>
          <w:szCs w:val="20"/>
        </w:rPr>
        <w:t>nder the New Headquarters Lease will be approximately $0.3 million, subject to an annual increase of 3%. Beginning in 2022, we will also be responsible for paying operating expenses.</w:t>
      </w:r>
    </w:p>
    <w:p w:rsidR="00000000" w:rsidRDefault="00F22B2C">
      <w:pPr>
        <w:pStyle w:val="a3"/>
        <w:spacing w:before="480" w:beforeAutospacing="0" w:after="0" w:afterAutospacing="0"/>
        <w:jc w:val="center"/>
        <w:divId w:val="1831411022"/>
        <w:rPr>
          <w:sz w:val="20"/>
          <w:szCs w:val="20"/>
        </w:rPr>
      </w:pPr>
      <w:r>
        <w:rPr>
          <w:sz w:val="20"/>
          <w:szCs w:val="20"/>
        </w:rPr>
        <w:t>83</w:t>
      </w:r>
    </w:p>
    <w:p w:rsidR="00000000" w:rsidRDefault="00F22B2C">
      <w:pPr>
        <w:pStyle w:val="a3"/>
        <w:spacing w:before="0" w:beforeAutospacing="0" w:after="600" w:afterAutospacing="0"/>
        <w:divId w:val="1911228298"/>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ind w:firstLine="547"/>
        <w:divId w:val="1387101048"/>
        <w:rPr>
          <w:sz w:val="20"/>
          <w:szCs w:val="20"/>
        </w:rPr>
      </w:pPr>
      <w:r>
        <w:rPr>
          <w:sz w:val="20"/>
          <w:szCs w:val="20"/>
        </w:rPr>
        <w:t xml:space="preserve">The 120-month term of the </w:t>
      </w:r>
      <w:r>
        <w:rPr>
          <w:sz w:val="20"/>
          <w:szCs w:val="20"/>
        </w:rPr>
        <w:t>New Headquarters Lease commenced in January 2022. Minimum rental payments under the New Headquarters Lease total $36.5 million for the entire term of the lease, which does not include rental payments related to our one-time option to extend for an addition</w:t>
      </w:r>
      <w:r>
        <w:rPr>
          <w:sz w:val="20"/>
          <w:szCs w:val="20"/>
        </w:rPr>
        <w:t>al five years. In addition, the lessor has provided for a tenant improvement allowance of up to $8.2 million, which is expected to be fully utilized</w:t>
      </w:r>
      <w:r>
        <w:rPr>
          <w:sz w:val="20"/>
          <w:szCs w:val="20"/>
        </w:rPr>
        <w:t>.</w:t>
      </w:r>
    </w:p>
    <w:p w:rsidR="00000000" w:rsidRDefault="00F22B2C">
      <w:pPr>
        <w:pStyle w:val="a3"/>
        <w:spacing w:before="0" w:beforeAutospacing="0" w:after="240" w:afterAutospacing="0"/>
        <w:divId w:val="1387101048"/>
        <w:rPr>
          <w:sz w:val="20"/>
          <w:szCs w:val="20"/>
        </w:rPr>
      </w:pPr>
      <w:r>
        <w:rPr>
          <w:i/>
          <w:iCs/>
          <w:sz w:val="20"/>
          <w:szCs w:val="20"/>
        </w:rPr>
        <w:t>San Carlos Former Headquarters Lease</w:t>
      </w:r>
    </w:p>
    <w:p w:rsidR="00000000" w:rsidRDefault="00F22B2C">
      <w:pPr>
        <w:pStyle w:val="a3"/>
        <w:spacing w:before="0" w:beforeAutospacing="0" w:after="240" w:afterAutospacing="0"/>
        <w:ind w:firstLine="547"/>
        <w:divId w:val="1387101048"/>
        <w:rPr>
          <w:sz w:val="20"/>
          <w:szCs w:val="20"/>
        </w:rPr>
      </w:pPr>
      <w:r>
        <w:rPr>
          <w:sz w:val="20"/>
          <w:szCs w:val="20"/>
        </w:rPr>
        <w:t xml:space="preserve">Since August 2016, we have leased 8,733 square feet of space for its </w:t>
      </w:r>
      <w:r>
        <w:rPr>
          <w:sz w:val="20"/>
          <w:szCs w:val="20"/>
        </w:rPr>
        <w:t>corporate headquarters, or the Suite 150 Lease, in San Carlos, California. The term of the Suite 150 Lease was 54 months beginning on the commencement date. Monthly lease payments were approximately $38,000.</w:t>
      </w:r>
    </w:p>
    <w:p w:rsidR="00000000" w:rsidRDefault="00F22B2C">
      <w:pPr>
        <w:pStyle w:val="a3"/>
        <w:spacing w:before="0" w:beforeAutospacing="0" w:after="240" w:afterAutospacing="0"/>
        <w:ind w:firstLine="547"/>
        <w:divId w:val="1387101048"/>
        <w:rPr>
          <w:sz w:val="20"/>
          <w:szCs w:val="20"/>
        </w:rPr>
      </w:pPr>
      <w:r>
        <w:rPr>
          <w:sz w:val="20"/>
          <w:szCs w:val="20"/>
        </w:rPr>
        <w:t>On October 19, 2018, we entered into an agreemen</w:t>
      </w:r>
      <w:r>
        <w:rPr>
          <w:sz w:val="20"/>
          <w:szCs w:val="20"/>
        </w:rPr>
        <w:t>t, or the Lease, to lease 12,322 square feet of office space located adjacent to our corporate headquarters in San Carlos, California. Monthly lease payments were approximately $59,000, subject to an annual increase of 3%.</w:t>
      </w:r>
    </w:p>
    <w:p w:rsidR="00000000" w:rsidRDefault="00F22B2C">
      <w:pPr>
        <w:pStyle w:val="a3"/>
        <w:spacing w:before="0" w:beforeAutospacing="0" w:after="240" w:afterAutospacing="0"/>
        <w:ind w:firstLine="547"/>
        <w:divId w:val="1387101048"/>
        <w:rPr>
          <w:sz w:val="20"/>
          <w:szCs w:val="20"/>
        </w:rPr>
      </w:pPr>
      <w:r>
        <w:rPr>
          <w:sz w:val="20"/>
          <w:szCs w:val="20"/>
        </w:rPr>
        <w:t>On June 19, 2019, we entered into</w:t>
      </w:r>
      <w:r>
        <w:rPr>
          <w:sz w:val="20"/>
          <w:szCs w:val="20"/>
        </w:rPr>
        <w:t xml:space="preserve"> a first amendment, or the Amended Lease, to the Lease, for additional space at our corporate headquarters in San Carlos, California. Under the Amended Lease, we leased an additional 8,110 square feet, or the Expansion Space, for a total of approximately 2</w:t>
      </w:r>
      <w:r>
        <w:rPr>
          <w:sz w:val="20"/>
          <w:szCs w:val="20"/>
        </w:rPr>
        <w:t>0,432 square feet of space. Monthly lease payments were approximately $39,000 for the first year, and $40,000 for the second year.</w:t>
      </w:r>
    </w:p>
    <w:p w:rsidR="00000000" w:rsidRDefault="00F22B2C">
      <w:pPr>
        <w:pStyle w:val="a3"/>
        <w:spacing w:before="0" w:beforeAutospacing="0" w:after="240" w:afterAutospacing="0"/>
        <w:ind w:firstLine="547"/>
        <w:divId w:val="1387101048"/>
        <w:rPr>
          <w:sz w:val="20"/>
          <w:szCs w:val="20"/>
        </w:rPr>
      </w:pPr>
      <w:r>
        <w:rPr>
          <w:sz w:val="20"/>
          <w:szCs w:val="20"/>
        </w:rPr>
        <w:t>On February 8, 2021, we entered into two amendments, the Suite 100 and 125 Second Amendment and the Suite 150 First Amendment</w:t>
      </w:r>
      <w:r>
        <w:rPr>
          <w:sz w:val="20"/>
          <w:szCs w:val="20"/>
        </w:rPr>
        <w:t>, to the Amended Lease and the Suite 150 Lease, respectively. Under the Suite 100 and Suite 125 Second Amendment, we extended the Amended Lease to December 31, 2021. Our monthly base rent under the Suite 100 and Suite 125 Second Amendment will be approxima</w:t>
      </w:r>
      <w:r>
        <w:rPr>
          <w:sz w:val="20"/>
          <w:szCs w:val="20"/>
        </w:rPr>
        <w:t>tely $103,000. We are also responsible for paying its portion of operating expenses and real estate taxes. We have an option to extend the expiration of the Suite 100 and Suite 125 Second Amendment for one month or nine months, at its discretion, by provid</w:t>
      </w:r>
      <w:r>
        <w:rPr>
          <w:sz w:val="20"/>
          <w:szCs w:val="20"/>
        </w:rPr>
        <w:t>ing notice as specified in the Suite 100 and Suite 125 Second Amendment. On September 1, 2021, we entered into an agreement to extend the lease term to January 31, 2022 for approximately $0.1 million a month.</w:t>
      </w:r>
    </w:p>
    <w:p w:rsidR="00000000" w:rsidRDefault="00F22B2C">
      <w:pPr>
        <w:pStyle w:val="a3"/>
        <w:spacing w:before="0" w:beforeAutospacing="0" w:after="240" w:afterAutospacing="0"/>
        <w:ind w:firstLine="547"/>
        <w:divId w:val="1387101048"/>
        <w:rPr>
          <w:sz w:val="20"/>
          <w:szCs w:val="20"/>
        </w:rPr>
      </w:pPr>
      <w:r>
        <w:rPr>
          <w:sz w:val="20"/>
          <w:szCs w:val="20"/>
        </w:rPr>
        <w:t>Under the Suite 150 First Amendment, we extende</w:t>
      </w:r>
      <w:r>
        <w:rPr>
          <w:sz w:val="20"/>
          <w:szCs w:val="20"/>
        </w:rPr>
        <w:t>d the Suite 150 Lease, which also expired on April 30, 2021, to December 31, 2021. Our monthly base rent under the Suite 150 First Amendment is approximately $44,000. We are also responsible for paying our portion of operating expenses and real estate taxe</w:t>
      </w:r>
      <w:r>
        <w:rPr>
          <w:sz w:val="20"/>
          <w:szCs w:val="20"/>
        </w:rPr>
        <w:t xml:space="preserve">s. We have an option to extend the expiration of the Suite 150 First Amendment for one month or nine months, at our discretion, by providing notice as specified in the Suite 150 First Amendment. On September 1, 2021, we entered into an agreement to extend </w:t>
      </w:r>
      <w:r>
        <w:rPr>
          <w:sz w:val="20"/>
          <w:szCs w:val="20"/>
        </w:rPr>
        <w:t>the lease term to January 31, 2022 for approximately $46,000 a month. As of January 31, 2022, these leases had expired and we had taken possession of Headquarters Premises under the New Headquarters Lease referred to above.</w:t>
      </w:r>
    </w:p>
    <w:p w:rsidR="00000000" w:rsidRDefault="00F22B2C">
      <w:pPr>
        <w:pStyle w:val="a3"/>
        <w:spacing w:before="0" w:beforeAutospacing="0" w:after="240" w:afterAutospacing="0"/>
        <w:divId w:val="1387101048"/>
        <w:rPr>
          <w:sz w:val="20"/>
          <w:szCs w:val="20"/>
        </w:rPr>
      </w:pPr>
      <w:r>
        <w:rPr>
          <w:i/>
          <w:iCs/>
          <w:sz w:val="20"/>
          <w:szCs w:val="20"/>
        </w:rPr>
        <w:t>Commercial Manufacturing Facility Agreement</w:t>
      </w:r>
    </w:p>
    <w:p w:rsidR="00000000" w:rsidRDefault="00F22B2C">
      <w:pPr>
        <w:pStyle w:val="a3"/>
        <w:spacing w:before="0" w:beforeAutospacing="0" w:after="240" w:afterAutospacing="0"/>
        <w:ind w:firstLine="547"/>
        <w:divId w:val="1387101048"/>
        <w:rPr>
          <w:sz w:val="20"/>
          <w:szCs w:val="20"/>
        </w:rPr>
      </w:pPr>
      <w:r>
        <w:rPr>
          <w:sz w:val="20"/>
          <w:szCs w:val="20"/>
        </w:rPr>
        <w:t>On May 28, 2019, we entered into a lease agreement with 300 Rouse Boulevard, LLC, or the Commercial Manufacturing Facility Lease, for a build-to-suit commercial manufacturing facility, laboratories, and offices l</w:t>
      </w:r>
      <w:r>
        <w:rPr>
          <w:sz w:val="20"/>
          <w:szCs w:val="20"/>
        </w:rPr>
        <w:t>ocated in Philadelphia, Pennsylvania. Under the Commercial Manufacturing Facility Lease, we lease approximately 136,000 rentable square feet of space in a building located at 300 Rouse Boulevard, Philadelphia, Pennsylvania known as the Iovance Cell Therapy</w:t>
      </w:r>
      <w:r>
        <w:rPr>
          <w:sz w:val="20"/>
          <w:szCs w:val="20"/>
        </w:rPr>
        <w:t xml:space="preserve"> Center, or </w:t>
      </w:r>
      <w:r>
        <w:rPr>
          <w:i/>
          <w:iCs/>
          <w:sz w:val="20"/>
          <w:szCs w:val="20"/>
        </w:rPr>
        <w:t>i</w:t>
      </w:r>
      <w:r>
        <w:rPr>
          <w:sz w:val="20"/>
          <w:szCs w:val="20"/>
        </w:rPr>
        <w:t xml:space="preserve">CTC. The construction of the </w:t>
      </w:r>
      <w:r>
        <w:rPr>
          <w:i/>
          <w:iCs/>
          <w:sz w:val="20"/>
          <w:szCs w:val="20"/>
        </w:rPr>
        <w:t>i</w:t>
      </w:r>
      <w:r>
        <w:rPr>
          <w:sz w:val="20"/>
          <w:szCs w:val="20"/>
        </w:rPr>
        <w:t>CTC began in July 2019 and in the third quarter of 2021 we completed the commissioning activities as well as certain tenant improvements, therefore approximately $62.4 million of assets were placed in service. The Commercial Manufacturing Facility Lease in</w:t>
      </w:r>
      <w:r>
        <w:rPr>
          <w:sz w:val="20"/>
          <w:szCs w:val="20"/>
        </w:rPr>
        <w:t>cludes an option to extend the term of the lease by giving the landlord prior written notice thereof at least 18 months in advance of expiration date, exercisable under certain conditions as described in the Commercial Manufacturing Facility Lease, such th</w:t>
      </w:r>
      <w:r>
        <w:rPr>
          <w:sz w:val="20"/>
          <w:szCs w:val="20"/>
        </w:rPr>
        <w:t>at the overall term, when added to the initial term, shall be 359 months.</w:t>
      </w:r>
    </w:p>
    <w:p w:rsidR="00000000" w:rsidRDefault="00F22B2C">
      <w:pPr>
        <w:pStyle w:val="a3"/>
        <w:spacing w:before="0" w:beforeAutospacing="0" w:after="200" w:afterAutospacing="0"/>
        <w:ind w:firstLine="547"/>
        <w:divId w:val="1387101048"/>
        <w:rPr>
          <w:sz w:val="20"/>
          <w:szCs w:val="20"/>
        </w:rPr>
      </w:pPr>
      <w:r>
        <w:rPr>
          <w:sz w:val="20"/>
          <w:szCs w:val="20"/>
        </w:rPr>
        <w:t>Our monthly base rent under the Commercial Manufacturing Facility Lease is approximately $0.3 million, subject to an annual increase of 2% for the first ten years, and an annual incr</w:t>
      </w:r>
      <w:r>
        <w:rPr>
          <w:sz w:val="20"/>
          <w:szCs w:val="20"/>
        </w:rPr>
        <w:t>ease of the greater of 2% or 75% of the average ten-year consumer price index. We will also be responsible for paying operating expenses.</w:t>
      </w:r>
    </w:p>
    <w:p w:rsidR="00000000" w:rsidRDefault="00F22B2C">
      <w:pPr>
        <w:pStyle w:val="a3"/>
        <w:spacing w:before="480" w:beforeAutospacing="0" w:after="0" w:afterAutospacing="0"/>
        <w:jc w:val="center"/>
        <w:divId w:val="1475215872"/>
        <w:rPr>
          <w:sz w:val="20"/>
          <w:szCs w:val="20"/>
        </w:rPr>
      </w:pPr>
      <w:r>
        <w:rPr>
          <w:sz w:val="20"/>
          <w:szCs w:val="20"/>
        </w:rPr>
        <w:t>84</w:t>
      </w:r>
    </w:p>
    <w:p w:rsidR="00000000" w:rsidRDefault="00F22B2C">
      <w:pPr>
        <w:pStyle w:val="a3"/>
        <w:spacing w:before="0" w:beforeAutospacing="0" w:after="600" w:afterAutospacing="0"/>
        <w:divId w:val="1881087945"/>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617445126"/>
        <w:rPr>
          <w:sz w:val="20"/>
          <w:szCs w:val="20"/>
        </w:rPr>
      </w:pPr>
      <w:r>
        <w:rPr>
          <w:i/>
          <w:iCs/>
          <w:sz w:val="20"/>
          <w:szCs w:val="20"/>
        </w:rPr>
        <w:t>Tampa Lease</w:t>
      </w:r>
    </w:p>
    <w:p w:rsidR="00000000" w:rsidRDefault="00F22B2C">
      <w:pPr>
        <w:pStyle w:val="a3"/>
        <w:spacing w:before="0" w:beforeAutospacing="0" w:after="200" w:afterAutospacing="0"/>
        <w:ind w:firstLine="547"/>
        <w:divId w:val="1617445126"/>
        <w:rPr>
          <w:sz w:val="20"/>
          <w:szCs w:val="20"/>
        </w:rPr>
      </w:pPr>
      <w:r>
        <w:rPr>
          <w:sz w:val="20"/>
          <w:szCs w:val="20"/>
        </w:rPr>
        <w:t>Our research and development facilities consist of 8,673 sq</w:t>
      </w:r>
      <w:r>
        <w:rPr>
          <w:sz w:val="20"/>
          <w:szCs w:val="20"/>
        </w:rPr>
        <w:t>uare feet in a facility located at the University of South Florida Research Park in Tampa, Florida. These facilities are leased under an agreement with a lease term through December 2024 for approximately $20,500 a month. In June 2020, we amended the lease</w:t>
      </w:r>
      <w:r>
        <w:rPr>
          <w:sz w:val="20"/>
          <w:szCs w:val="20"/>
        </w:rPr>
        <w:t xml:space="preserve"> agreement to further increase the rentable space to 13,139 square feet and extend the lease term to June 5, 2025 for approximately $34,500 a month. On December 22, 2021, we entered into a second amendment to lease an additional 2,731 square feet of space </w:t>
      </w:r>
      <w:r>
        <w:rPr>
          <w:sz w:val="20"/>
          <w:szCs w:val="20"/>
        </w:rPr>
        <w:t xml:space="preserve">through June 5, 2025, co-terminus with the existing leased space. Monthly lease payments will be approximately $42,500 per month. </w:t>
      </w:r>
    </w:p>
    <w:p w:rsidR="00000000" w:rsidRDefault="00F22B2C">
      <w:pPr>
        <w:pStyle w:val="a3"/>
        <w:spacing w:before="0" w:beforeAutospacing="0" w:after="240" w:afterAutospacing="0"/>
        <w:divId w:val="1617445126"/>
        <w:rPr>
          <w:sz w:val="20"/>
          <w:szCs w:val="20"/>
        </w:rPr>
      </w:pPr>
      <w:r>
        <w:rPr>
          <w:i/>
          <w:iCs/>
          <w:sz w:val="20"/>
          <w:szCs w:val="20"/>
        </w:rPr>
        <w:t>Philadelphia Office Lease</w:t>
      </w:r>
    </w:p>
    <w:p w:rsidR="00000000" w:rsidRDefault="00F22B2C">
      <w:pPr>
        <w:pStyle w:val="a3"/>
        <w:spacing w:before="0" w:beforeAutospacing="0" w:after="200" w:afterAutospacing="0"/>
        <w:ind w:firstLine="547"/>
        <w:divId w:val="1617445126"/>
        <w:rPr>
          <w:sz w:val="20"/>
          <w:szCs w:val="20"/>
        </w:rPr>
      </w:pPr>
      <w:r>
        <w:rPr>
          <w:sz w:val="20"/>
          <w:szCs w:val="20"/>
        </w:rPr>
        <w:t>On May 2, 2019, we entered into an agreement to lease approximately 1,500 square feet of office spa</w:t>
      </w:r>
      <w:r>
        <w:rPr>
          <w:sz w:val="20"/>
          <w:szCs w:val="20"/>
        </w:rPr>
        <w:t xml:space="preserve">ce in Philadelphia, Pennsylvania until July 1, 2019 for a rate of $2,000 a month, and then approximately 4,500 square feet of office space for the remainder of a three-year term at an initial rate of $11,063 per month, subject to annual increases of 2.5%. </w:t>
      </w:r>
      <w:r>
        <w:rPr>
          <w:sz w:val="20"/>
          <w:szCs w:val="20"/>
        </w:rPr>
        <w:t>On September 1, 2021, we entered into an agreement to extend the lease term for an additional three years to July 31, 2025 for approximately $11,900 a month, effective as of June 1, 2022, subject to annual increases of 2.5%.</w:t>
      </w:r>
    </w:p>
    <w:p w:rsidR="00000000" w:rsidRDefault="00F22B2C">
      <w:pPr>
        <w:pStyle w:val="a3"/>
        <w:spacing w:before="0" w:beforeAutospacing="0" w:after="200" w:afterAutospacing="0"/>
        <w:ind w:firstLine="547"/>
        <w:divId w:val="1617445126"/>
        <w:rPr>
          <w:sz w:val="20"/>
          <w:szCs w:val="20"/>
        </w:rPr>
      </w:pPr>
      <w:r>
        <w:rPr>
          <w:sz w:val="20"/>
          <w:szCs w:val="20"/>
        </w:rPr>
        <w:t>On August 1, 2020, we entered i</w:t>
      </w:r>
      <w:r>
        <w:rPr>
          <w:sz w:val="20"/>
          <w:szCs w:val="20"/>
        </w:rPr>
        <w:t>nto an agreement to lease approximately 2,965 square feet of a training facility space in Plymouth Meeting, Pennsylvania for a twelve-month term at a rate of approximately $6,500 per month. This lease was terminated in August 2021, which did not have an ef</w:t>
      </w:r>
      <w:r>
        <w:rPr>
          <w:sz w:val="20"/>
          <w:szCs w:val="20"/>
        </w:rPr>
        <w:t>fect on any of our employees, who continue to be employed by us.</w:t>
      </w:r>
    </w:p>
    <w:p w:rsidR="00000000" w:rsidRDefault="00F22B2C">
      <w:pPr>
        <w:pStyle w:val="a3"/>
        <w:spacing w:before="0" w:beforeAutospacing="0" w:after="240" w:afterAutospacing="0"/>
        <w:divId w:val="1617445126"/>
        <w:rPr>
          <w:sz w:val="20"/>
          <w:szCs w:val="20"/>
        </w:rPr>
      </w:pPr>
      <w:r>
        <w:rPr>
          <w:i/>
          <w:iCs/>
          <w:sz w:val="20"/>
          <w:szCs w:val="20"/>
        </w:rPr>
        <w:t>New York Lease</w:t>
      </w:r>
    </w:p>
    <w:p w:rsidR="00000000" w:rsidRDefault="00F22B2C">
      <w:pPr>
        <w:pStyle w:val="a3"/>
        <w:spacing w:before="0" w:beforeAutospacing="0" w:after="200" w:afterAutospacing="0"/>
        <w:ind w:firstLine="547"/>
        <w:divId w:val="1617445126"/>
        <w:rPr>
          <w:sz w:val="20"/>
          <w:szCs w:val="20"/>
        </w:rPr>
      </w:pPr>
      <w:r>
        <w:rPr>
          <w:sz w:val="20"/>
          <w:szCs w:val="20"/>
        </w:rPr>
        <w:t>We leased office space in New York, New York beginning in January 2017, such office space having a monthly rental of approximately $4,000 during 2019 and 2020. On January 31, 2</w:t>
      </w:r>
      <w:r>
        <w:rPr>
          <w:sz w:val="20"/>
          <w:szCs w:val="20"/>
        </w:rPr>
        <w:t>021, the lease terminated, and we closed our New York office, which did not have an effect on any of our employees, who continue to be employed by us</w:t>
      </w:r>
      <w:r>
        <w:rPr>
          <w:sz w:val="20"/>
          <w:szCs w:val="20"/>
        </w:rPr>
        <w:t>.</w:t>
      </w:r>
    </w:p>
    <w:p w:rsidR="00000000" w:rsidRDefault="00F22B2C">
      <w:pPr>
        <w:pStyle w:val="a3"/>
        <w:spacing w:before="0" w:beforeAutospacing="0" w:after="0" w:afterAutospacing="0"/>
        <w:ind w:firstLine="547"/>
        <w:divId w:val="1617445126"/>
        <w:rPr>
          <w:sz w:val="20"/>
          <w:szCs w:val="20"/>
        </w:rPr>
      </w:pPr>
      <w:r>
        <w:rPr>
          <w:sz w:val="20"/>
          <w:szCs w:val="20"/>
        </w:rPr>
        <w:t>We believe that our existing facilities are adequate to meet our current needs, and that suitable additio</w:t>
      </w:r>
      <w:r>
        <w:rPr>
          <w:sz w:val="20"/>
          <w:szCs w:val="20"/>
        </w:rPr>
        <w:t>nal alternative spaces will be available in the future on commercially reasonable terms.</w:t>
      </w:r>
    </w:p>
    <w:p w:rsidR="00000000" w:rsidRDefault="00F22B2C">
      <w:pPr>
        <w:pStyle w:val="a3"/>
        <w:spacing w:before="0" w:beforeAutospacing="0" w:after="0" w:afterAutospacing="0"/>
        <w:ind w:firstLine="360"/>
        <w:divId w:val="1617445126"/>
        <w:rPr>
          <w:sz w:val="20"/>
          <w:szCs w:val="20"/>
        </w:rPr>
      </w:pPr>
      <w:r>
        <w:rPr>
          <w:sz w:val="20"/>
          <w:szCs w:val="20"/>
        </w:rPr>
        <w:t>​</w:t>
      </w:r>
    </w:p>
    <w:p w:rsidR="00000000" w:rsidRDefault="00F22B2C">
      <w:pPr>
        <w:pStyle w:val="a3"/>
        <w:spacing w:before="0" w:beforeAutospacing="0" w:after="240" w:afterAutospacing="0"/>
        <w:divId w:val="1617445126"/>
        <w:rPr>
          <w:sz w:val="20"/>
          <w:szCs w:val="20"/>
        </w:rPr>
      </w:pPr>
      <w:r>
        <w:rPr>
          <w:b/>
          <w:bCs/>
          <w:sz w:val="20"/>
          <w:szCs w:val="20"/>
        </w:rPr>
        <w:t>Item 3.          Legal Proceedings</w:t>
      </w:r>
    </w:p>
    <w:p w:rsidR="00000000" w:rsidRDefault="00F22B2C">
      <w:pPr>
        <w:pStyle w:val="a3"/>
        <w:spacing w:before="0" w:beforeAutospacing="0" w:after="0" w:afterAutospacing="0"/>
        <w:ind w:firstLine="547"/>
        <w:divId w:val="1617445126"/>
        <w:rPr>
          <w:sz w:val="20"/>
          <w:szCs w:val="20"/>
        </w:rPr>
      </w:pPr>
      <w:r>
        <w:rPr>
          <w:sz w:val="20"/>
          <w:szCs w:val="20"/>
        </w:rPr>
        <w:t>The information in Note 11 to the Consolidated Financial Statements contained in Part III, Item 15 of this Annual Report on Form 1</w:t>
      </w:r>
      <w:r>
        <w:rPr>
          <w:sz w:val="20"/>
          <w:szCs w:val="20"/>
        </w:rPr>
        <w:t>0-K is incorporated herein by reference. There are no matters which constitute material pending legal proceedings to which we are a party other than those incorporated into this item by reference from Note 11 to our Consolidated Financial Statements for th</w:t>
      </w:r>
      <w:r>
        <w:rPr>
          <w:sz w:val="20"/>
          <w:szCs w:val="20"/>
        </w:rPr>
        <w:t>e year ended December 31, 2021 contained in this Annual Report on Form 10-K.</w:t>
      </w:r>
    </w:p>
    <w:p w:rsidR="00000000" w:rsidRDefault="00F22B2C">
      <w:pPr>
        <w:pStyle w:val="a3"/>
        <w:spacing w:before="0" w:beforeAutospacing="0" w:after="0" w:afterAutospacing="0"/>
        <w:ind w:firstLine="360"/>
        <w:divId w:val="1617445126"/>
        <w:rPr>
          <w:sz w:val="20"/>
          <w:szCs w:val="20"/>
        </w:rPr>
      </w:pPr>
      <w:r>
        <w:rPr>
          <w:sz w:val="20"/>
          <w:szCs w:val="20"/>
        </w:rPr>
        <w:t>​</w:t>
      </w:r>
    </w:p>
    <w:p w:rsidR="00000000" w:rsidRDefault="00F22B2C">
      <w:pPr>
        <w:pStyle w:val="a3"/>
        <w:spacing w:before="0" w:beforeAutospacing="0" w:after="240" w:afterAutospacing="0"/>
        <w:divId w:val="1617445126"/>
        <w:rPr>
          <w:sz w:val="20"/>
          <w:szCs w:val="20"/>
        </w:rPr>
      </w:pPr>
      <w:r>
        <w:rPr>
          <w:b/>
          <w:bCs/>
          <w:sz w:val="20"/>
          <w:szCs w:val="20"/>
        </w:rPr>
        <w:t>Item 4.          Mine Safety Disclosures</w:t>
      </w:r>
    </w:p>
    <w:p w:rsidR="00000000" w:rsidRDefault="00F22B2C">
      <w:pPr>
        <w:pStyle w:val="a3"/>
        <w:spacing w:before="0" w:beforeAutospacing="0" w:after="0" w:afterAutospacing="0"/>
        <w:ind w:firstLine="547"/>
        <w:divId w:val="1617445126"/>
        <w:rPr>
          <w:sz w:val="20"/>
          <w:szCs w:val="20"/>
        </w:rPr>
      </w:pPr>
      <w:r>
        <w:rPr>
          <w:sz w:val="20"/>
          <w:szCs w:val="20"/>
        </w:rPr>
        <w:t>Not Applicable.</w:t>
      </w:r>
    </w:p>
    <w:p w:rsidR="00000000" w:rsidRDefault="00F22B2C">
      <w:pPr>
        <w:pStyle w:val="a3"/>
        <w:spacing w:before="0" w:beforeAutospacing="0" w:after="0" w:afterAutospacing="0"/>
        <w:ind w:firstLine="360"/>
        <w:divId w:val="1617445126"/>
        <w:rPr>
          <w:sz w:val="20"/>
          <w:szCs w:val="20"/>
        </w:rPr>
      </w:pPr>
      <w:r>
        <w:rPr>
          <w:sz w:val="20"/>
          <w:szCs w:val="20"/>
        </w:rPr>
        <w:t>​</w:t>
      </w:r>
    </w:p>
    <w:p w:rsidR="00000000" w:rsidRDefault="00F22B2C">
      <w:pPr>
        <w:pStyle w:val="a3"/>
        <w:spacing w:before="0" w:beforeAutospacing="0" w:after="240" w:afterAutospacing="0"/>
        <w:jc w:val="center"/>
        <w:divId w:val="1617445126"/>
        <w:rPr>
          <w:sz w:val="20"/>
          <w:szCs w:val="20"/>
        </w:rPr>
      </w:pPr>
      <w:r>
        <w:rPr>
          <w:b/>
          <w:bCs/>
          <w:sz w:val="20"/>
          <w:szCs w:val="20"/>
        </w:rPr>
        <w:t>PART II</w:t>
      </w:r>
    </w:p>
    <w:p w:rsidR="00000000" w:rsidRDefault="00F22B2C">
      <w:pPr>
        <w:pStyle w:val="a3"/>
        <w:spacing w:before="0" w:beforeAutospacing="0" w:after="240" w:afterAutospacing="0"/>
        <w:divId w:val="1617445126"/>
        <w:rPr>
          <w:sz w:val="20"/>
          <w:szCs w:val="20"/>
        </w:rPr>
      </w:pPr>
      <w:r>
        <w:rPr>
          <w:b/>
          <w:bCs/>
          <w:sz w:val="20"/>
          <w:szCs w:val="20"/>
        </w:rPr>
        <w:t>Item 5.          </w:t>
      </w:r>
      <w:r>
        <w:rPr>
          <w:b/>
          <w:bCs/>
          <w:sz w:val="20"/>
          <w:szCs w:val="20"/>
        </w:rPr>
        <w:t>Market for Common Equity, Related Stockholder Matters and Issuer Purchases of Equity Securities</w:t>
      </w:r>
    </w:p>
    <w:p w:rsidR="00000000" w:rsidRDefault="00F22B2C">
      <w:pPr>
        <w:pStyle w:val="a3"/>
        <w:spacing w:before="0" w:beforeAutospacing="0" w:after="240" w:afterAutospacing="0"/>
        <w:divId w:val="1617445126"/>
        <w:rPr>
          <w:sz w:val="20"/>
          <w:szCs w:val="20"/>
        </w:rPr>
      </w:pPr>
      <w:r>
        <w:rPr>
          <w:b/>
          <w:bCs/>
          <w:sz w:val="20"/>
          <w:szCs w:val="20"/>
        </w:rPr>
        <w:t>Market Information</w:t>
      </w:r>
    </w:p>
    <w:p w:rsidR="00000000" w:rsidRDefault="00F22B2C">
      <w:pPr>
        <w:pStyle w:val="a3"/>
        <w:spacing w:before="0" w:beforeAutospacing="0" w:after="240" w:afterAutospacing="0"/>
        <w:ind w:firstLine="547"/>
        <w:divId w:val="1617445126"/>
        <w:rPr>
          <w:sz w:val="20"/>
          <w:szCs w:val="20"/>
        </w:rPr>
      </w:pPr>
      <w:r>
        <w:rPr>
          <w:sz w:val="20"/>
          <w:szCs w:val="20"/>
        </w:rPr>
        <w:t>Our common stock is traded on the Nasdaq Global Market under the symbol “IOVA”.</w:t>
      </w:r>
    </w:p>
    <w:p w:rsidR="00000000" w:rsidRDefault="00F22B2C">
      <w:pPr>
        <w:pStyle w:val="a3"/>
        <w:spacing w:before="0" w:beforeAutospacing="0" w:after="240" w:afterAutospacing="0"/>
        <w:divId w:val="1617445126"/>
        <w:rPr>
          <w:sz w:val="20"/>
          <w:szCs w:val="20"/>
        </w:rPr>
      </w:pPr>
      <w:r>
        <w:rPr>
          <w:b/>
          <w:bCs/>
          <w:sz w:val="20"/>
          <w:szCs w:val="20"/>
        </w:rPr>
        <w:t>Stockholders</w:t>
      </w:r>
    </w:p>
    <w:p w:rsidR="00000000" w:rsidRDefault="00F22B2C">
      <w:pPr>
        <w:pStyle w:val="a3"/>
        <w:spacing w:before="0" w:beforeAutospacing="0" w:after="240" w:afterAutospacing="0"/>
        <w:ind w:firstLine="547"/>
        <w:divId w:val="1617445126"/>
        <w:rPr>
          <w:sz w:val="20"/>
          <w:szCs w:val="20"/>
        </w:rPr>
      </w:pPr>
      <w:r>
        <w:rPr>
          <w:sz w:val="20"/>
          <w:szCs w:val="20"/>
        </w:rPr>
        <w:t>As of December 31, 2021, there were approximatel</w:t>
      </w:r>
      <w:r>
        <w:rPr>
          <w:sz w:val="20"/>
          <w:szCs w:val="20"/>
        </w:rPr>
        <w:t>y 14 holders of record of our common stock.</w:t>
      </w:r>
    </w:p>
    <w:p w:rsidR="00000000" w:rsidRDefault="00F22B2C">
      <w:pPr>
        <w:pStyle w:val="a3"/>
        <w:spacing w:before="480" w:beforeAutospacing="0" w:after="0" w:afterAutospacing="0"/>
        <w:jc w:val="center"/>
        <w:divId w:val="699162182"/>
        <w:rPr>
          <w:sz w:val="20"/>
          <w:szCs w:val="20"/>
        </w:rPr>
      </w:pPr>
      <w:r>
        <w:rPr>
          <w:sz w:val="20"/>
          <w:szCs w:val="20"/>
        </w:rPr>
        <w:t>85</w:t>
      </w:r>
    </w:p>
    <w:p w:rsidR="00000000" w:rsidRDefault="00F22B2C">
      <w:pPr>
        <w:pStyle w:val="a3"/>
        <w:spacing w:before="0" w:beforeAutospacing="0" w:after="600" w:afterAutospacing="0"/>
        <w:divId w:val="657727010"/>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97863643"/>
        <w:rPr>
          <w:sz w:val="20"/>
          <w:szCs w:val="20"/>
        </w:rPr>
      </w:pPr>
      <w:r>
        <w:rPr>
          <w:b/>
          <w:bCs/>
          <w:sz w:val="20"/>
          <w:szCs w:val="20"/>
        </w:rPr>
        <w:t>Dividends</w:t>
      </w:r>
    </w:p>
    <w:p w:rsidR="00000000" w:rsidRDefault="00F22B2C">
      <w:pPr>
        <w:pStyle w:val="a3"/>
        <w:spacing w:before="0" w:beforeAutospacing="0" w:after="240" w:afterAutospacing="0"/>
        <w:ind w:firstLine="547"/>
        <w:divId w:val="197863643"/>
        <w:rPr>
          <w:sz w:val="20"/>
          <w:szCs w:val="20"/>
        </w:rPr>
      </w:pPr>
      <w:r>
        <w:rPr>
          <w:sz w:val="20"/>
          <w:szCs w:val="20"/>
        </w:rPr>
        <w:t>We have never declared or paid any cash dividends on our common stock or any other securities. We anticipate that we will retain all available funds and an</w:t>
      </w:r>
      <w:r>
        <w:rPr>
          <w:sz w:val="20"/>
          <w:szCs w:val="20"/>
        </w:rPr>
        <w:t>y future earnings, if any, for use in the operation of our business and do not anticipate paying cash dividends in the foreseeable future. Payment of future cash dividends, if any, will be at the discretion of the board of directors after considering vario</w:t>
      </w:r>
      <w:r>
        <w:rPr>
          <w:sz w:val="20"/>
          <w:szCs w:val="20"/>
        </w:rPr>
        <w:t>us factors, including our financial condition, operating results, current and anticipated cash needs.</w:t>
      </w:r>
    </w:p>
    <w:p w:rsidR="00000000" w:rsidRDefault="00F22B2C">
      <w:pPr>
        <w:pStyle w:val="a3"/>
        <w:spacing w:before="0" w:beforeAutospacing="0" w:after="240" w:afterAutospacing="0"/>
        <w:ind w:firstLine="547"/>
        <w:divId w:val="197863643"/>
        <w:rPr>
          <w:sz w:val="20"/>
          <w:szCs w:val="20"/>
        </w:rPr>
      </w:pPr>
      <w:r>
        <w:rPr>
          <w:sz w:val="20"/>
          <w:szCs w:val="20"/>
        </w:rPr>
        <w:t>Under the terms of our Series A Convertible Preferred Stock, we may not declare, pay or set aside any dividends on shares of any class or series of capita</w:t>
      </w:r>
      <w:r>
        <w:rPr>
          <w:sz w:val="20"/>
          <w:szCs w:val="20"/>
        </w:rPr>
        <w:t>l stock (other than dividends on shares of common stock payable in shares of common stock) unless the holders of our Series A Convertible Preferred Stock first receive, or simultaneously receive, an equal dividend on each outstanding share of Series A Conv</w:t>
      </w:r>
      <w:r>
        <w:rPr>
          <w:sz w:val="20"/>
          <w:szCs w:val="20"/>
        </w:rPr>
        <w:t>ertible Preferred Stock.</w:t>
      </w:r>
    </w:p>
    <w:p w:rsidR="00000000" w:rsidRDefault="00F22B2C">
      <w:pPr>
        <w:pStyle w:val="a3"/>
        <w:spacing w:before="0" w:beforeAutospacing="0" w:after="240" w:afterAutospacing="0"/>
        <w:ind w:firstLine="547"/>
        <w:divId w:val="197863643"/>
        <w:rPr>
          <w:sz w:val="20"/>
          <w:szCs w:val="20"/>
        </w:rPr>
      </w:pPr>
      <w:r>
        <w:rPr>
          <w:sz w:val="20"/>
          <w:szCs w:val="20"/>
        </w:rPr>
        <w:t>Under the terms of our Series B Convertible Preferred Stock, holders shall be entitled to receive dividends on shares equal (on an as-if-converted-to-Common-Stock basis) to and in the same form as dividends (other than dividends in</w:t>
      </w:r>
      <w:r>
        <w:rPr>
          <w:sz w:val="20"/>
          <w:szCs w:val="20"/>
        </w:rPr>
        <w:t xml:space="preserve"> the form of common stock) actually paid on shares of our Series A Convertible Preferred Stock, common stock or other junior securities when, as and if such dividends (other than dividends in the form of common stock) are paid on shares of our Series A Con</w:t>
      </w:r>
      <w:r>
        <w:rPr>
          <w:sz w:val="20"/>
          <w:szCs w:val="20"/>
        </w:rPr>
        <w:t>vertible Preferred Stock, common stock or other junior securities. No other dividends shall be paid on shares of Series B Convertible Preferred Stock, and we may not pay dividends (other than dividends in the form of common stock) on shares of our Series A</w:t>
      </w:r>
      <w:r>
        <w:rPr>
          <w:sz w:val="20"/>
          <w:szCs w:val="20"/>
        </w:rPr>
        <w:t xml:space="preserve"> Convertible Preferred Stock, common stock or other junior securities unless it simultaneously complies with the previous sentence.</w:t>
      </w:r>
    </w:p>
    <w:p w:rsidR="00000000" w:rsidRDefault="00F22B2C">
      <w:pPr>
        <w:pStyle w:val="a3"/>
        <w:spacing w:before="0" w:beforeAutospacing="0" w:after="240" w:afterAutospacing="0"/>
        <w:divId w:val="197863643"/>
        <w:rPr>
          <w:sz w:val="20"/>
          <w:szCs w:val="20"/>
        </w:rPr>
      </w:pPr>
      <w:r>
        <w:rPr>
          <w:b/>
          <w:bCs/>
          <w:sz w:val="20"/>
          <w:szCs w:val="20"/>
        </w:rPr>
        <w:t>Unregistered Sales of Equity Securities</w:t>
      </w:r>
    </w:p>
    <w:p w:rsidR="00000000" w:rsidRDefault="00F22B2C">
      <w:pPr>
        <w:pStyle w:val="a3"/>
        <w:spacing w:before="0" w:beforeAutospacing="0" w:after="240" w:afterAutospacing="0"/>
        <w:ind w:firstLine="547"/>
        <w:divId w:val="197863643"/>
        <w:rPr>
          <w:sz w:val="20"/>
          <w:szCs w:val="20"/>
        </w:rPr>
      </w:pPr>
      <w:r>
        <w:rPr>
          <w:sz w:val="20"/>
          <w:szCs w:val="20"/>
        </w:rPr>
        <w:t>None.</w:t>
      </w:r>
    </w:p>
    <w:p w:rsidR="00000000" w:rsidRDefault="00F22B2C">
      <w:pPr>
        <w:pStyle w:val="a3"/>
        <w:spacing w:before="0" w:beforeAutospacing="0" w:after="240" w:afterAutospacing="0"/>
        <w:divId w:val="197863643"/>
        <w:rPr>
          <w:sz w:val="20"/>
          <w:szCs w:val="20"/>
        </w:rPr>
      </w:pPr>
      <w:r>
        <w:rPr>
          <w:b/>
          <w:bCs/>
          <w:sz w:val="20"/>
          <w:szCs w:val="20"/>
        </w:rPr>
        <w:t>Repurchases of Common Stock</w:t>
      </w:r>
    </w:p>
    <w:p w:rsidR="00000000" w:rsidRDefault="00F22B2C">
      <w:pPr>
        <w:pStyle w:val="a3"/>
        <w:spacing w:before="0" w:beforeAutospacing="0" w:after="240" w:afterAutospacing="0"/>
        <w:ind w:firstLine="547"/>
        <w:divId w:val="197863643"/>
        <w:rPr>
          <w:sz w:val="20"/>
          <w:szCs w:val="20"/>
        </w:rPr>
      </w:pPr>
      <w:r>
        <w:rPr>
          <w:sz w:val="20"/>
          <w:szCs w:val="20"/>
        </w:rPr>
        <w:t>There were no share repurchases during the year en</w:t>
      </w:r>
      <w:r>
        <w:rPr>
          <w:sz w:val="20"/>
          <w:szCs w:val="20"/>
        </w:rPr>
        <w:t>ded December 31, 2021.</w:t>
      </w:r>
    </w:p>
    <w:p w:rsidR="00000000" w:rsidRDefault="00F22B2C">
      <w:pPr>
        <w:pStyle w:val="a3"/>
        <w:spacing w:before="0" w:beforeAutospacing="0" w:after="240" w:afterAutospacing="0"/>
        <w:divId w:val="197863643"/>
        <w:rPr>
          <w:sz w:val="20"/>
          <w:szCs w:val="20"/>
        </w:rPr>
      </w:pPr>
      <w:r>
        <w:rPr>
          <w:b/>
          <w:bCs/>
          <w:sz w:val="20"/>
          <w:szCs w:val="20"/>
        </w:rPr>
        <w:t>Stock Performance Graph</w:t>
      </w:r>
    </w:p>
    <w:p w:rsidR="00000000" w:rsidRDefault="00F22B2C">
      <w:pPr>
        <w:pStyle w:val="a3"/>
        <w:spacing w:before="0" w:beforeAutospacing="0" w:after="0" w:afterAutospacing="0"/>
        <w:ind w:firstLine="547"/>
        <w:divId w:val="197863643"/>
        <w:rPr>
          <w:sz w:val="20"/>
          <w:szCs w:val="20"/>
        </w:rPr>
      </w:pPr>
      <w:r>
        <w:rPr>
          <w:sz w:val="20"/>
          <w:szCs w:val="20"/>
        </w:rPr>
        <w:t>The following graph illustrates a comparison of the total cumulative stockholder return on our common stock since December 31, 2016 to two indices: the Russell 3000 and the NASDAQ Biotechnology Index. The stoc</w:t>
      </w:r>
      <w:r>
        <w:rPr>
          <w:sz w:val="20"/>
          <w:szCs w:val="20"/>
        </w:rPr>
        <w:t xml:space="preserve">kholder return shown in the </w:t>
      </w:r>
    </w:p>
    <w:p w:rsidR="00000000" w:rsidRDefault="00F22B2C">
      <w:pPr>
        <w:pStyle w:val="a3"/>
        <w:spacing w:before="480" w:beforeAutospacing="0" w:after="0" w:afterAutospacing="0"/>
        <w:jc w:val="center"/>
        <w:divId w:val="1894073938"/>
        <w:rPr>
          <w:sz w:val="20"/>
          <w:szCs w:val="20"/>
        </w:rPr>
      </w:pPr>
      <w:r>
        <w:rPr>
          <w:sz w:val="20"/>
          <w:szCs w:val="20"/>
        </w:rPr>
        <w:t>86</w:t>
      </w:r>
    </w:p>
    <w:p w:rsidR="00000000" w:rsidRDefault="00F22B2C">
      <w:pPr>
        <w:pStyle w:val="a3"/>
        <w:spacing w:before="0" w:beforeAutospacing="0" w:after="600" w:afterAutospacing="0"/>
        <w:divId w:val="1906181676"/>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divId w:val="1246695182"/>
        <w:rPr>
          <w:sz w:val="20"/>
          <w:szCs w:val="20"/>
        </w:rPr>
      </w:pPr>
      <w:r>
        <w:rPr>
          <w:sz w:val="20"/>
          <w:szCs w:val="20"/>
        </w:rPr>
        <w:t>graph below is not necessarily indicative of future performance, and we do not make or endorse any predictions as to future stockholder returns.</w:t>
      </w:r>
    </w:p>
    <w:p w:rsidR="00000000" w:rsidRDefault="00F22B2C">
      <w:pPr>
        <w:pStyle w:val="a3"/>
        <w:spacing w:before="0" w:beforeAutospacing="0" w:after="0" w:afterAutospacing="0"/>
        <w:ind w:firstLine="360"/>
        <w:divId w:val="1246695182"/>
        <w:rPr>
          <w:sz w:val="20"/>
          <w:szCs w:val="20"/>
        </w:rPr>
      </w:pPr>
      <w:r>
        <w:rPr>
          <w:sz w:val="20"/>
          <w:szCs w:val="20"/>
        </w:rPr>
        <w:t>​</w:t>
      </w:r>
    </w:p>
    <w:p w:rsidR="00000000" w:rsidRDefault="00F22B2C">
      <w:pPr>
        <w:pStyle w:val="a3"/>
        <w:spacing w:before="0" w:beforeAutospacing="0" w:after="240" w:afterAutospacing="0"/>
        <w:jc w:val="center"/>
        <w:divId w:val="1246695182"/>
        <w:rPr>
          <w:sz w:val="20"/>
          <w:szCs w:val="20"/>
        </w:rPr>
      </w:pPr>
      <w:r>
        <w:rPr>
          <w:noProof/>
          <w:sz w:val="20"/>
          <w:szCs w:val="20"/>
        </w:rPr>
        <w:drawing>
          <wp:inline distT="0" distB="0" distL="0" distR="0">
            <wp:extent cx="304800" cy="304800"/>
            <wp:effectExtent l="0" t="0" r="0" b="0"/>
            <wp:docPr id="4" name="图片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line chart&#10;&#10;Description automatically generated"/>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22B2C">
      <w:pPr>
        <w:pStyle w:val="a3"/>
        <w:spacing w:before="0" w:beforeAutospacing="0" w:after="240" w:afterAutospacing="0"/>
        <w:divId w:val="1246695182"/>
        <w:rPr>
          <w:sz w:val="20"/>
          <w:szCs w:val="20"/>
        </w:rPr>
      </w:pPr>
      <w:r>
        <w:rPr>
          <w:b/>
          <w:bCs/>
          <w:sz w:val="20"/>
          <w:szCs w:val="20"/>
        </w:rPr>
        <w:t>Equity Compensation Plan Information</w:t>
      </w:r>
    </w:p>
    <w:p w:rsidR="00000000" w:rsidRDefault="00F22B2C">
      <w:pPr>
        <w:pStyle w:val="a3"/>
        <w:spacing w:before="0" w:beforeAutospacing="0" w:after="0" w:afterAutospacing="0"/>
        <w:ind w:firstLine="547"/>
        <w:divId w:val="1246695182"/>
        <w:rPr>
          <w:sz w:val="20"/>
          <w:szCs w:val="20"/>
        </w:rPr>
      </w:pPr>
      <w:r>
        <w:rPr>
          <w:sz w:val="20"/>
          <w:szCs w:val="20"/>
        </w:rPr>
        <w:t>Information regarding our equity compensation plans is incorporated by reference from the information in our Proxy Statement for our 2021 Annual Meetin</w:t>
      </w:r>
      <w:r>
        <w:rPr>
          <w:sz w:val="20"/>
          <w:szCs w:val="20"/>
        </w:rPr>
        <w:t>g of Stockholders, which we will file with the SEC within 120 days after the end of the fiscal year to which this Annual Report on Form 10-K relates.</w:t>
      </w:r>
    </w:p>
    <w:p w:rsidR="00000000" w:rsidRDefault="00F22B2C">
      <w:pPr>
        <w:pStyle w:val="a3"/>
        <w:spacing w:before="0" w:beforeAutospacing="0" w:after="0" w:afterAutospacing="0"/>
        <w:ind w:firstLine="360"/>
        <w:divId w:val="1246695182"/>
        <w:rPr>
          <w:sz w:val="20"/>
          <w:szCs w:val="20"/>
        </w:rPr>
      </w:pPr>
      <w:r>
        <w:rPr>
          <w:sz w:val="20"/>
          <w:szCs w:val="20"/>
        </w:rPr>
        <w:t>​</w:t>
      </w:r>
    </w:p>
    <w:p w:rsidR="00000000" w:rsidRDefault="00F22B2C">
      <w:pPr>
        <w:pStyle w:val="a3"/>
        <w:spacing w:before="0" w:beforeAutospacing="0" w:after="240" w:afterAutospacing="0"/>
        <w:divId w:val="1246695182"/>
        <w:rPr>
          <w:sz w:val="20"/>
          <w:szCs w:val="20"/>
        </w:rPr>
      </w:pPr>
      <w:r>
        <w:rPr>
          <w:b/>
          <w:bCs/>
          <w:sz w:val="20"/>
          <w:szCs w:val="20"/>
        </w:rPr>
        <w:t>Item 6.          [Reserved]</w:t>
      </w:r>
    </w:p>
    <w:p w:rsidR="00000000" w:rsidRDefault="00F22B2C">
      <w:pPr>
        <w:pStyle w:val="a3"/>
        <w:spacing w:before="0" w:beforeAutospacing="0" w:after="0" w:afterAutospacing="0"/>
        <w:ind w:firstLine="360"/>
        <w:divId w:val="1246695182"/>
        <w:rPr>
          <w:sz w:val="20"/>
          <w:szCs w:val="20"/>
        </w:rPr>
      </w:pPr>
      <w:r>
        <w:rPr>
          <w:sz w:val="20"/>
          <w:szCs w:val="20"/>
        </w:rPr>
        <w:t>​</w:t>
      </w:r>
    </w:p>
    <w:p w:rsidR="00000000" w:rsidRDefault="00F22B2C">
      <w:pPr>
        <w:pStyle w:val="a3"/>
        <w:spacing w:before="0" w:beforeAutospacing="0" w:after="240" w:afterAutospacing="0"/>
        <w:divId w:val="1246695182"/>
        <w:rPr>
          <w:sz w:val="20"/>
          <w:szCs w:val="20"/>
        </w:rPr>
      </w:pPr>
      <w:r>
        <w:rPr>
          <w:b/>
          <w:bCs/>
          <w:sz w:val="20"/>
          <w:szCs w:val="20"/>
        </w:rPr>
        <w:t>Item 7.          Management’s Discussion and Analysis of Financial Conditi</w:t>
      </w:r>
      <w:r>
        <w:rPr>
          <w:b/>
          <w:bCs/>
          <w:sz w:val="20"/>
          <w:szCs w:val="20"/>
        </w:rPr>
        <w:t>on and Results of Operations</w:t>
      </w:r>
    </w:p>
    <w:p w:rsidR="00000000" w:rsidRDefault="00F22B2C">
      <w:pPr>
        <w:pStyle w:val="a3"/>
        <w:spacing w:before="0" w:beforeAutospacing="0" w:after="240" w:afterAutospacing="0"/>
        <w:ind w:firstLine="547"/>
        <w:divId w:val="1246695182"/>
        <w:rPr>
          <w:sz w:val="20"/>
          <w:szCs w:val="20"/>
        </w:rPr>
      </w:pPr>
      <w:r>
        <w:rPr>
          <w:i/>
          <w:iCs/>
          <w:sz w:val="20"/>
          <w:szCs w:val="20"/>
        </w:rPr>
        <w:t>The following discussion and analysis of our results of operations and financial condition should be read in conjunction with our financial statements and the notes to those financial statements that are included elsewhere in t</w:t>
      </w:r>
      <w:r>
        <w:rPr>
          <w:i/>
          <w:iCs/>
          <w:sz w:val="20"/>
          <w:szCs w:val="20"/>
        </w:rPr>
        <w:t>his report. Our discussion includes forward-looking statements based upon current expectations that involve risks and uncertainties, such as our plans, objectives, expectations and intentions. Actual results and the timing of events could differ materially</w:t>
      </w:r>
      <w:r>
        <w:rPr>
          <w:i/>
          <w:iCs/>
          <w:sz w:val="20"/>
          <w:szCs w:val="20"/>
        </w:rPr>
        <w:t xml:space="preserve"> from those anticipated in these forward-looking statements as a result of a number of factors, including those set forth under the “Business” section and elsewhere in this report. We use words such as “may,” “will,” “might,” “could,” “would,” “should,” “e</w:t>
      </w:r>
      <w:r>
        <w:rPr>
          <w:i/>
          <w:iCs/>
          <w:sz w:val="20"/>
          <w:szCs w:val="20"/>
        </w:rPr>
        <w:t>xpect,” “intend,” “plan,” “anticipate,”</w:t>
      </w:r>
      <w:r>
        <w:rPr>
          <w:sz w:val="20"/>
          <w:szCs w:val="20"/>
        </w:rPr>
        <w:t xml:space="preserve"> </w:t>
      </w:r>
      <w:r>
        <w:rPr>
          <w:i/>
          <w:iCs/>
          <w:sz w:val="20"/>
          <w:szCs w:val="20"/>
        </w:rPr>
        <w:t xml:space="preserve">“believe,” “estimate,” “predict,” “project,” “aim,” “potential,” “continue,” “ongoing,” “goal,” “forecast,” “guidance,” “outlook,” </w:t>
      </w:r>
      <w:r>
        <w:rPr>
          <w:i/>
          <w:iCs/>
          <w:sz w:val="20"/>
          <w:szCs w:val="20"/>
        </w:rPr>
        <w:t>or the negative of these terms or other similar expressions to identify forward-looking statements, although not all forward-looking statements contain these words. All forward-looking statements included in this report are based on information available t</w:t>
      </w:r>
      <w:r>
        <w:rPr>
          <w:i/>
          <w:iCs/>
          <w:sz w:val="20"/>
          <w:szCs w:val="20"/>
        </w:rPr>
        <w:t>o us on the date hereof and, except as required by law, we assume no obligation to update any such forward-looking statements.</w:t>
      </w:r>
    </w:p>
    <w:p w:rsidR="00000000" w:rsidRDefault="00F22B2C">
      <w:pPr>
        <w:pStyle w:val="a3"/>
        <w:spacing w:before="0" w:beforeAutospacing="0" w:after="240" w:afterAutospacing="0"/>
        <w:divId w:val="1246695182"/>
        <w:rPr>
          <w:sz w:val="20"/>
          <w:szCs w:val="20"/>
        </w:rPr>
      </w:pPr>
      <w:r>
        <w:rPr>
          <w:b/>
          <w:bCs/>
          <w:sz w:val="20"/>
          <w:szCs w:val="20"/>
        </w:rPr>
        <w:t>Overview</w:t>
      </w:r>
    </w:p>
    <w:p w:rsidR="00000000" w:rsidRDefault="00F22B2C">
      <w:pPr>
        <w:pStyle w:val="a3"/>
        <w:spacing w:before="0" w:beforeAutospacing="0" w:after="0" w:afterAutospacing="0"/>
        <w:ind w:firstLine="547"/>
        <w:divId w:val="1246695182"/>
        <w:rPr>
          <w:sz w:val="20"/>
          <w:szCs w:val="20"/>
        </w:rPr>
      </w:pPr>
      <w:r>
        <w:rPr>
          <w:sz w:val="20"/>
          <w:szCs w:val="20"/>
        </w:rPr>
        <w:t>We are a clinical-stage biopharmaceutical company pioneering a transformational approach to cure cancer by harnessing th</w:t>
      </w:r>
      <w:r>
        <w:rPr>
          <w:sz w:val="20"/>
          <w:szCs w:val="20"/>
        </w:rPr>
        <w:t>e human immune system’s ability to recognize and destroy diverse cancer cells in each patient. TIL therapy is an autologous, polyclonal cell therapy platform technology that was originally developed by the National Cancer Institute, or NCI, which conducted</w:t>
      </w:r>
      <w:r>
        <w:rPr>
          <w:sz w:val="20"/>
          <w:szCs w:val="20"/>
        </w:rPr>
        <w:t xml:space="preserve"> initial clinical trials of this therapy in diseases such as metastatic melanoma and cervical cancer. Our mission is to be the global leader in innovating, developing and delivering TIL therapies for patients with cancer. We have developed a new, shorter T</w:t>
      </w:r>
      <w:r>
        <w:rPr>
          <w:sz w:val="20"/>
          <w:szCs w:val="20"/>
        </w:rPr>
        <w:t>IL manufacturing</w:t>
      </w:r>
      <w:r>
        <w:rPr>
          <w:sz w:val="20"/>
          <w:szCs w:val="20"/>
        </w:rPr>
        <w:t xml:space="preserve"> </w:t>
      </w:r>
    </w:p>
    <w:p w:rsidR="00000000" w:rsidRDefault="00F22B2C">
      <w:pPr>
        <w:pStyle w:val="a3"/>
        <w:spacing w:before="480" w:beforeAutospacing="0" w:after="0" w:afterAutospacing="0"/>
        <w:jc w:val="center"/>
        <w:divId w:val="357661549"/>
        <w:rPr>
          <w:sz w:val="20"/>
          <w:szCs w:val="20"/>
        </w:rPr>
      </w:pPr>
      <w:r>
        <w:rPr>
          <w:sz w:val="20"/>
          <w:szCs w:val="20"/>
        </w:rPr>
        <w:t>87</w:t>
      </w:r>
    </w:p>
    <w:p w:rsidR="00000000" w:rsidRDefault="00F22B2C">
      <w:pPr>
        <w:pStyle w:val="a3"/>
        <w:spacing w:before="0" w:beforeAutospacing="0" w:after="600" w:afterAutospacing="0"/>
        <w:divId w:val="413014291"/>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2083284456"/>
        <w:rPr>
          <w:sz w:val="20"/>
          <w:szCs w:val="20"/>
        </w:rPr>
      </w:pPr>
      <w:r>
        <w:rPr>
          <w:sz w:val="20"/>
          <w:szCs w:val="20"/>
        </w:rPr>
        <w:t>process known as Gen 2, which yields a cryopreserved TIL product. This centralized, proprietary, and scalable manufacturing method is being investigated in multiple indications. Our lead prod</w:t>
      </w:r>
      <w:r>
        <w:rPr>
          <w:sz w:val="20"/>
          <w:szCs w:val="20"/>
        </w:rPr>
        <w:t>uct candidates include lifileucel for metastatic melanoma and metastatic cervical cancer, as well as LN-145 for metastatic non-small cell lung cancer, or NSCLC. In addition, we are investigating the effectiveness and safety of combinations of TIL therapy w</w:t>
      </w:r>
      <w:r>
        <w:rPr>
          <w:sz w:val="20"/>
          <w:szCs w:val="20"/>
        </w:rPr>
        <w:t>ith immune checkpoint inhibitors, or ICIs, in metastatic melanoma, cervical cancer, NSCLC, and head and neck squamous cell carcinoma, or HNSCC. We are investigating peripheral blood lymphocyte, or PBL, therapy for patients with relapsed or refractory chron</w:t>
      </w:r>
      <w:r>
        <w:rPr>
          <w:sz w:val="20"/>
          <w:szCs w:val="20"/>
        </w:rPr>
        <w:t>ic lymphocytic leukemia, or CLL, and small lymphocytic lymphoma, or SLL, through our sponsored trials. We are developing first-in-class genetically edited TIL products based on the inactivation of genes that encode immune checkpoint proteins and other prot</w:t>
      </w:r>
      <w:r>
        <w:rPr>
          <w:sz w:val="20"/>
          <w:szCs w:val="20"/>
        </w:rPr>
        <w:t>eins, as well as the insertion of genes that encode immunomodulatory proteins. We are also developing an alternative interleukin-2, or IL-2, co-therapy for use with TIL therapies. Finally, we are investigating the potential for TIL therapy in other oncolog</w:t>
      </w:r>
      <w:r>
        <w:rPr>
          <w:sz w:val="20"/>
          <w:szCs w:val="20"/>
        </w:rPr>
        <w:t>y indications and treatment settings through academic collaborations with leading cancer research centers</w:t>
      </w:r>
      <w:r>
        <w:rPr>
          <w:sz w:val="20"/>
          <w:szCs w:val="20"/>
        </w:rPr>
        <w:t>.</w:t>
      </w:r>
    </w:p>
    <w:p w:rsidR="00000000" w:rsidRDefault="00F22B2C">
      <w:pPr>
        <w:pStyle w:val="a3"/>
        <w:spacing w:before="0" w:beforeAutospacing="0" w:after="240" w:afterAutospacing="0"/>
        <w:ind w:firstLine="547"/>
        <w:divId w:val="2083284456"/>
        <w:rPr>
          <w:sz w:val="20"/>
          <w:szCs w:val="20"/>
        </w:rPr>
      </w:pPr>
      <w:r>
        <w:rPr>
          <w:sz w:val="20"/>
          <w:szCs w:val="20"/>
        </w:rPr>
        <w:t xml:space="preserve">Our current product candidate pipeline is summarized in the figure below: </w:t>
      </w:r>
    </w:p>
    <w:p w:rsidR="00000000" w:rsidRDefault="00F22B2C">
      <w:pPr>
        <w:pStyle w:val="a3"/>
        <w:spacing w:before="0" w:beforeAutospacing="0" w:after="240" w:afterAutospacing="0"/>
        <w:jc w:val="center"/>
        <w:divId w:val="2083284456"/>
        <w:rPr>
          <w:sz w:val="20"/>
          <w:szCs w:val="20"/>
        </w:rPr>
      </w:pPr>
      <w:r>
        <w:rPr>
          <w:noProof/>
          <w:sz w:val="20"/>
          <w:szCs w:val="20"/>
        </w:rPr>
        <w:drawing>
          <wp:inline distT="0" distB="0" distL="0" distR="0">
            <wp:extent cx="304800" cy="304800"/>
            <wp:effectExtent l="0" t="0" r="0" b="0"/>
            <wp:docPr id="5" name="图片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22B2C">
      <w:pPr>
        <w:pStyle w:val="a3"/>
        <w:spacing w:before="0" w:beforeAutospacing="0" w:after="0" w:afterAutospacing="0"/>
        <w:divId w:val="2083284456"/>
        <w:rPr>
          <w:sz w:val="20"/>
          <w:szCs w:val="20"/>
        </w:rPr>
      </w:pPr>
      <w:r>
        <w:rPr>
          <w:i/>
          <w:iCs/>
          <w:sz w:val="20"/>
          <w:szCs w:val="20"/>
        </w:rPr>
        <w:t>TIL Monotherapy in Metastatic Solid Tumor Cancers</w:t>
      </w:r>
    </w:p>
    <w:p w:rsidR="00000000" w:rsidRDefault="00F22B2C">
      <w:pPr>
        <w:pStyle w:val="a3"/>
        <w:spacing w:before="0" w:beforeAutospacing="0" w:after="0" w:afterAutospacing="0"/>
        <w:ind w:firstLine="547"/>
        <w:divId w:val="2083284456"/>
        <w:rPr>
          <w:sz w:val="20"/>
          <w:szCs w:val="20"/>
        </w:rPr>
      </w:pPr>
      <w:r>
        <w:rPr>
          <w:sz w:val="20"/>
          <w:szCs w:val="20"/>
        </w:rPr>
        <w:t>​</w:t>
      </w:r>
    </w:p>
    <w:p w:rsidR="00000000" w:rsidRDefault="00F22B2C">
      <w:pPr>
        <w:pStyle w:val="a3"/>
        <w:spacing w:before="0" w:beforeAutospacing="0" w:after="0" w:afterAutospacing="0"/>
        <w:ind w:firstLine="547"/>
        <w:divId w:val="2083284456"/>
        <w:rPr>
          <w:sz w:val="20"/>
          <w:szCs w:val="20"/>
        </w:rPr>
      </w:pPr>
      <w:r>
        <w:rPr>
          <w:sz w:val="20"/>
          <w:szCs w:val="20"/>
        </w:rPr>
        <w:t>We have investigated TIL monotherapy in metastatic melanoma, cervical cancer, NSCLC and HNSCC. We are conducting a Phase 2 clinical trial, C-144-01, of our lead TIL product candidate, lifileucel, for the treatment of metastatic melanoma. This multicenter p</w:t>
      </w:r>
      <w:r>
        <w:rPr>
          <w:sz w:val="20"/>
          <w:szCs w:val="20"/>
        </w:rPr>
        <w:t>ivotal trial enrolled melanoma patients with disease progression following treatment with at least one systemic therapy, including a PD-1 inhibitor and, if BRAF mutated, a BRAF inhibitor, or a combination of BRAF and MEK inhibitors. Cohort 4 of the C-144-0</w:t>
      </w:r>
      <w:r>
        <w:rPr>
          <w:sz w:val="20"/>
          <w:szCs w:val="20"/>
        </w:rPr>
        <w:t>1 clinical trial is a single-arm cohort intended to support the submission of a Biologics License Application, or BLA, to the Food and Drug Administration, or the FDA, for lifileucel. Cohorts 2 and 4 of the C-144-01 trial use our Gen 2 manufacturing proces</w:t>
      </w:r>
      <w:r>
        <w:rPr>
          <w:sz w:val="20"/>
          <w:szCs w:val="20"/>
        </w:rPr>
        <w:t>s. We completed and closed enrollment of patients into Cohort 2 of the C-144-01 trial in 2018. Results from Cohort 2 of the C-144-01 clinical trial were initially reported at the American Society of Clinical Oncology annual meeting, or ASCO, in June 2019 a</w:t>
      </w:r>
      <w:r>
        <w:rPr>
          <w:sz w:val="20"/>
          <w:szCs w:val="20"/>
        </w:rPr>
        <w:t xml:space="preserve">nd subsequently updated at ASCO in June 2021. In addition, detailed Cohort 2 data was published in the </w:t>
      </w:r>
      <w:r>
        <w:rPr>
          <w:i/>
          <w:iCs/>
          <w:sz w:val="20"/>
          <w:szCs w:val="20"/>
        </w:rPr>
        <w:t>Journal of Clinical Oncology</w:t>
      </w:r>
      <w:r>
        <w:rPr>
          <w:sz w:val="20"/>
          <w:szCs w:val="20"/>
        </w:rPr>
        <w:t xml:space="preserve"> in May 2021. </w:t>
      </w:r>
    </w:p>
    <w:p w:rsidR="00000000" w:rsidRDefault="00F22B2C">
      <w:pPr>
        <w:pStyle w:val="a3"/>
        <w:spacing w:before="0" w:beforeAutospacing="0" w:after="0" w:afterAutospacing="0"/>
        <w:ind w:firstLine="547"/>
        <w:divId w:val="2083284456"/>
        <w:rPr>
          <w:sz w:val="20"/>
          <w:szCs w:val="20"/>
        </w:rPr>
      </w:pPr>
      <w:r>
        <w:rPr>
          <w:sz w:val="20"/>
          <w:szCs w:val="20"/>
        </w:rPr>
        <w:t>​</w:t>
      </w:r>
    </w:p>
    <w:p w:rsidR="00000000" w:rsidRDefault="00F22B2C">
      <w:pPr>
        <w:pStyle w:val="a3"/>
        <w:spacing w:before="0" w:beforeAutospacing="0" w:after="0" w:afterAutospacing="0"/>
        <w:ind w:firstLine="547"/>
        <w:divId w:val="2083284456"/>
        <w:rPr>
          <w:sz w:val="20"/>
          <w:szCs w:val="20"/>
        </w:rPr>
      </w:pPr>
      <w:r>
        <w:rPr>
          <w:sz w:val="20"/>
          <w:szCs w:val="20"/>
        </w:rPr>
        <w:t>Pivotal Cohort 4 of the C-144-01 trial was enrolled to evaluate ORR as read out by an Independent Review Com</w:t>
      </w:r>
      <w:r>
        <w:rPr>
          <w:sz w:val="20"/>
          <w:szCs w:val="20"/>
        </w:rPr>
        <w:t>mittee, or IRC, as the primary endpoint based on our interpretation of discussions with the FDA as part of an End of Phase 2, or EOP2, meeting held with the FDA in the third quarter of 2018. In October 2018, based on the data provided to the FDA during the</w:t>
      </w:r>
      <w:r>
        <w:rPr>
          <w:sz w:val="20"/>
          <w:szCs w:val="20"/>
        </w:rPr>
        <w:t xml:space="preserve"> EOP2 meeting, we announced that lifileucel had received a Regenerative Medicines Advanced Therapy, or RMAT, designation from the FDA. Enrollment in Cohort 4 of the C-144-01 trial commenced in March 2019 and patient dosing was completed in January 2020. </w:t>
      </w:r>
    </w:p>
    <w:p w:rsidR="00000000" w:rsidRDefault="00F22B2C">
      <w:pPr>
        <w:pStyle w:val="a3"/>
        <w:spacing w:before="480" w:beforeAutospacing="0" w:after="0" w:afterAutospacing="0"/>
        <w:jc w:val="center"/>
        <w:divId w:val="560793873"/>
        <w:rPr>
          <w:sz w:val="20"/>
          <w:szCs w:val="20"/>
        </w:rPr>
      </w:pPr>
      <w:r>
        <w:rPr>
          <w:sz w:val="20"/>
          <w:szCs w:val="20"/>
        </w:rPr>
        <w:t>8</w:t>
      </w:r>
      <w:r>
        <w:rPr>
          <w:sz w:val="20"/>
          <w:szCs w:val="20"/>
        </w:rPr>
        <w:t>8</w:t>
      </w:r>
    </w:p>
    <w:p w:rsidR="00000000" w:rsidRDefault="00F22B2C">
      <w:pPr>
        <w:pStyle w:val="a3"/>
        <w:spacing w:before="0" w:beforeAutospacing="0" w:after="600" w:afterAutospacing="0"/>
        <w:divId w:val="1622883765"/>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ind w:firstLine="547"/>
        <w:divId w:val="1650162886"/>
        <w:rPr>
          <w:sz w:val="20"/>
          <w:szCs w:val="20"/>
        </w:rPr>
      </w:pPr>
      <w:r>
        <w:rPr>
          <w:sz w:val="20"/>
          <w:szCs w:val="20"/>
        </w:rPr>
        <w:t>​</w:t>
      </w:r>
    </w:p>
    <w:p w:rsidR="00000000" w:rsidRDefault="00F22B2C">
      <w:pPr>
        <w:pStyle w:val="a3"/>
        <w:spacing w:before="0" w:beforeAutospacing="0" w:after="0" w:afterAutospacing="0"/>
        <w:ind w:firstLine="547"/>
        <w:divId w:val="1650162886"/>
        <w:rPr>
          <w:sz w:val="20"/>
          <w:szCs w:val="20"/>
        </w:rPr>
      </w:pPr>
      <w:r>
        <w:rPr>
          <w:sz w:val="20"/>
          <w:szCs w:val="20"/>
        </w:rPr>
        <w:t xml:space="preserve">Previously, we reported the submission of additional potency assay data to the FDA, and at the same time, we also announced that we had reached agreement with the FDA on the minimum duration of follow up for </w:t>
      </w:r>
      <w:r>
        <w:rPr>
          <w:sz w:val="20"/>
          <w:szCs w:val="20"/>
        </w:rPr>
        <w:t>Cohort 4 to support our BLA submission for lifileucel in the treatment of metastatic melanoma. In May 2021, we announced that we had received regulatory feedback from the FDA regarding our potency assays for lifileucel. Following FDA feedback, we have cont</w:t>
      </w:r>
      <w:r>
        <w:rPr>
          <w:sz w:val="20"/>
          <w:szCs w:val="20"/>
        </w:rPr>
        <w:t>inued our ongoing work developing and validating our potency assays and have engaged in discussions with the FDA during the second half of 2021. Our BLA submission for lifileucel in metastatic melanoma is expected to occur during the first half of 2022. In</w:t>
      </w:r>
      <w:r>
        <w:rPr>
          <w:sz w:val="20"/>
          <w:szCs w:val="20"/>
        </w:rPr>
        <w:t xml:space="preserve"> connection with this BLA submission, the IRC is expected to independently assess responses for Cohort 4 patients through the data cut date, which must be completed prior to BLA submission or disclosure of IRC-read data.</w:t>
      </w:r>
    </w:p>
    <w:p w:rsidR="00000000" w:rsidRDefault="00F22B2C">
      <w:pPr>
        <w:pStyle w:val="a3"/>
        <w:spacing w:before="0" w:beforeAutospacing="0" w:after="0" w:afterAutospacing="0"/>
        <w:ind w:firstLine="547"/>
        <w:divId w:val="1650162886"/>
        <w:rPr>
          <w:sz w:val="20"/>
          <w:szCs w:val="20"/>
        </w:rPr>
      </w:pPr>
      <w:r>
        <w:rPr>
          <w:sz w:val="20"/>
          <w:szCs w:val="20"/>
        </w:rPr>
        <w:t>​</w:t>
      </w:r>
    </w:p>
    <w:p w:rsidR="00000000" w:rsidRDefault="00F22B2C">
      <w:pPr>
        <w:pStyle w:val="a3"/>
        <w:spacing w:before="0" w:beforeAutospacing="0" w:after="0" w:afterAutospacing="0"/>
        <w:ind w:firstLine="547"/>
        <w:divId w:val="1650162886"/>
        <w:rPr>
          <w:sz w:val="20"/>
          <w:szCs w:val="20"/>
        </w:rPr>
      </w:pPr>
      <w:r>
        <w:rPr>
          <w:sz w:val="20"/>
          <w:szCs w:val="20"/>
        </w:rPr>
        <w:t xml:space="preserve">We are also conducting a Phase 2 </w:t>
      </w:r>
      <w:r>
        <w:rPr>
          <w:sz w:val="20"/>
          <w:szCs w:val="20"/>
        </w:rPr>
        <w:t xml:space="preserve">clinical trial, C-145-04, which is a multicenter pivotal trial to assess the safety and efficacy of our lead product candidate lifileucel for the treatment of patients with recurrent, metastatic, or persistent cervical cancer. In February 2019, lifileucel </w:t>
      </w:r>
      <w:r>
        <w:rPr>
          <w:sz w:val="20"/>
          <w:szCs w:val="20"/>
        </w:rPr>
        <w:t>received Fast Track designation from the FDA for development in the treatment of cervical cancer with disease progression on or after chemotherapy. In March 2019, the protocol for this trial was amended to modify the primary endpoint of ORR to be determine</w:t>
      </w:r>
      <w:r>
        <w:rPr>
          <w:sz w:val="20"/>
          <w:szCs w:val="20"/>
        </w:rPr>
        <w:t>d by IRC. In May 2019, lifileucel received Breakthrough Therapy Designation, or BTD, from the FDA for development in the treatment of cervical cancer. Results from the C-145-04 clinical trial were reported at ASCO in June 2019. In November 2019, we amended</w:t>
      </w:r>
      <w:r>
        <w:rPr>
          <w:sz w:val="20"/>
          <w:szCs w:val="20"/>
        </w:rPr>
        <w:t xml:space="preserve"> the C-145-04 trial to collect additional data on early-line patients as well as late-line patients by adding additional cohorts, in anticipation of a changing landscape in this indication, including Cohort 2 for patients that had previously received chemo</w:t>
      </w:r>
      <w:r>
        <w:rPr>
          <w:sz w:val="20"/>
          <w:szCs w:val="20"/>
        </w:rPr>
        <w:t>therapy and anti-PD-1/anti-PD-L1 therapy. In January 2021, we announced that Cohort 2 of the C-145-04 trial had completed enrollment and that data from this cohort may be supportive of registration because of the expected changing landscape of care for cer</w:t>
      </w:r>
      <w:r>
        <w:rPr>
          <w:sz w:val="20"/>
          <w:szCs w:val="20"/>
        </w:rPr>
        <w:t xml:space="preserve">vical cancer patients. For example, because of recent regulatory approvals for pembrolizumab, there may be a potential shift from chemotherapy in front-line cervical cancer followed by pembrolizumab in second-line cervical cancer. We intend to execute our </w:t>
      </w:r>
      <w:r>
        <w:rPr>
          <w:sz w:val="20"/>
          <w:szCs w:val="20"/>
        </w:rPr>
        <w:t>strategy based on dialog and feedback on these cohorts and continue to plan for a potential BLA submission for lifileucel in cervical cancer.</w:t>
      </w:r>
    </w:p>
    <w:p w:rsidR="00000000" w:rsidRDefault="00F22B2C">
      <w:pPr>
        <w:pStyle w:val="a3"/>
        <w:spacing w:before="0" w:beforeAutospacing="0" w:after="0" w:afterAutospacing="0"/>
        <w:divId w:val="1650162886"/>
        <w:rPr>
          <w:sz w:val="20"/>
          <w:szCs w:val="20"/>
        </w:rPr>
      </w:pPr>
      <w:r>
        <w:rPr>
          <w:sz w:val="20"/>
          <w:szCs w:val="20"/>
        </w:rPr>
        <w:t>​</w:t>
      </w:r>
    </w:p>
    <w:p w:rsidR="00000000" w:rsidRDefault="00F22B2C">
      <w:pPr>
        <w:pStyle w:val="a3"/>
        <w:spacing w:before="0" w:beforeAutospacing="0" w:after="0" w:afterAutospacing="0"/>
        <w:ind w:firstLine="547"/>
        <w:divId w:val="1650162886"/>
        <w:rPr>
          <w:sz w:val="20"/>
          <w:szCs w:val="20"/>
        </w:rPr>
      </w:pPr>
      <w:r>
        <w:rPr>
          <w:sz w:val="20"/>
          <w:szCs w:val="20"/>
        </w:rPr>
        <w:t>In November 2020, we announced that we had finalized the protocol for our potential registrational clinical tria</w:t>
      </w:r>
      <w:r>
        <w:rPr>
          <w:sz w:val="20"/>
          <w:szCs w:val="20"/>
        </w:rPr>
        <w:t>l in NSCLC, IOV-LUN-202, to investigate LN-145 in patients with metastatic NSCLC, without driver mutations, who previously received a single line of approved systemic therapy of combined checkpoint inhibitor and chemotherapy. The IOV-LUN-202 clinical trial</w:t>
      </w:r>
      <w:r>
        <w:rPr>
          <w:sz w:val="20"/>
          <w:szCs w:val="20"/>
        </w:rPr>
        <w:t xml:space="preserve"> includes three cohorts. Cohorts 1 and 3 of the IOV-LUN-202 clinical trial are enrolling patients with a PD-L1 TPS of less than one percent at the time they started front-line therapy, and Cohort 2 will enroll patients with a PD-L1 TPS of greater than or e</w:t>
      </w:r>
      <w:r>
        <w:rPr>
          <w:sz w:val="20"/>
          <w:szCs w:val="20"/>
        </w:rPr>
        <w:t>qual to one percent at the time they started front-line therapy. Cohort 3 will also explore manufacturing TIL extracted from core biopsies using our third-generation, or Gen 3, manufacturing process. In June 2021, we reported that the first patient was dos</w:t>
      </w:r>
      <w:r>
        <w:rPr>
          <w:sz w:val="20"/>
          <w:szCs w:val="20"/>
        </w:rPr>
        <w:t>ed in the IOV-LUN-202 clinical trial. We intend to continue to enroll patients in the IOV-LUN-202 clinical trial throughout 2022. We are engaged in regulatory discussions with the FDA on IOV-LUN-202 and intend to incorporate FDA feedback to optimize this c</w:t>
      </w:r>
      <w:r>
        <w:rPr>
          <w:sz w:val="20"/>
          <w:szCs w:val="20"/>
        </w:rPr>
        <w:t>linical trial to support further registration in NSCLC.</w:t>
      </w:r>
    </w:p>
    <w:p w:rsidR="00000000" w:rsidRDefault="00F22B2C">
      <w:pPr>
        <w:pStyle w:val="a3"/>
        <w:spacing w:before="0" w:beforeAutospacing="0" w:after="0" w:afterAutospacing="0"/>
        <w:ind w:firstLine="547"/>
        <w:divId w:val="1650162886"/>
        <w:rPr>
          <w:sz w:val="20"/>
          <w:szCs w:val="20"/>
        </w:rPr>
      </w:pPr>
      <w:r>
        <w:rPr>
          <w:sz w:val="20"/>
          <w:szCs w:val="20"/>
        </w:rPr>
        <w:t>​</w:t>
      </w:r>
    </w:p>
    <w:p w:rsidR="00000000" w:rsidRDefault="00F22B2C">
      <w:pPr>
        <w:pStyle w:val="a3"/>
        <w:spacing w:before="0" w:beforeAutospacing="0" w:after="0" w:afterAutospacing="0"/>
        <w:ind w:firstLine="547"/>
        <w:divId w:val="1650162886"/>
        <w:rPr>
          <w:sz w:val="20"/>
          <w:szCs w:val="20"/>
        </w:rPr>
      </w:pPr>
      <w:r>
        <w:rPr>
          <w:sz w:val="20"/>
          <w:szCs w:val="20"/>
        </w:rPr>
        <w:t>In June 2021, we reported initial data for LN-145 in Cohort 3B of our IOV-COM-202 clinical trial in metastatic NSCLC. IOV-COM-202 is a Phase 2, multicenter trial for that is composed of seven cohort</w:t>
      </w:r>
      <w:r>
        <w:rPr>
          <w:sz w:val="20"/>
          <w:szCs w:val="20"/>
        </w:rPr>
        <w:t>s. Cohort 3B of IOV-COM-202 enrolled patients with metastatic NSCLC that had progressed on prior ICI therapy, including patients with oncogene-driven tumors who received prior tyrosine kinase inhibitor therapy. Patients were treated with LN-145 monotherapy</w:t>
      </w:r>
      <w:r>
        <w:rPr>
          <w:sz w:val="20"/>
          <w:szCs w:val="20"/>
        </w:rPr>
        <w:t>. All patients treated in Cohort 3B of the IOV-COM-202 trial received prior anti-PD-1/L1 therapy and all six responding patients also received prior chemotherapy. We also provided an update on Cohort 3B in November 2021, at the Society for Immunotherapy in</w:t>
      </w:r>
      <w:r>
        <w:rPr>
          <w:sz w:val="20"/>
          <w:szCs w:val="20"/>
        </w:rPr>
        <w:t xml:space="preserve"> Cancer Annual Meeting, or SITC. </w:t>
      </w:r>
    </w:p>
    <w:p w:rsidR="00000000" w:rsidRDefault="00F22B2C">
      <w:pPr>
        <w:pStyle w:val="a3"/>
        <w:spacing w:before="0" w:beforeAutospacing="0" w:after="0" w:afterAutospacing="0"/>
        <w:ind w:firstLine="547"/>
        <w:divId w:val="1650162886"/>
        <w:rPr>
          <w:sz w:val="20"/>
          <w:szCs w:val="20"/>
        </w:rPr>
      </w:pPr>
      <w:r>
        <w:rPr>
          <w:sz w:val="20"/>
          <w:szCs w:val="20"/>
        </w:rPr>
        <w:t>​</w:t>
      </w:r>
    </w:p>
    <w:p w:rsidR="00000000" w:rsidRDefault="00F22B2C">
      <w:pPr>
        <w:pStyle w:val="a3"/>
        <w:spacing w:before="0" w:beforeAutospacing="0" w:after="0" w:afterAutospacing="0"/>
        <w:ind w:firstLine="547"/>
        <w:divId w:val="1650162886"/>
        <w:rPr>
          <w:sz w:val="20"/>
          <w:szCs w:val="20"/>
        </w:rPr>
      </w:pPr>
      <w:r>
        <w:rPr>
          <w:sz w:val="20"/>
          <w:szCs w:val="20"/>
        </w:rPr>
        <w:t>C-145-03 is our Phase 2, multicenter trial to assess the safety and efficacy of our product candidate LN-145 for the treatment of patients with metastatic HNSCC. We redesigned our C-145-03 trial to include multiple cohor</w:t>
      </w:r>
      <w:r>
        <w:rPr>
          <w:sz w:val="20"/>
          <w:szCs w:val="20"/>
        </w:rPr>
        <w:t>ts, in order to allow for dosing of TIL therapies produced by multiple manufacturing methods, including our Gen 2 manufacturing process, our Gen 3 manufacturing process, and our PD-1 selected TIL manufacturing process. Our PD-1 selected TIL manufacturing p</w:t>
      </w:r>
      <w:r>
        <w:rPr>
          <w:sz w:val="20"/>
          <w:szCs w:val="20"/>
        </w:rPr>
        <w:t>rocess results in a product that we refer to as LN-145-S1. In January 2021, we announced that we are closing the C-145-03 clinical trial after the trial reached its pre-specified enrollment target.</w:t>
      </w:r>
    </w:p>
    <w:p w:rsidR="00000000" w:rsidRDefault="00F22B2C">
      <w:pPr>
        <w:pStyle w:val="a3"/>
        <w:spacing w:before="0" w:beforeAutospacing="0" w:after="0" w:afterAutospacing="0"/>
        <w:ind w:firstLine="547"/>
        <w:divId w:val="1650162886"/>
        <w:rPr>
          <w:sz w:val="20"/>
          <w:szCs w:val="20"/>
        </w:rPr>
      </w:pPr>
      <w:r>
        <w:rPr>
          <w:sz w:val="20"/>
          <w:szCs w:val="20"/>
        </w:rPr>
        <w:t>​</w:t>
      </w:r>
    </w:p>
    <w:p w:rsidR="00000000" w:rsidRDefault="00F22B2C">
      <w:pPr>
        <w:pStyle w:val="a3"/>
        <w:spacing w:before="0" w:beforeAutospacing="0" w:after="0" w:afterAutospacing="0"/>
        <w:divId w:val="1650162886"/>
        <w:rPr>
          <w:sz w:val="20"/>
          <w:szCs w:val="20"/>
        </w:rPr>
      </w:pPr>
      <w:r>
        <w:rPr>
          <w:i/>
          <w:iCs/>
          <w:sz w:val="20"/>
          <w:szCs w:val="20"/>
        </w:rPr>
        <w:t>TIL Combinations in Earlier Treatment Settings for Solid</w:t>
      </w:r>
      <w:r>
        <w:rPr>
          <w:i/>
          <w:iCs/>
          <w:sz w:val="20"/>
          <w:szCs w:val="20"/>
        </w:rPr>
        <w:t xml:space="preserve"> Tumors</w:t>
      </w:r>
    </w:p>
    <w:p w:rsidR="00000000" w:rsidRDefault="00F22B2C">
      <w:pPr>
        <w:pStyle w:val="a3"/>
        <w:spacing w:before="0" w:beforeAutospacing="0" w:after="0" w:afterAutospacing="0"/>
        <w:ind w:firstLine="547"/>
        <w:divId w:val="1650162886"/>
        <w:rPr>
          <w:sz w:val="20"/>
          <w:szCs w:val="20"/>
        </w:rPr>
      </w:pPr>
      <w:r>
        <w:rPr>
          <w:sz w:val="20"/>
          <w:szCs w:val="20"/>
        </w:rPr>
        <w:t>​</w:t>
      </w:r>
    </w:p>
    <w:p w:rsidR="00000000" w:rsidRDefault="00F22B2C">
      <w:pPr>
        <w:pStyle w:val="a3"/>
        <w:spacing w:before="0" w:beforeAutospacing="0" w:after="0" w:afterAutospacing="0"/>
        <w:ind w:firstLine="547"/>
        <w:divId w:val="1650162886"/>
        <w:rPr>
          <w:sz w:val="20"/>
          <w:szCs w:val="20"/>
        </w:rPr>
      </w:pPr>
      <w:r>
        <w:rPr>
          <w:sz w:val="20"/>
          <w:szCs w:val="20"/>
        </w:rPr>
        <w:t>We are also investigating the potential of our TIL therapies in earlier lines of treatment in combination with pembrolizumab or other ICIs in cancer patients who are naïve to anti-PD-1 therapy, including in four cohorts in our IOV-COM-202 study i</w:t>
      </w:r>
      <w:r>
        <w:rPr>
          <w:sz w:val="20"/>
          <w:szCs w:val="20"/>
        </w:rPr>
        <w:t xml:space="preserve">n solid tumors </w:t>
      </w:r>
    </w:p>
    <w:p w:rsidR="00000000" w:rsidRDefault="00F22B2C">
      <w:pPr>
        <w:pStyle w:val="a3"/>
        <w:spacing w:before="480" w:beforeAutospacing="0" w:after="0" w:afterAutospacing="0"/>
        <w:jc w:val="center"/>
        <w:divId w:val="1590044442"/>
        <w:rPr>
          <w:sz w:val="20"/>
          <w:szCs w:val="20"/>
        </w:rPr>
      </w:pPr>
      <w:r>
        <w:rPr>
          <w:sz w:val="20"/>
          <w:szCs w:val="20"/>
        </w:rPr>
        <w:t>89</w:t>
      </w:r>
    </w:p>
    <w:p w:rsidR="00000000" w:rsidRDefault="00F22B2C">
      <w:pPr>
        <w:pStyle w:val="a3"/>
        <w:spacing w:before="0" w:beforeAutospacing="0" w:after="600" w:afterAutospacing="0"/>
        <w:divId w:val="1364357303"/>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divId w:val="1135752130"/>
        <w:rPr>
          <w:sz w:val="20"/>
          <w:szCs w:val="20"/>
        </w:rPr>
      </w:pPr>
      <w:r>
        <w:rPr>
          <w:sz w:val="20"/>
          <w:szCs w:val="20"/>
        </w:rPr>
        <w:t>as well as in one cohort in our C-145-04 clinical study in cervical cancer. In addition to its ongoing enrollment in the U.S., the IOV-COM-202 trial has also received regulatory approval in Can</w:t>
      </w:r>
      <w:r>
        <w:rPr>
          <w:sz w:val="20"/>
          <w:szCs w:val="20"/>
        </w:rPr>
        <w:t>ada and in certain European countries.</w:t>
      </w:r>
    </w:p>
    <w:p w:rsidR="00000000" w:rsidRDefault="00F22B2C">
      <w:pPr>
        <w:pStyle w:val="a3"/>
        <w:spacing w:before="0" w:beforeAutospacing="0" w:after="0" w:afterAutospacing="0"/>
        <w:ind w:firstLine="547"/>
        <w:divId w:val="1135752130"/>
        <w:rPr>
          <w:sz w:val="20"/>
          <w:szCs w:val="20"/>
        </w:rPr>
      </w:pPr>
      <w:r>
        <w:rPr>
          <w:sz w:val="20"/>
          <w:szCs w:val="20"/>
        </w:rPr>
        <w:t>​</w:t>
      </w:r>
    </w:p>
    <w:p w:rsidR="00000000" w:rsidRDefault="00F22B2C">
      <w:pPr>
        <w:pStyle w:val="a3"/>
        <w:spacing w:before="0" w:beforeAutospacing="0" w:after="0" w:afterAutospacing="0"/>
        <w:ind w:firstLine="547"/>
        <w:divId w:val="1135752130"/>
        <w:rPr>
          <w:sz w:val="20"/>
          <w:szCs w:val="20"/>
        </w:rPr>
      </w:pPr>
      <w:r>
        <w:rPr>
          <w:sz w:val="20"/>
          <w:szCs w:val="20"/>
        </w:rPr>
        <w:t>In Cohort 1A of the IOV-COM-202 trial, we are enrolling advanced unresectable or metastatic melanoma patients who are naïve to anti-PD-1 therapy. In Cohort 2A of the IOV-COM-202 trial, we are enrolling advanced, rec</w:t>
      </w:r>
      <w:r>
        <w:rPr>
          <w:sz w:val="20"/>
          <w:szCs w:val="20"/>
        </w:rPr>
        <w:t xml:space="preserve">urrent, or metastatic HNSCC patients who are naïve to prior immunotherapy including anti-PD-1/anti-PD-L1 therapy. The patients receive LN-145 in combination with pembrolizumab. In Cohort 3, which is our C-145-04 cervical cancer study, patients receive TIL </w:t>
      </w:r>
      <w:r>
        <w:rPr>
          <w:sz w:val="20"/>
          <w:szCs w:val="20"/>
        </w:rPr>
        <w:t>plus pembrolizumab. We reported results from ongoing Cohort 1A of the IOV-COM-202 trial at ASCO in June 2021, as well as provided updated results in November 2021 at SITC. Our oral presentation at SITC in November 2021 also included initial results for TIL</w:t>
      </w:r>
      <w:r>
        <w:rPr>
          <w:sz w:val="20"/>
          <w:szCs w:val="20"/>
        </w:rPr>
        <w:t xml:space="preserve"> therapy plus pembrolizumab for patients enrolled in Cohort 3 of our C-145-04 cervical cancer study. </w:t>
      </w:r>
    </w:p>
    <w:p w:rsidR="00000000" w:rsidRDefault="00F22B2C">
      <w:pPr>
        <w:pStyle w:val="a3"/>
        <w:spacing w:before="0" w:beforeAutospacing="0" w:after="0" w:afterAutospacing="0"/>
        <w:ind w:firstLine="547"/>
        <w:divId w:val="1135752130"/>
        <w:rPr>
          <w:sz w:val="20"/>
          <w:szCs w:val="20"/>
        </w:rPr>
      </w:pPr>
      <w:r>
        <w:rPr>
          <w:sz w:val="20"/>
          <w:szCs w:val="20"/>
        </w:rPr>
        <w:t>​</w:t>
      </w:r>
    </w:p>
    <w:p w:rsidR="00000000" w:rsidRDefault="00F22B2C">
      <w:pPr>
        <w:pStyle w:val="a3"/>
        <w:spacing w:before="0" w:beforeAutospacing="0" w:after="240" w:afterAutospacing="0"/>
        <w:ind w:firstLine="547"/>
        <w:divId w:val="1135752130"/>
        <w:rPr>
          <w:sz w:val="20"/>
          <w:szCs w:val="20"/>
        </w:rPr>
      </w:pPr>
      <w:r>
        <w:rPr>
          <w:sz w:val="20"/>
          <w:szCs w:val="20"/>
        </w:rPr>
        <w:t>The Cohort 1A and Cohort 2A results from the IOV-COM-202 study as well as Cohort 3 from the C-145-04 study demonstrated that lifileucel or LN-145 can be safely combined with pembrolizumab. The treatment emergent adverse event, or TEAE, profile in all Cohor</w:t>
      </w:r>
      <w:r>
        <w:rPr>
          <w:sz w:val="20"/>
          <w:szCs w:val="20"/>
        </w:rPr>
        <w:t>ts was consistent with the underlying advanced disease and the known adverse event profiles of pembrolizumab, lymphodepletion, and IL-2 regimens. Two additional cohorts, Cohort 3A and 3C in the IOV-COM-202 study, explore LN-145/ICI combination therapies in</w:t>
      </w:r>
      <w:r>
        <w:rPr>
          <w:sz w:val="20"/>
          <w:szCs w:val="20"/>
        </w:rPr>
        <w:t xml:space="preserve"> NSCLC patients. Cohort 3A is evaluating LN-145 in combination with pembrolizumab in patients with recurrent or metastatic NSCLC who have not received prior immunotherapy, including checkpoint inhibitors. Cohort 3C is investigating LN-145 therapy in combin</w:t>
      </w:r>
      <w:r>
        <w:rPr>
          <w:sz w:val="20"/>
          <w:szCs w:val="20"/>
        </w:rPr>
        <w:t>ation with ipilimumab and nivolumab in patients with recurrent or metastatic NSCLC who have previously received one line of approved checkpoint inhibitor monotherapy as the only prior line of systemic therapy.</w:t>
      </w:r>
    </w:p>
    <w:p w:rsidR="00000000" w:rsidRDefault="00F22B2C">
      <w:pPr>
        <w:pStyle w:val="a3"/>
        <w:spacing w:before="0" w:beforeAutospacing="0" w:after="240" w:afterAutospacing="0"/>
        <w:ind w:firstLine="547"/>
        <w:divId w:val="1135752130"/>
        <w:rPr>
          <w:sz w:val="20"/>
          <w:szCs w:val="20"/>
        </w:rPr>
      </w:pPr>
      <w:r>
        <w:rPr>
          <w:sz w:val="20"/>
          <w:szCs w:val="20"/>
        </w:rPr>
        <w:t>In September 2021, we announced that our Iovan</w:t>
      </w:r>
      <w:r>
        <w:rPr>
          <w:sz w:val="20"/>
          <w:szCs w:val="20"/>
        </w:rPr>
        <w:t xml:space="preserve">ce Cell Therapy Center, or the </w:t>
      </w:r>
      <w:r>
        <w:rPr>
          <w:i/>
          <w:iCs/>
          <w:sz w:val="20"/>
          <w:szCs w:val="20"/>
        </w:rPr>
        <w:t>i</w:t>
      </w:r>
      <w:r>
        <w:rPr>
          <w:sz w:val="20"/>
          <w:szCs w:val="20"/>
        </w:rPr>
        <w:t>CTC, had successfully manufactured and delivered its first clinical batch of LN-145 for the IOV-COM-202 trial, representing our first internally manufactured TIL product. We continue to supply the IOV-COM-202 trial, and othe</w:t>
      </w:r>
      <w:r>
        <w:rPr>
          <w:sz w:val="20"/>
          <w:szCs w:val="20"/>
        </w:rPr>
        <w:t>r ongoing trials, with both internally manufactured and externally manufactured TIL products</w:t>
      </w:r>
      <w:r>
        <w:rPr>
          <w:sz w:val="20"/>
          <w:szCs w:val="20"/>
        </w:rPr>
        <w:t>.</w:t>
      </w:r>
    </w:p>
    <w:p w:rsidR="00000000" w:rsidRDefault="00F22B2C">
      <w:pPr>
        <w:pStyle w:val="a3"/>
        <w:spacing w:before="0" w:beforeAutospacing="0" w:after="0" w:afterAutospacing="0"/>
        <w:divId w:val="1135752130"/>
        <w:rPr>
          <w:sz w:val="20"/>
          <w:szCs w:val="20"/>
        </w:rPr>
      </w:pPr>
      <w:r>
        <w:rPr>
          <w:i/>
          <w:iCs/>
          <w:sz w:val="20"/>
          <w:szCs w:val="20"/>
        </w:rPr>
        <w:t>Next-Generation and Genetically Modified Product Candidates</w:t>
      </w:r>
    </w:p>
    <w:p w:rsidR="00000000" w:rsidRDefault="00F22B2C">
      <w:pPr>
        <w:pStyle w:val="a3"/>
        <w:spacing w:before="0" w:beforeAutospacing="0" w:after="0" w:afterAutospacing="0"/>
        <w:divId w:val="1135752130"/>
        <w:rPr>
          <w:sz w:val="20"/>
          <w:szCs w:val="20"/>
        </w:rPr>
      </w:pPr>
      <w:r>
        <w:rPr>
          <w:i/>
          <w:iCs/>
          <w:sz w:val="20"/>
          <w:szCs w:val="20"/>
        </w:rPr>
        <w:t>​</w:t>
      </w:r>
    </w:p>
    <w:p w:rsidR="00000000" w:rsidRDefault="00F22B2C">
      <w:pPr>
        <w:pStyle w:val="a3"/>
        <w:spacing w:before="0" w:beforeAutospacing="0" w:after="0" w:afterAutospacing="0"/>
        <w:ind w:firstLine="547"/>
        <w:divId w:val="1135752130"/>
        <w:rPr>
          <w:sz w:val="20"/>
          <w:szCs w:val="20"/>
        </w:rPr>
      </w:pPr>
      <w:r>
        <w:rPr>
          <w:sz w:val="20"/>
          <w:szCs w:val="20"/>
        </w:rPr>
        <w:t>Our clinical pipeline also includes next generation TIL product candidates and manufacturing process</w:t>
      </w:r>
      <w:r>
        <w:rPr>
          <w:sz w:val="20"/>
          <w:szCs w:val="20"/>
        </w:rPr>
        <w:t>es, as well as a cytokine-engrafted protein. Our TIL candidate LN-145-S1, in which TIL are selected for PD-1 expression, is being investigated in post-anti-PD-1 melanoma in Cohort 1B of our IOV-COM-202 basket study as well as in post-anti-PD-1 HNSCC in Coh</w:t>
      </w:r>
      <w:r>
        <w:rPr>
          <w:sz w:val="20"/>
          <w:szCs w:val="20"/>
        </w:rPr>
        <w:t>ort 4 of our C-145-03 trial.</w:t>
      </w:r>
    </w:p>
    <w:p w:rsidR="00000000" w:rsidRDefault="00F22B2C">
      <w:pPr>
        <w:pStyle w:val="a3"/>
        <w:spacing w:before="0" w:beforeAutospacing="0" w:after="0" w:afterAutospacing="0"/>
        <w:ind w:firstLine="547"/>
        <w:divId w:val="1135752130"/>
        <w:rPr>
          <w:sz w:val="20"/>
          <w:szCs w:val="20"/>
        </w:rPr>
      </w:pPr>
      <w:r>
        <w:rPr>
          <w:sz w:val="20"/>
          <w:szCs w:val="20"/>
        </w:rPr>
        <w:t>​</w:t>
      </w:r>
    </w:p>
    <w:p w:rsidR="00000000" w:rsidRDefault="00F22B2C">
      <w:pPr>
        <w:pStyle w:val="a3"/>
        <w:spacing w:before="0" w:beforeAutospacing="0" w:after="0" w:afterAutospacing="0"/>
        <w:ind w:firstLine="547"/>
        <w:divId w:val="1135752130"/>
        <w:rPr>
          <w:sz w:val="20"/>
          <w:szCs w:val="20"/>
        </w:rPr>
      </w:pPr>
      <w:r>
        <w:rPr>
          <w:sz w:val="20"/>
          <w:szCs w:val="20"/>
        </w:rPr>
        <w:t xml:space="preserve">We are using our Gen 3 manufacturing process in Cohort 1C of the IOV-COM-202 clinical trial in melanoma and in Cohort 3 of the IOV-LUN-202 clinical trial in NSCLC and have previously used it in the C-145-03 clinical trial in </w:t>
      </w:r>
      <w:r>
        <w:rPr>
          <w:sz w:val="20"/>
          <w:szCs w:val="20"/>
        </w:rPr>
        <w:t xml:space="preserve">HNSCC. </w:t>
      </w:r>
    </w:p>
    <w:p w:rsidR="00000000" w:rsidRDefault="00F22B2C">
      <w:pPr>
        <w:pStyle w:val="a3"/>
        <w:spacing w:before="0" w:beforeAutospacing="0" w:after="0" w:afterAutospacing="0"/>
        <w:ind w:firstLine="547"/>
        <w:divId w:val="1135752130"/>
        <w:rPr>
          <w:sz w:val="20"/>
          <w:szCs w:val="20"/>
        </w:rPr>
      </w:pPr>
      <w:r>
        <w:rPr>
          <w:sz w:val="20"/>
          <w:szCs w:val="20"/>
        </w:rPr>
        <w:t>​</w:t>
      </w:r>
    </w:p>
    <w:p w:rsidR="00000000" w:rsidRDefault="00F22B2C">
      <w:pPr>
        <w:pStyle w:val="a3"/>
        <w:spacing w:before="0" w:beforeAutospacing="0" w:after="0" w:afterAutospacing="0"/>
        <w:ind w:firstLine="547"/>
        <w:divId w:val="1135752130"/>
        <w:rPr>
          <w:sz w:val="20"/>
          <w:szCs w:val="20"/>
        </w:rPr>
      </w:pPr>
      <w:r>
        <w:rPr>
          <w:sz w:val="20"/>
          <w:szCs w:val="20"/>
        </w:rPr>
        <w:t>In November 2019, we announced that our Investigational New Drug, or IND, application for our PBL therapy, IOV-2001, was authorized by the FDA. Our sponsored clinical trial using this therapy, IOV-CLL-01, was cleared to proceed and patient dosing</w:t>
      </w:r>
      <w:r>
        <w:rPr>
          <w:sz w:val="20"/>
          <w:szCs w:val="20"/>
        </w:rPr>
        <w:t xml:space="preserve"> began in 2020. IOV-2001 is a non-genetically modified, polyclonal T cell product that is manufactured using a nine-day process starting from 50 mL of patient's blood. IOV-CLL-01 is a Phase 1/2 clinical trial evaluating the safety and efficacy of IOV-2001 </w:t>
      </w:r>
      <w:r>
        <w:rPr>
          <w:sz w:val="20"/>
          <w:szCs w:val="20"/>
        </w:rPr>
        <w:t xml:space="preserve">in patients with relapsed or refractory CLL or SLL. </w:t>
      </w:r>
    </w:p>
    <w:p w:rsidR="00000000" w:rsidRDefault="00F22B2C">
      <w:pPr>
        <w:pStyle w:val="a3"/>
        <w:spacing w:before="0" w:beforeAutospacing="0" w:after="0" w:afterAutospacing="0"/>
        <w:ind w:firstLine="547"/>
        <w:divId w:val="1135752130"/>
        <w:rPr>
          <w:sz w:val="20"/>
          <w:szCs w:val="20"/>
        </w:rPr>
      </w:pPr>
      <w:r>
        <w:rPr>
          <w:sz w:val="20"/>
          <w:szCs w:val="20"/>
        </w:rPr>
        <w:t>​</w:t>
      </w:r>
    </w:p>
    <w:p w:rsidR="00000000" w:rsidRDefault="00F22B2C">
      <w:pPr>
        <w:pStyle w:val="a3"/>
        <w:spacing w:before="0" w:beforeAutospacing="0" w:after="0" w:afterAutospacing="0"/>
        <w:ind w:firstLine="547"/>
        <w:divId w:val="1135752130"/>
        <w:rPr>
          <w:sz w:val="20"/>
          <w:szCs w:val="20"/>
        </w:rPr>
      </w:pPr>
      <w:r>
        <w:rPr>
          <w:sz w:val="20"/>
          <w:szCs w:val="20"/>
        </w:rPr>
        <w:t>In January 2020, we announced a research collaboration and exclusive worldwide licensing agreement with Cellectis S.A., or Cellectis, a clinical-stage biopharmaceutical company focused on developing im</w:t>
      </w:r>
      <w:r>
        <w:rPr>
          <w:sz w:val="20"/>
          <w:szCs w:val="20"/>
        </w:rPr>
        <w:t>munotherapies based on gene-edited allogeneic chimeric antigen receptor modified T cells. The worldwide exclusive license enables us to use certain TALEN® technology addressing multiple gene targets to develop TIL that have been genetically modified to cre</w:t>
      </w:r>
      <w:r>
        <w:rPr>
          <w:sz w:val="20"/>
          <w:szCs w:val="20"/>
        </w:rPr>
        <w:t>ate potentially more potent cancer therapeutics for use in several cancer indications. We are nearing completion of IND-enabling studies under this agreement and expect to initiate our first clinical study in 2022 of a genetically modified TIL product cand</w:t>
      </w:r>
      <w:r>
        <w:rPr>
          <w:sz w:val="20"/>
          <w:szCs w:val="20"/>
        </w:rPr>
        <w:t>idate, IOV-4001, in which the gene coding for the PD-1 protein is inactivated. Financial terms of the license include development, regulatory and sales milestone payments from us to Cellectis, as well as royalty payments based on net sales of TALEN-modifie</w:t>
      </w:r>
      <w:r>
        <w:rPr>
          <w:sz w:val="20"/>
          <w:szCs w:val="20"/>
        </w:rPr>
        <w:t>d TIL products. In addition to IOV-4001, we are currently developing additional targets for genetic modification using the TALEN technology, including double-knock out programs in preclinical development.</w:t>
      </w:r>
    </w:p>
    <w:p w:rsidR="00000000" w:rsidRDefault="00F22B2C">
      <w:pPr>
        <w:pStyle w:val="a3"/>
        <w:spacing w:before="0" w:beforeAutospacing="0" w:after="0" w:afterAutospacing="0"/>
        <w:ind w:firstLine="547"/>
        <w:divId w:val="1135752130"/>
        <w:rPr>
          <w:sz w:val="20"/>
          <w:szCs w:val="20"/>
        </w:rPr>
      </w:pPr>
      <w:r>
        <w:rPr>
          <w:sz w:val="20"/>
          <w:szCs w:val="20"/>
        </w:rPr>
        <w:t>​</w:t>
      </w:r>
    </w:p>
    <w:p w:rsidR="00000000" w:rsidRDefault="00F22B2C">
      <w:pPr>
        <w:pStyle w:val="a3"/>
        <w:spacing w:before="0" w:beforeAutospacing="0" w:after="0" w:afterAutospacing="0"/>
        <w:ind w:firstLine="547"/>
        <w:divId w:val="1135752130"/>
        <w:rPr>
          <w:sz w:val="20"/>
          <w:szCs w:val="20"/>
        </w:rPr>
      </w:pPr>
      <w:r>
        <w:rPr>
          <w:sz w:val="20"/>
          <w:szCs w:val="20"/>
        </w:rPr>
        <w:t>We continue to explore additional transient and p</w:t>
      </w:r>
      <w:r>
        <w:rPr>
          <w:sz w:val="20"/>
          <w:szCs w:val="20"/>
        </w:rPr>
        <w:t>ermanent genetic modifications of TILs. For example, under the amended and restated patent license agreement we entered into May 2021 with National Institutes of Health, or NIH, an agency of the U.S. Public Health Service within the Department of Health an</w:t>
      </w:r>
      <w:r>
        <w:rPr>
          <w:sz w:val="20"/>
          <w:szCs w:val="20"/>
        </w:rPr>
        <w:t xml:space="preserve">d Human Services, we license a patent family related to cytokine-tethered TILs, </w:t>
      </w:r>
    </w:p>
    <w:p w:rsidR="00000000" w:rsidRDefault="00F22B2C">
      <w:pPr>
        <w:pStyle w:val="a3"/>
        <w:spacing w:before="480" w:beforeAutospacing="0" w:after="0" w:afterAutospacing="0"/>
        <w:jc w:val="center"/>
        <w:divId w:val="1068958807"/>
        <w:rPr>
          <w:sz w:val="20"/>
          <w:szCs w:val="20"/>
        </w:rPr>
      </w:pPr>
      <w:r>
        <w:rPr>
          <w:sz w:val="20"/>
          <w:szCs w:val="20"/>
        </w:rPr>
        <w:t>90</w:t>
      </w:r>
    </w:p>
    <w:p w:rsidR="00000000" w:rsidRDefault="00F22B2C">
      <w:pPr>
        <w:pStyle w:val="a3"/>
        <w:spacing w:before="0" w:beforeAutospacing="0" w:after="600" w:afterAutospacing="0"/>
        <w:divId w:val="799759533"/>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divId w:val="140116611"/>
        <w:rPr>
          <w:sz w:val="20"/>
          <w:szCs w:val="20"/>
        </w:rPr>
      </w:pPr>
      <w:r>
        <w:rPr>
          <w:sz w:val="20"/>
          <w:szCs w:val="20"/>
        </w:rPr>
        <w:t>which are intended to potentially expand and activate TILs to achieve better efficacy while avoiding systemic side effects of cy</w:t>
      </w:r>
      <w:r>
        <w:rPr>
          <w:sz w:val="20"/>
          <w:szCs w:val="20"/>
        </w:rPr>
        <w:t>tokines. We are currently developing cytokine-tethered TIL products in preclinical studies.</w:t>
      </w:r>
    </w:p>
    <w:p w:rsidR="00000000" w:rsidRDefault="00F22B2C">
      <w:pPr>
        <w:pStyle w:val="a3"/>
        <w:spacing w:before="0" w:beforeAutospacing="0" w:after="0" w:afterAutospacing="0"/>
        <w:ind w:firstLine="547"/>
        <w:divId w:val="140116611"/>
        <w:rPr>
          <w:sz w:val="20"/>
          <w:szCs w:val="20"/>
        </w:rPr>
      </w:pPr>
      <w:r>
        <w:rPr>
          <w:sz w:val="20"/>
          <w:szCs w:val="20"/>
        </w:rPr>
        <w:t>​</w:t>
      </w:r>
    </w:p>
    <w:p w:rsidR="00000000" w:rsidRDefault="00F22B2C">
      <w:pPr>
        <w:pStyle w:val="a3"/>
        <w:spacing w:before="0" w:beforeAutospacing="0" w:after="0" w:afterAutospacing="0"/>
        <w:ind w:firstLine="547"/>
        <w:divId w:val="140116611"/>
        <w:rPr>
          <w:sz w:val="20"/>
          <w:szCs w:val="20"/>
        </w:rPr>
      </w:pPr>
      <w:r>
        <w:rPr>
          <w:sz w:val="20"/>
          <w:szCs w:val="20"/>
        </w:rPr>
        <w:t>In addition, in January 2020, we obtained a license from Novartis Pharma AG, or Novartis, to develop and commercialize an antibody cytokine-engrafted protein, whi</w:t>
      </w:r>
      <w:r>
        <w:rPr>
          <w:sz w:val="20"/>
          <w:szCs w:val="20"/>
        </w:rPr>
        <w:t xml:space="preserve">ch we refer to as IOV-3001. Under the agreement, we paid an upfront payment to Novartis and may pay milestones involved in initiation of patient dosing in various phases of clinical development for IOV-3001 and approval of a potential product in the U.S., </w:t>
      </w:r>
      <w:r>
        <w:rPr>
          <w:sz w:val="20"/>
          <w:szCs w:val="20"/>
        </w:rPr>
        <w:t>EU, and Japan. We are currently conducting IND enabling studies of this novel IL-2 analog. Novartis is also entitled to low-to-mid single digit percentage royalties from commercial sales of IOV-3001.</w:t>
      </w:r>
    </w:p>
    <w:p w:rsidR="00000000" w:rsidRDefault="00F22B2C">
      <w:pPr>
        <w:pStyle w:val="a3"/>
        <w:spacing w:before="0" w:beforeAutospacing="0" w:after="0" w:afterAutospacing="0"/>
        <w:ind w:firstLine="547"/>
        <w:divId w:val="140116611"/>
        <w:rPr>
          <w:sz w:val="20"/>
          <w:szCs w:val="20"/>
        </w:rPr>
      </w:pPr>
      <w:r>
        <w:rPr>
          <w:sz w:val="20"/>
          <w:szCs w:val="20"/>
        </w:rPr>
        <w:t>​</w:t>
      </w:r>
    </w:p>
    <w:p w:rsidR="00000000" w:rsidRDefault="00F22B2C">
      <w:pPr>
        <w:pStyle w:val="a3"/>
        <w:spacing w:before="0" w:beforeAutospacing="0" w:after="0" w:afterAutospacing="0"/>
        <w:divId w:val="140116611"/>
        <w:rPr>
          <w:sz w:val="20"/>
          <w:szCs w:val="20"/>
        </w:rPr>
      </w:pPr>
      <w:r>
        <w:rPr>
          <w:i/>
          <w:iCs/>
          <w:sz w:val="20"/>
          <w:szCs w:val="20"/>
        </w:rPr>
        <w:t xml:space="preserve">Investigator-Sponsored Trials </w:t>
      </w:r>
    </w:p>
    <w:p w:rsidR="00000000" w:rsidRDefault="00F22B2C">
      <w:pPr>
        <w:pStyle w:val="a3"/>
        <w:spacing w:before="0" w:beforeAutospacing="0" w:after="0" w:afterAutospacing="0"/>
        <w:ind w:firstLine="547"/>
        <w:divId w:val="140116611"/>
        <w:rPr>
          <w:sz w:val="20"/>
          <w:szCs w:val="20"/>
        </w:rPr>
      </w:pPr>
      <w:r>
        <w:rPr>
          <w:sz w:val="20"/>
          <w:szCs w:val="20"/>
        </w:rPr>
        <w:t>​</w:t>
      </w:r>
    </w:p>
    <w:p w:rsidR="00000000" w:rsidRDefault="00F22B2C">
      <w:pPr>
        <w:pStyle w:val="a3"/>
        <w:spacing w:before="0" w:beforeAutospacing="0" w:after="0" w:afterAutospacing="0"/>
        <w:ind w:firstLine="547"/>
        <w:divId w:val="140116611"/>
        <w:rPr>
          <w:sz w:val="20"/>
          <w:szCs w:val="20"/>
        </w:rPr>
      </w:pPr>
      <w:r>
        <w:rPr>
          <w:sz w:val="20"/>
          <w:szCs w:val="20"/>
        </w:rPr>
        <w:t xml:space="preserve">Through our academic </w:t>
      </w:r>
      <w:r>
        <w:rPr>
          <w:sz w:val="20"/>
          <w:szCs w:val="20"/>
        </w:rPr>
        <w:t xml:space="preserve">collaborators, we are also exploring the potential for TIL therapies in additional indications. As part of our collaboration program with The University of Texas M.D. Anderson Cancer Center, or MDACC, two Phase 2 trials were initiated in 2018. Both trials </w:t>
      </w:r>
      <w:r>
        <w:rPr>
          <w:sz w:val="20"/>
          <w:szCs w:val="20"/>
        </w:rPr>
        <w:t>are sponsored by MDACC. The first trial, NCT03449108, investigates LN-145 manufactured by us, using our manufacturing processes, to treat patients with soft tissue sarcoma, osteosarcoma, platinum resistant ovarian cancer, and thyroid cancer. A second trial</w:t>
      </w:r>
      <w:r>
        <w:rPr>
          <w:sz w:val="20"/>
          <w:szCs w:val="20"/>
        </w:rPr>
        <w:t xml:space="preserve"> under the collaboration with MDACC, NCT03610490, was previously active. This trial treated patients with platinum resistant ovarian cancer, pancreatic and colorectal cancer with TIL manufactured by MDACC. The data obtained using this manufacturing process</w:t>
      </w:r>
      <w:r>
        <w:rPr>
          <w:sz w:val="20"/>
          <w:szCs w:val="20"/>
        </w:rPr>
        <w:t xml:space="preserve"> may not be representative of our data using our Gen 2 manufacturing process. We also collaborate with many other academic institutions using our TIL therapies. For example, a trial in collaboration with The Ohio State University, NCT05176470, is expected </w:t>
      </w:r>
      <w:r>
        <w:rPr>
          <w:sz w:val="20"/>
          <w:szCs w:val="20"/>
        </w:rPr>
        <w:t>to start recruiting in 2022, and explores the use of lifileucel in high-risk melanoma in the neoadjuvant setting.</w:t>
      </w:r>
    </w:p>
    <w:p w:rsidR="00000000" w:rsidRDefault="00F22B2C">
      <w:pPr>
        <w:pStyle w:val="a3"/>
        <w:spacing w:before="0" w:beforeAutospacing="0" w:after="0" w:afterAutospacing="0"/>
        <w:divId w:val="140116611"/>
        <w:rPr>
          <w:sz w:val="20"/>
          <w:szCs w:val="20"/>
        </w:rPr>
      </w:pPr>
      <w:r>
        <w:rPr>
          <w:sz w:val="20"/>
          <w:szCs w:val="20"/>
        </w:rPr>
        <w:t>​</w:t>
      </w:r>
    </w:p>
    <w:p w:rsidR="00000000" w:rsidRDefault="00F22B2C">
      <w:pPr>
        <w:pStyle w:val="a3"/>
        <w:spacing w:before="0" w:beforeAutospacing="0" w:after="0" w:afterAutospacing="0"/>
        <w:divId w:val="140116611"/>
        <w:rPr>
          <w:sz w:val="20"/>
          <w:szCs w:val="20"/>
        </w:rPr>
      </w:pPr>
      <w:r>
        <w:rPr>
          <w:i/>
          <w:iCs/>
          <w:sz w:val="20"/>
          <w:szCs w:val="20"/>
        </w:rPr>
        <w:t>Intellectual Property</w:t>
      </w:r>
    </w:p>
    <w:p w:rsidR="00000000" w:rsidRDefault="00F22B2C">
      <w:pPr>
        <w:pStyle w:val="a3"/>
        <w:spacing w:before="0" w:beforeAutospacing="0" w:after="0" w:afterAutospacing="0"/>
        <w:divId w:val="140116611"/>
        <w:rPr>
          <w:sz w:val="20"/>
          <w:szCs w:val="20"/>
        </w:rPr>
      </w:pPr>
      <w:r>
        <w:rPr>
          <w:sz w:val="20"/>
          <w:szCs w:val="20"/>
        </w:rPr>
        <w:t>​</w:t>
      </w:r>
    </w:p>
    <w:p w:rsidR="00000000" w:rsidRDefault="00F22B2C">
      <w:pPr>
        <w:pStyle w:val="a3"/>
        <w:spacing w:before="0" w:beforeAutospacing="0" w:after="240" w:afterAutospacing="0"/>
        <w:ind w:firstLine="720"/>
        <w:divId w:val="140116611"/>
        <w:rPr>
          <w:sz w:val="20"/>
          <w:szCs w:val="20"/>
        </w:rPr>
      </w:pPr>
      <w:r>
        <w:rPr>
          <w:sz w:val="20"/>
          <w:szCs w:val="20"/>
        </w:rPr>
        <w:t xml:space="preserve">We have developed our own patent portfolio based on internal research and development activities. As a result, we now own a number of pending patent applications and granted patents in the fields of TIL therapy, MIL therapy, and PBL therapy, TIL, MIL, and </w:t>
      </w:r>
      <w:r>
        <w:rPr>
          <w:sz w:val="20"/>
          <w:szCs w:val="20"/>
        </w:rPr>
        <w:t>PBL manufacturing processes, and TIL, MIL, and PBL expansion methods. For example, we currently own more than 35 U.S. patents related to TIL therapy, including patents directed to compositions and methods of treatment in a broad range of cancers, such as U</w:t>
      </w:r>
      <w:r>
        <w:rPr>
          <w:sz w:val="20"/>
          <w:szCs w:val="20"/>
        </w:rPr>
        <w:t xml:space="preserve">.S. Patent Nos. 10,130,659; 10,166,257; 10,272,113; 10,363,273; 10,398,734; 10,420,799; 10,463,697; 10,517,894; 10,537,595; 10,639,330; 10,646,517; 10,653,723; 10,695,372; 10,894,063; 10,905,718; 10,918,666; 10,925,900; 10,933,094; 10,946,044; 10,946,045; </w:t>
      </w:r>
      <w:r>
        <w:rPr>
          <w:sz w:val="20"/>
          <w:szCs w:val="20"/>
        </w:rPr>
        <w:t>10,953,046; 10,953,047; 11,007,225; 11,007,226; 11,013,770; 11,026,974; 11,040,070; 11,052,115; 11,052,116; 11,058,728; 11,083,752; 11,123,371; 11,141,438 11,168,303; 11,168,304; 11,179,419; 11,202,803; 11,202,804; and 11,241,456. More than 30 of these pat</w:t>
      </w:r>
      <w:r>
        <w:rPr>
          <w:sz w:val="20"/>
          <w:szCs w:val="20"/>
        </w:rPr>
        <w:t>ents are related to our Gen 2 TIL manufacturing processes and have terms that we anticipate will extend to January 2038, not including any patent term extensions or adjustments that may be available. Our owned and licensed intellectual property portfolio a</w:t>
      </w:r>
      <w:r>
        <w:rPr>
          <w:sz w:val="20"/>
          <w:szCs w:val="20"/>
        </w:rPr>
        <w:t xml:space="preserve">lso includes patent applications relating to TIL, MIL, and PBL therapies; frozen tumor-based TIL technologies; remnant TIL and digest TIL compositions, methods and processes; methods of treatment of a broad range of cancers using TIL therapies; methods of </w:t>
      </w:r>
      <w:r>
        <w:rPr>
          <w:sz w:val="20"/>
          <w:szCs w:val="20"/>
        </w:rPr>
        <w:t>manufacturing TIL, MIL, and PBL therapies; the use of costimulatory molecules in TIL therapy and manufacturing; stable and transient genetically-modified TIL therapies; methods of using ICIs in combination with TIL therapies; TIL selection technologies; an</w:t>
      </w:r>
      <w:r>
        <w:rPr>
          <w:sz w:val="20"/>
          <w:szCs w:val="20"/>
        </w:rPr>
        <w:t>d methods of treating patient subpopulations</w:t>
      </w:r>
      <w:r>
        <w:rPr>
          <w:sz w:val="20"/>
          <w:szCs w:val="20"/>
        </w:rPr>
        <w:t>.</w:t>
      </w:r>
    </w:p>
    <w:p w:rsidR="00000000" w:rsidRDefault="00F22B2C">
      <w:pPr>
        <w:pStyle w:val="a3"/>
        <w:spacing w:before="0" w:beforeAutospacing="0" w:after="240" w:afterAutospacing="0"/>
        <w:divId w:val="140116611"/>
        <w:rPr>
          <w:sz w:val="20"/>
          <w:szCs w:val="20"/>
        </w:rPr>
      </w:pPr>
      <w:r>
        <w:rPr>
          <w:b/>
          <w:bCs/>
          <w:i/>
          <w:iCs/>
          <w:sz w:val="20"/>
          <w:szCs w:val="20"/>
        </w:rPr>
        <w:t>Impact of COVID-19 on our Business</w:t>
      </w:r>
    </w:p>
    <w:p w:rsidR="00000000" w:rsidRDefault="00F22B2C">
      <w:pPr>
        <w:pStyle w:val="a3"/>
        <w:spacing w:before="0" w:beforeAutospacing="0" w:after="240" w:afterAutospacing="0"/>
        <w:divId w:val="140116611"/>
        <w:rPr>
          <w:sz w:val="20"/>
          <w:szCs w:val="20"/>
        </w:rPr>
      </w:pPr>
      <w:r>
        <w:rPr>
          <w:i/>
          <w:iCs/>
          <w:sz w:val="20"/>
          <w:szCs w:val="20"/>
        </w:rPr>
        <w:t>Operations and Liquidity</w:t>
      </w:r>
    </w:p>
    <w:p w:rsidR="00000000" w:rsidRDefault="00F22B2C">
      <w:pPr>
        <w:pStyle w:val="a3"/>
        <w:spacing w:before="0" w:beforeAutospacing="0" w:after="240" w:afterAutospacing="0"/>
        <w:ind w:firstLine="540"/>
        <w:divId w:val="140116611"/>
        <w:rPr>
          <w:sz w:val="20"/>
          <w:szCs w:val="20"/>
        </w:rPr>
      </w:pPr>
      <w:r>
        <w:rPr>
          <w:sz w:val="20"/>
          <w:szCs w:val="20"/>
        </w:rPr>
        <w:t>The full impact of the novel strain of coronavirus, or COVID-19, pandemic is unknown and rapidly evolving. While the potential economic impact brought</w:t>
      </w:r>
      <w:r>
        <w:rPr>
          <w:sz w:val="20"/>
          <w:szCs w:val="20"/>
        </w:rPr>
        <w:t xml:space="preserve"> by and over the duration of the COVID-19 pandemic may be difficult to assess or predict, the COVID-19 pandemic has resulted in significant disruption of global financial markets, which could in the future negatively affect our liquidity. In addition, a re</w:t>
      </w:r>
      <w:r>
        <w:rPr>
          <w:sz w:val="20"/>
          <w:szCs w:val="20"/>
        </w:rPr>
        <w:t>cession or market volatility resulting from the COVID-19 pandemic could affect our business. We have taken proactive, aggressive action throughout the COVID-19 pandemic to protect the health and safety of our employees and expect to continue to implement t</w:t>
      </w:r>
      <w:r>
        <w:rPr>
          <w:sz w:val="20"/>
          <w:szCs w:val="20"/>
        </w:rPr>
        <w:t>hese measures until we determine that the COVID-19 pandemic is adequately contained for purposes of our business. We may take further actions as government authorities require or recommend or as we determine to be in the best interests of our employees. We</w:t>
      </w:r>
      <w:r>
        <w:rPr>
          <w:sz w:val="20"/>
          <w:szCs w:val="20"/>
        </w:rPr>
        <w:t xml:space="preserve"> do not believe that the COVID-19 pandemic had a material impact on our liquidity or results of operations for the year ended December 31, 2021. Further, to date, the COVID-19 pandemic has not had significant effects on our clinical trial enrollment. Given</w:t>
      </w:r>
      <w:r>
        <w:rPr>
          <w:sz w:val="20"/>
          <w:szCs w:val="20"/>
        </w:rPr>
        <w:t xml:space="preserve"> the nature and type of our short-term investments in U.S. government securities, we do not believe that the COVID-19 pandemic will have a material impact on our current investment liquidity.</w:t>
      </w:r>
    </w:p>
    <w:p w:rsidR="00000000" w:rsidRDefault="00F22B2C">
      <w:pPr>
        <w:pStyle w:val="a3"/>
        <w:spacing w:before="480" w:beforeAutospacing="0" w:after="0" w:afterAutospacing="0"/>
        <w:jc w:val="center"/>
        <w:divId w:val="1862938342"/>
        <w:rPr>
          <w:sz w:val="20"/>
          <w:szCs w:val="20"/>
        </w:rPr>
      </w:pPr>
      <w:r>
        <w:rPr>
          <w:sz w:val="20"/>
          <w:szCs w:val="20"/>
        </w:rPr>
        <w:t>91</w:t>
      </w:r>
    </w:p>
    <w:p w:rsidR="00000000" w:rsidRDefault="00F22B2C">
      <w:pPr>
        <w:pStyle w:val="a3"/>
        <w:spacing w:before="0" w:beforeAutospacing="0" w:after="600" w:afterAutospacing="0"/>
        <w:divId w:val="2063670609"/>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227110608"/>
        <w:rPr>
          <w:sz w:val="20"/>
          <w:szCs w:val="20"/>
        </w:rPr>
      </w:pPr>
      <w:r>
        <w:rPr>
          <w:i/>
          <w:iCs/>
          <w:sz w:val="20"/>
          <w:szCs w:val="20"/>
        </w:rPr>
        <w:t>Outlook</w:t>
      </w:r>
    </w:p>
    <w:p w:rsidR="00000000" w:rsidRDefault="00F22B2C">
      <w:pPr>
        <w:pStyle w:val="a3"/>
        <w:spacing w:before="0" w:beforeAutospacing="0" w:after="0" w:afterAutospacing="0"/>
        <w:ind w:firstLine="547"/>
        <w:divId w:val="1227110608"/>
        <w:rPr>
          <w:sz w:val="20"/>
          <w:szCs w:val="20"/>
        </w:rPr>
      </w:pPr>
      <w:r>
        <w:rPr>
          <w:sz w:val="20"/>
          <w:szCs w:val="20"/>
        </w:rPr>
        <w:t>Although there is uncertainty related to the anticipated impact of the recent COVID-19 pandemic on our future results, we believe our current cash reserves leave us well-positioned to manage our business through this crisis as it continues to unfold. Howev</w:t>
      </w:r>
      <w:r>
        <w:rPr>
          <w:sz w:val="20"/>
          <w:szCs w:val="20"/>
        </w:rPr>
        <w:t>er, the impacts of the COVID-19 pandemic are broad-reaching and continuing and the financial impacts associated with the COVID-19 pandemic are still uncertain.</w:t>
      </w:r>
    </w:p>
    <w:p w:rsidR="00000000" w:rsidRDefault="00F22B2C">
      <w:pPr>
        <w:pStyle w:val="a3"/>
        <w:spacing w:before="0" w:beforeAutospacing="0" w:after="0" w:afterAutospacing="0"/>
        <w:ind w:firstLine="547"/>
        <w:divId w:val="1227110608"/>
        <w:rPr>
          <w:sz w:val="20"/>
          <w:szCs w:val="20"/>
        </w:rPr>
      </w:pPr>
      <w:r>
        <w:rPr>
          <w:sz w:val="20"/>
          <w:szCs w:val="20"/>
        </w:rPr>
        <w:t>​</w:t>
      </w:r>
    </w:p>
    <w:p w:rsidR="00000000" w:rsidRDefault="00F22B2C">
      <w:pPr>
        <w:pStyle w:val="a3"/>
        <w:spacing w:before="0" w:beforeAutospacing="0" w:after="0" w:afterAutospacing="0"/>
        <w:ind w:firstLine="547"/>
        <w:divId w:val="1227110608"/>
        <w:rPr>
          <w:sz w:val="20"/>
          <w:szCs w:val="20"/>
        </w:rPr>
      </w:pPr>
      <w:r>
        <w:rPr>
          <w:sz w:val="20"/>
          <w:szCs w:val="20"/>
        </w:rPr>
        <w:t xml:space="preserve">The COVID-19 pandemic is ongoing, and its dynamic nature, including uncertainties relating to </w:t>
      </w:r>
      <w:r>
        <w:rPr>
          <w:sz w:val="20"/>
          <w:szCs w:val="20"/>
        </w:rPr>
        <w:t>the ultimate geographic spread of the virus, the severity of the disease, the duration of the pandemic, and actions that would be taken by governmental authorities to contain the pandemic or to treat its impact, makes it difficult to forecast any effects o</w:t>
      </w:r>
      <w:r>
        <w:rPr>
          <w:sz w:val="20"/>
          <w:szCs w:val="20"/>
        </w:rPr>
        <w:t>n our results for the fiscal year ending December 31, 2022.</w:t>
      </w:r>
    </w:p>
    <w:p w:rsidR="00000000" w:rsidRDefault="00F22B2C">
      <w:pPr>
        <w:pStyle w:val="a3"/>
        <w:spacing w:before="0" w:beforeAutospacing="0" w:after="0" w:afterAutospacing="0"/>
        <w:ind w:firstLine="547"/>
        <w:divId w:val="1227110608"/>
        <w:rPr>
          <w:sz w:val="20"/>
          <w:szCs w:val="20"/>
        </w:rPr>
      </w:pPr>
      <w:r>
        <w:rPr>
          <w:sz w:val="20"/>
          <w:szCs w:val="20"/>
        </w:rPr>
        <w:t>​</w:t>
      </w:r>
    </w:p>
    <w:p w:rsidR="00000000" w:rsidRDefault="00F22B2C">
      <w:pPr>
        <w:pStyle w:val="a3"/>
        <w:spacing w:before="0" w:beforeAutospacing="0" w:after="0" w:afterAutospacing="0"/>
        <w:ind w:firstLine="547"/>
        <w:divId w:val="1227110608"/>
        <w:rPr>
          <w:sz w:val="20"/>
          <w:szCs w:val="20"/>
        </w:rPr>
      </w:pPr>
      <w:r>
        <w:rPr>
          <w:sz w:val="20"/>
          <w:szCs w:val="20"/>
        </w:rPr>
        <w:t>Despite the economic uncertainty resulting from the COVID-19 pandemic, we intend to continue to focus on the development of our product candidates. We continue to monitor the rapidly evolving si</w:t>
      </w:r>
      <w:r>
        <w:rPr>
          <w:sz w:val="20"/>
          <w:szCs w:val="20"/>
        </w:rPr>
        <w:t>tuation and guidance from international and domestic authorities, including federal, state and local public health authorities and may take additional actions based on their recommendations. In these circumstances, there may be developments outside our con</w:t>
      </w:r>
      <w:r>
        <w:rPr>
          <w:sz w:val="20"/>
          <w:szCs w:val="20"/>
        </w:rPr>
        <w:t>trol requiring us to adjust our operating plan. As such, given the dynamic nature of this situation, we cannot reasonably estimate the impacts of COVID-19 on our financial condition, results of operations or cash flows in the future.</w:t>
      </w:r>
    </w:p>
    <w:p w:rsidR="00000000" w:rsidRDefault="00F22B2C">
      <w:pPr>
        <w:pStyle w:val="a3"/>
        <w:spacing w:before="0" w:beforeAutospacing="0" w:after="0" w:afterAutospacing="0"/>
        <w:ind w:firstLine="547"/>
        <w:divId w:val="1227110608"/>
        <w:rPr>
          <w:sz w:val="20"/>
          <w:szCs w:val="20"/>
        </w:rPr>
      </w:pPr>
      <w:r>
        <w:rPr>
          <w:sz w:val="20"/>
          <w:szCs w:val="20"/>
        </w:rPr>
        <w:t>​</w:t>
      </w:r>
    </w:p>
    <w:p w:rsidR="00000000" w:rsidRDefault="00F22B2C">
      <w:pPr>
        <w:pStyle w:val="a3"/>
        <w:spacing w:before="0" w:beforeAutospacing="0" w:after="0" w:afterAutospacing="0"/>
        <w:divId w:val="1227110608"/>
        <w:rPr>
          <w:sz w:val="20"/>
          <w:szCs w:val="20"/>
        </w:rPr>
      </w:pPr>
      <w:r>
        <w:rPr>
          <w:b/>
          <w:bCs/>
          <w:sz w:val="20"/>
          <w:szCs w:val="20"/>
        </w:rPr>
        <w:t>Components of Operat</w:t>
      </w:r>
      <w:r>
        <w:rPr>
          <w:b/>
          <w:bCs/>
          <w:sz w:val="20"/>
          <w:szCs w:val="20"/>
        </w:rPr>
        <w:t>ing Results</w:t>
      </w:r>
    </w:p>
    <w:p w:rsidR="00000000" w:rsidRDefault="00F22B2C">
      <w:pPr>
        <w:pStyle w:val="a3"/>
        <w:spacing w:before="0" w:beforeAutospacing="0" w:after="0" w:afterAutospacing="0"/>
        <w:divId w:val="1227110608"/>
        <w:rPr>
          <w:sz w:val="20"/>
          <w:szCs w:val="20"/>
        </w:rPr>
      </w:pPr>
      <w:r>
        <w:rPr>
          <w:b/>
          <w:bCs/>
          <w:sz w:val="20"/>
          <w:szCs w:val="20"/>
        </w:rPr>
        <w:t>​</w:t>
      </w:r>
    </w:p>
    <w:p w:rsidR="00000000" w:rsidRDefault="00F22B2C">
      <w:pPr>
        <w:pStyle w:val="a3"/>
        <w:spacing w:before="0" w:beforeAutospacing="0" w:after="0" w:afterAutospacing="0"/>
        <w:divId w:val="1227110608"/>
        <w:rPr>
          <w:sz w:val="20"/>
          <w:szCs w:val="20"/>
        </w:rPr>
      </w:pPr>
      <w:r>
        <w:rPr>
          <w:i/>
          <w:iCs/>
          <w:sz w:val="20"/>
          <w:szCs w:val="20"/>
        </w:rPr>
        <w:t>Revenues</w:t>
      </w:r>
    </w:p>
    <w:p w:rsidR="00000000" w:rsidRDefault="00F22B2C">
      <w:pPr>
        <w:pStyle w:val="a3"/>
        <w:spacing w:before="0" w:beforeAutospacing="0" w:after="0" w:afterAutospacing="0"/>
        <w:ind w:firstLine="547"/>
        <w:divId w:val="1227110608"/>
        <w:rPr>
          <w:sz w:val="20"/>
          <w:szCs w:val="20"/>
        </w:rPr>
      </w:pPr>
      <w:r>
        <w:rPr>
          <w:sz w:val="20"/>
          <w:szCs w:val="20"/>
        </w:rPr>
        <w:t>​</w:t>
      </w:r>
    </w:p>
    <w:p w:rsidR="00000000" w:rsidRDefault="00F22B2C">
      <w:pPr>
        <w:pStyle w:val="a3"/>
        <w:spacing w:before="0" w:beforeAutospacing="0" w:after="0" w:afterAutospacing="0"/>
        <w:ind w:firstLine="547"/>
        <w:divId w:val="1227110608"/>
        <w:rPr>
          <w:sz w:val="20"/>
          <w:szCs w:val="20"/>
        </w:rPr>
      </w:pPr>
      <w:r>
        <w:rPr>
          <w:sz w:val="20"/>
          <w:szCs w:val="20"/>
        </w:rPr>
        <w:t>We have not yet generated any revenues since our formation, and we currently do not anticipate that we will generate any significant revenues from the sale or licensing of our product candidates during the 12 months from the date these financial statements</w:t>
      </w:r>
      <w:r>
        <w:rPr>
          <w:sz w:val="20"/>
          <w:szCs w:val="20"/>
        </w:rPr>
        <w:t xml:space="preserve"> are issued. Our ability to generate revenues in the future will depend on our ability to complete the development of our product candidates and to obtain regulatory approval for them.</w:t>
      </w:r>
    </w:p>
    <w:p w:rsidR="00000000" w:rsidRDefault="00F22B2C">
      <w:pPr>
        <w:pStyle w:val="a3"/>
        <w:spacing w:before="0" w:beforeAutospacing="0" w:after="0" w:afterAutospacing="0"/>
        <w:divId w:val="1227110608"/>
        <w:rPr>
          <w:sz w:val="20"/>
          <w:szCs w:val="20"/>
        </w:rPr>
      </w:pPr>
      <w:r>
        <w:rPr>
          <w:b/>
          <w:bCs/>
          <w:sz w:val="20"/>
          <w:szCs w:val="20"/>
        </w:rPr>
        <w:t>​</w:t>
      </w:r>
    </w:p>
    <w:p w:rsidR="00000000" w:rsidRDefault="00F22B2C">
      <w:pPr>
        <w:pStyle w:val="a3"/>
        <w:spacing w:before="0" w:beforeAutospacing="0" w:after="0" w:afterAutospacing="0"/>
        <w:divId w:val="1227110608"/>
        <w:rPr>
          <w:sz w:val="20"/>
          <w:szCs w:val="20"/>
        </w:rPr>
      </w:pPr>
      <w:r>
        <w:rPr>
          <w:b/>
          <w:bCs/>
          <w:sz w:val="20"/>
          <w:szCs w:val="20"/>
        </w:rPr>
        <w:t>Operating Expenses</w:t>
      </w:r>
    </w:p>
    <w:p w:rsidR="00000000" w:rsidRDefault="00F22B2C">
      <w:pPr>
        <w:pStyle w:val="a3"/>
        <w:spacing w:before="0" w:beforeAutospacing="0" w:after="0" w:afterAutospacing="0"/>
        <w:divId w:val="1227110608"/>
        <w:rPr>
          <w:sz w:val="20"/>
          <w:szCs w:val="20"/>
        </w:rPr>
      </w:pPr>
      <w:r>
        <w:rPr>
          <w:b/>
          <w:bCs/>
          <w:sz w:val="20"/>
          <w:szCs w:val="20"/>
        </w:rPr>
        <w:t>​</w:t>
      </w:r>
    </w:p>
    <w:p w:rsidR="00000000" w:rsidRDefault="00F22B2C">
      <w:pPr>
        <w:pStyle w:val="a3"/>
        <w:spacing w:before="0" w:beforeAutospacing="0" w:after="0" w:afterAutospacing="0"/>
        <w:divId w:val="1227110608"/>
        <w:rPr>
          <w:sz w:val="20"/>
          <w:szCs w:val="20"/>
        </w:rPr>
      </w:pPr>
      <w:r>
        <w:rPr>
          <w:i/>
          <w:iCs/>
          <w:sz w:val="20"/>
          <w:szCs w:val="20"/>
        </w:rPr>
        <w:t>Research and Development</w:t>
      </w:r>
    </w:p>
    <w:p w:rsidR="00000000" w:rsidRDefault="00F22B2C">
      <w:pPr>
        <w:pStyle w:val="a3"/>
        <w:spacing w:before="0" w:beforeAutospacing="0" w:after="0" w:afterAutospacing="0"/>
        <w:divId w:val="1227110608"/>
        <w:rPr>
          <w:sz w:val="20"/>
          <w:szCs w:val="20"/>
        </w:rPr>
      </w:pPr>
      <w:r>
        <w:rPr>
          <w:i/>
          <w:iCs/>
          <w:sz w:val="20"/>
          <w:szCs w:val="20"/>
        </w:rPr>
        <w:t>​</w:t>
      </w:r>
    </w:p>
    <w:p w:rsidR="00000000" w:rsidRDefault="00F22B2C">
      <w:pPr>
        <w:pStyle w:val="a3"/>
        <w:spacing w:before="0" w:beforeAutospacing="0" w:after="0" w:afterAutospacing="0"/>
        <w:ind w:firstLine="547"/>
        <w:divId w:val="1227110608"/>
        <w:rPr>
          <w:sz w:val="20"/>
          <w:szCs w:val="20"/>
        </w:rPr>
      </w:pPr>
      <w:r>
        <w:rPr>
          <w:sz w:val="20"/>
          <w:szCs w:val="20"/>
        </w:rPr>
        <w:t>Research and developm</w:t>
      </w:r>
      <w:r>
        <w:rPr>
          <w:sz w:val="20"/>
          <w:szCs w:val="20"/>
        </w:rPr>
        <w:t>ent expenses include personnel and facility-related expenses, outside contracted services including clinical trial costs, manufacturing and process development costs, research costs and other consulting services. Research and development costs are expensed</w:t>
      </w:r>
      <w:r>
        <w:rPr>
          <w:sz w:val="20"/>
          <w:szCs w:val="20"/>
        </w:rPr>
        <w:t xml:space="preserve"> as incurred. Nonrefundable advance payments for goods or services that will be used or rendered for future research and development activities are deferred and amortized over the period that the goods are delivered, or the related services are performed, </w:t>
      </w:r>
      <w:r>
        <w:rPr>
          <w:sz w:val="20"/>
          <w:szCs w:val="20"/>
        </w:rPr>
        <w:t>subject to an assessment of recoverability.</w:t>
      </w:r>
    </w:p>
    <w:p w:rsidR="00000000" w:rsidRDefault="00F22B2C">
      <w:pPr>
        <w:pStyle w:val="a3"/>
        <w:spacing w:before="0" w:beforeAutospacing="0" w:after="0" w:afterAutospacing="0"/>
        <w:ind w:firstLine="547"/>
        <w:divId w:val="1227110608"/>
        <w:rPr>
          <w:sz w:val="20"/>
          <w:szCs w:val="20"/>
        </w:rPr>
      </w:pPr>
      <w:r>
        <w:rPr>
          <w:sz w:val="20"/>
          <w:szCs w:val="20"/>
        </w:rPr>
        <w:t>​</w:t>
      </w:r>
    </w:p>
    <w:p w:rsidR="00000000" w:rsidRDefault="00F22B2C">
      <w:pPr>
        <w:pStyle w:val="a3"/>
        <w:spacing w:before="0" w:beforeAutospacing="0" w:after="0" w:afterAutospacing="0"/>
        <w:ind w:firstLine="547"/>
        <w:divId w:val="1227110608"/>
        <w:rPr>
          <w:sz w:val="20"/>
          <w:szCs w:val="20"/>
        </w:rPr>
      </w:pPr>
      <w:r>
        <w:rPr>
          <w:sz w:val="20"/>
          <w:szCs w:val="20"/>
        </w:rPr>
        <w:t>Clinical development costs are a significant component of research and development expenses. We have a history of contracting with third parties that perform various clinical trial activities on our behalf in c</w:t>
      </w:r>
      <w:r>
        <w:rPr>
          <w:sz w:val="20"/>
          <w:szCs w:val="20"/>
        </w:rPr>
        <w:t>onnection with the ongoing development of our product candidates. The financial terms of these contracts are subject to negotiations and may vary from contract to contract and may result in uneven payment flow. We accrue and expense costs for clinical tria</w:t>
      </w:r>
      <w:r>
        <w:rPr>
          <w:sz w:val="20"/>
          <w:szCs w:val="20"/>
        </w:rPr>
        <w:t>l activities performed by third parties based upon estimates of work completed to date of the individual trial in accordance with agreements established with contract research organizations and clinical trial sites. The duration, costs and timing of our cl</w:t>
      </w:r>
      <w:r>
        <w:rPr>
          <w:sz w:val="20"/>
          <w:szCs w:val="20"/>
        </w:rPr>
        <w:t>inical trials and development of our product candidates will depend on a number of factors that include, but are not limited to, the number of patients that enroll in the trial, per patient trial costs, number of sites included in the trial, discontinuatio</w:t>
      </w:r>
      <w:r>
        <w:rPr>
          <w:sz w:val="20"/>
          <w:szCs w:val="20"/>
        </w:rPr>
        <w:t xml:space="preserve">n rates of patients, duration of patient follow-up, efficacy and safety profile of the product candidate, and the length of time required to enroll eligible patients. </w:t>
      </w:r>
    </w:p>
    <w:p w:rsidR="00000000" w:rsidRDefault="00F22B2C">
      <w:pPr>
        <w:pStyle w:val="a3"/>
        <w:spacing w:before="0" w:beforeAutospacing="0" w:after="0" w:afterAutospacing="0"/>
        <w:ind w:firstLine="547"/>
        <w:divId w:val="1227110608"/>
        <w:rPr>
          <w:sz w:val="20"/>
          <w:szCs w:val="20"/>
        </w:rPr>
      </w:pPr>
      <w:r>
        <w:rPr>
          <w:sz w:val="20"/>
          <w:szCs w:val="20"/>
        </w:rPr>
        <w:t>​</w:t>
      </w:r>
    </w:p>
    <w:p w:rsidR="00000000" w:rsidRDefault="00F22B2C">
      <w:pPr>
        <w:pStyle w:val="a3"/>
        <w:spacing w:before="0" w:beforeAutospacing="0" w:after="0" w:afterAutospacing="0"/>
        <w:ind w:firstLine="547"/>
        <w:divId w:val="1227110608"/>
        <w:rPr>
          <w:sz w:val="20"/>
          <w:szCs w:val="20"/>
        </w:rPr>
      </w:pPr>
      <w:r>
        <w:rPr>
          <w:sz w:val="20"/>
          <w:szCs w:val="20"/>
        </w:rPr>
        <w:t xml:space="preserve">We expect our research and development expenses to continue to increase as we prepare </w:t>
      </w:r>
      <w:r>
        <w:rPr>
          <w:sz w:val="20"/>
          <w:szCs w:val="20"/>
        </w:rPr>
        <w:t>for commercial manufacturing of our products and continue to conduct our clinical trials for other indications. However, it is difficult to determine with certainty the duration and completion costs of our current or future preclinical programs and clinica</w:t>
      </w:r>
      <w:r>
        <w:rPr>
          <w:sz w:val="20"/>
          <w:szCs w:val="20"/>
        </w:rPr>
        <w:t>l trials of our product candidates.</w:t>
      </w:r>
    </w:p>
    <w:p w:rsidR="00000000" w:rsidRDefault="00F22B2C">
      <w:pPr>
        <w:pStyle w:val="a3"/>
        <w:spacing w:before="0" w:beforeAutospacing="0" w:after="0" w:afterAutospacing="0"/>
        <w:divId w:val="1227110608"/>
        <w:rPr>
          <w:sz w:val="20"/>
          <w:szCs w:val="20"/>
        </w:rPr>
      </w:pPr>
      <w:r>
        <w:rPr>
          <w:sz w:val="20"/>
          <w:szCs w:val="20"/>
        </w:rPr>
        <w:t>​</w:t>
      </w:r>
    </w:p>
    <w:p w:rsidR="00000000" w:rsidRDefault="00F22B2C">
      <w:pPr>
        <w:pStyle w:val="a3"/>
        <w:spacing w:before="480" w:beforeAutospacing="0" w:after="0" w:afterAutospacing="0"/>
        <w:jc w:val="center"/>
        <w:divId w:val="522325065"/>
        <w:rPr>
          <w:sz w:val="20"/>
          <w:szCs w:val="20"/>
        </w:rPr>
      </w:pPr>
      <w:r>
        <w:rPr>
          <w:sz w:val="20"/>
          <w:szCs w:val="20"/>
        </w:rPr>
        <w:t>92</w:t>
      </w:r>
    </w:p>
    <w:p w:rsidR="00000000" w:rsidRDefault="00F22B2C">
      <w:pPr>
        <w:pStyle w:val="a3"/>
        <w:spacing w:before="0" w:beforeAutospacing="0" w:after="600" w:afterAutospacing="0"/>
        <w:divId w:val="386563748"/>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divId w:val="1299992621"/>
        <w:rPr>
          <w:sz w:val="20"/>
          <w:szCs w:val="20"/>
        </w:rPr>
      </w:pPr>
      <w:r>
        <w:rPr>
          <w:i/>
          <w:iCs/>
          <w:sz w:val="20"/>
          <w:szCs w:val="20"/>
        </w:rPr>
        <w:t>General and Administrative</w:t>
      </w:r>
    </w:p>
    <w:p w:rsidR="00000000" w:rsidRDefault="00F22B2C">
      <w:pPr>
        <w:pStyle w:val="a3"/>
        <w:spacing w:before="0" w:beforeAutospacing="0" w:after="0" w:afterAutospacing="0"/>
        <w:divId w:val="1299992621"/>
        <w:rPr>
          <w:sz w:val="20"/>
          <w:szCs w:val="20"/>
        </w:rPr>
      </w:pPr>
      <w:r>
        <w:rPr>
          <w:i/>
          <w:iCs/>
          <w:sz w:val="20"/>
          <w:szCs w:val="20"/>
        </w:rPr>
        <w:t>​</w:t>
      </w:r>
    </w:p>
    <w:p w:rsidR="00000000" w:rsidRDefault="00F22B2C">
      <w:pPr>
        <w:pStyle w:val="a3"/>
        <w:spacing w:before="0" w:beforeAutospacing="0" w:after="0" w:afterAutospacing="0"/>
        <w:ind w:firstLine="547"/>
        <w:divId w:val="1299992621"/>
        <w:rPr>
          <w:sz w:val="20"/>
          <w:szCs w:val="20"/>
        </w:rPr>
      </w:pPr>
      <w:r>
        <w:rPr>
          <w:sz w:val="20"/>
          <w:szCs w:val="20"/>
        </w:rPr>
        <w:t>General and administrative expenses consist primarily of salaries and other related costs, including stock-based compensation, for personnel i</w:t>
      </w:r>
      <w:r>
        <w:rPr>
          <w:sz w:val="20"/>
          <w:szCs w:val="20"/>
        </w:rPr>
        <w:t>n executive, finance, accounting, legal, investor relations, facilities, business development, marketing, commercial, information technology and human resources functions. Other significant costs include facility costs not otherwise included in research an</w:t>
      </w:r>
      <w:r>
        <w:rPr>
          <w:sz w:val="20"/>
          <w:szCs w:val="20"/>
        </w:rPr>
        <w:t>d development expenses, legal fees relating to corporate matters and intellectual property, insurance, public company expenses relating to maintaining compliance with Nasdaq listing rules and SEC requirements, investor relations costs, and fees for account</w:t>
      </w:r>
      <w:r>
        <w:rPr>
          <w:sz w:val="20"/>
          <w:szCs w:val="20"/>
        </w:rPr>
        <w:t>ing and consulting services. General and administrative costs are expensed as incurred, and we accrue for services provided by third parties related to the above expenses by monitoring the status of services provided and receiving estimates from its servic</w:t>
      </w:r>
      <w:r>
        <w:rPr>
          <w:sz w:val="20"/>
          <w:szCs w:val="20"/>
        </w:rPr>
        <w:t>e providers and adjusting its accruals as actual costs become known.</w:t>
      </w:r>
    </w:p>
    <w:p w:rsidR="00000000" w:rsidRDefault="00F22B2C">
      <w:pPr>
        <w:pStyle w:val="a3"/>
        <w:spacing w:before="0" w:beforeAutospacing="0" w:after="0" w:afterAutospacing="0"/>
        <w:ind w:firstLine="547"/>
        <w:divId w:val="1299992621"/>
        <w:rPr>
          <w:sz w:val="20"/>
          <w:szCs w:val="20"/>
        </w:rPr>
      </w:pPr>
      <w:r>
        <w:rPr>
          <w:sz w:val="20"/>
          <w:szCs w:val="20"/>
        </w:rPr>
        <w:t>​</w:t>
      </w:r>
    </w:p>
    <w:p w:rsidR="00000000" w:rsidRDefault="00F22B2C">
      <w:pPr>
        <w:pStyle w:val="a3"/>
        <w:spacing w:before="0" w:beforeAutospacing="0" w:after="0" w:afterAutospacing="0"/>
        <w:ind w:firstLine="547"/>
        <w:divId w:val="1299992621"/>
        <w:rPr>
          <w:sz w:val="20"/>
          <w:szCs w:val="20"/>
        </w:rPr>
      </w:pPr>
      <w:r>
        <w:rPr>
          <w:sz w:val="20"/>
          <w:szCs w:val="20"/>
        </w:rPr>
        <w:t>We anticipate general and administrative expenses will increase as we continue to prepare for commercialization and support an expected growth of the internal general and administrative</w:t>
      </w:r>
      <w:r>
        <w:rPr>
          <w:sz w:val="20"/>
          <w:szCs w:val="20"/>
        </w:rPr>
        <w:t xml:space="preserve"> team.</w:t>
      </w:r>
    </w:p>
    <w:p w:rsidR="00000000" w:rsidRDefault="00F22B2C">
      <w:pPr>
        <w:pStyle w:val="a3"/>
        <w:spacing w:before="0" w:beforeAutospacing="0" w:after="0" w:afterAutospacing="0"/>
        <w:divId w:val="1299992621"/>
        <w:rPr>
          <w:sz w:val="20"/>
          <w:szCs w:val="20"/>
        </w:rPr>
      </w:pPr>
      <w:r>
        <w:rPr>
          <w:sz w:val="20"/>
          <w:szCs w:val="20"/>
        </w:rPr>
        <w:t>​</w:t>
      </w:r>
    </w:p>
    <w:p w:rsidR="00000000" w:rsidRDefault="00F22B2C">
      <w:pPr>
        <w:pStyle w:val="a3"/>
        <w:spacing w:before="0" w:beforeAutospacing="0" w:after="0" w:afterAutospacing="0"/>
        <w:divId w:val="1299992621"/>
        <w:rPr>
          <w:sz w:val="20"/>
          <w:szCs w:val="20"/>
        </w:rPr>
      </w:pPr>
      <w:r>
        <w:rPr>
          <w:i/>
          <w:iCs/>
          <w:sz w:val="20"/>
          <w:szCs w:val="20"/>
        </w:rPr>
        <w:t>Interest income, net</w:t>
      </w:r>
    </w:p>
    <w:p w:rsidR="00000000" w:rsidRDefault="00F22B2C">
      <w:pPr>
        <w:pStyle w:val="a3"/>
        <w:spacing w:before="0" w:beforeAutospacing="0" w:after="0" w:afterAutospacing="0"/>
        <w:divId w:val="1299992621"/>
        <w:rPr>
          <w:sz w:val="20"/>
          <w:szCs w:val="20"/>
        </w:rPr>
      </w:pPr>
      <w:r>
        <w:rPr>
          <w:sz w:val="20"/>
          <w:szCs w:val="20"/>
        </w:rPr>
        <w:t>​</w:t>
      </w:r>
    </w:p>
    <w:p w:rsidR="00000000" w:rsidRDefault="00F22B2C">
      <w:pPr>
        <w:pStyle w:val="a3"/>
        <w:spacing w:before="0" w:beforeAutospacing="0" w:after="0" w:afterAutospacing="0"/>
        <w:ind w:firstLine="547"/>
        <w:divId w:val="1299992621"/>
        <w:rPr>
          <w:sz w:val="20"/>
          <w:szCs w:val="20"/>
        </w:rPr>
      </w:pPr>
      <w:r>
        <w:rPr>
          <w:sz w:val="20"/>
          <w:szCs w:val="20"/>
        </w:rPr>
        <w:t>Interest income, net results from our interest-bearing cash and investment balances.</w:t>
      </w:r>
    </w:p>
    <w:p w:rsidR="00000000" w:rsidRDefault="00F22B2C">
      <w:pPr>
        <w:pStyle w:val="a3"/>
        <w:spacing w:before="0" w:beforeAutospacing="0" w:after="0" w:afterAutospacing="0"/>
        <w:ind w:firstLine="360"/>
        <w:divId w:val="1299992621"/>
        <w:rPr>
          <w:sz w:val="20"/>
          <w:szCs w:val="20"/>
        </w:rPr>
      </w:pPr>
      <w:r>
        <w:rPr>
          <w:sz w:val="20"/>
          <w:szCs w:val="20"/>
        </w:rPr>
        <w:t>​</w:t>
      </w:r>
    </w:p>
    <w:p w:rsidR="00000000" w:rsidRDefault="00F22B2C">
      <w:pPr>
        <w:pStyle w:val="a3"/>
        <w:spacing w:before="0" w:beforeAutospacing="0" w:after="240" w:afterAutospacing="0"/>
        <w:divId w:val="1299992621"/>
        <w:rPr>
          <w:sz w:val="20"/>
          <w:szCs w:val="20"/>
        </w:rPr>
      </w:pPr>
      <w:r>
        <w:rPr>
          <w:b/>
          <w:bCs/>
          <w:sz w:val="20"/>
          <w:szCs w:val="20"/>
        </w:rPr>
        <w:t>Results of Operations for the Years Ended December 31, 2021 and 2020</w:t>
      </w:r>
    </w:p>
    <w:p w:rsidR="00000000" w:rsidRDefault="00F22B2C">
      <w:pPr>
        <w:pStyle w:val="a3"/>
        <w:spacing w:before="0" w:beforeAutospacing="0" w:after="200" w:afterAutospacing="0"/>
        <w:ind w:firstLine="547"/>
        <w:divId w:val="1299992621"/>
        <w:rPr>
          <w:sz w:val="20"/>
          <w:szCs w:val="20"/>
        </w:rPr>
      </w:pPr>
      <w:r>
        <w:rPr>
          <w:sz w:val="20"/>
          <w:szCs w:val="20"/>
        </w:rPr>
        <w:t>Research and development activities are central to our business model. Product candidates in later stage of clinical development generally have higher development costs than those in earlier stages of clinical development, primarily due to the increased si</w:t>
      </w:r>
      <w:r>
        <w:rPr>
          <w:sz w:val="20"/>
          <w:szCs w:val="20"/>
        </w:rPr>
        <w:t>ze and duration of later-stage clinical trials. As a clinical stage company that is currently engaged in the development of novel cancer immunotherapy products, we have not yet generated any revenues from our biotechnology business or otherwise since our f</w:t>
      </w:r>
      <w:r>
        <w:rPr>
          <w:sz w:val="20"/>
          <w:szCs w:val="20"/>
        </w:rPr>
        <w:t>ormation. Our ability to generate revenues in the future will depend on our ability to complete the development of our product candidates and to obtain regulatory approval for them. Our major sources of funding to date have been proceeds from various publi</w:t>
      </w:r>
      <w:r>
        <w:rPr>
          <w:sz w:val="20"/>
          <w:szCs w:val="20"/>
        </w:rPr>
        <w:t>c and private offerings of our equity securities (both common stock and preferred stock), option and warrant exercises, and interest income. Since 2017 our primary source of funds has been from the public sale of our common stock.</w:t>
      </w:r>
    </w:p>
    <w:p w:rsidR="00000000" w:rsidRDefault="00F22B2C">
      <w:pPr>
        <w:pStyle w:val="a3"/>
        <w:spacing w:before="0" w:beforeAutospacing="0" w:after="200" w:afterAutospacing="0"/>
        <w:divId w:val="1299992621"/>
        <w:rPr>
          <w:sz w:val="20"/>
          <w:szCs w:val="20"/>
        </w:rPr>
      </w:pPr>
      <w:r>
        <w:rPr>
          <w:b/>
          <w:bCs/>
          <w:i/>
          <w:iCs/>
          <w:sz w:val="20"/>
          <w:szCs w:val="20"/>
        </w:rPr>
        <w:t>Costs and expenses</w:t>
      </w:r>
    </w:p>
    <w:p w:rsidR="00000000" w:rsidRDefault="00F22B2C">
      <w:pPr>
        <w:pStyle w:val="a3"/>
        <w:spacing w:before="0" w:beforeAutospacing="0" w:after="0" w:afterAutospacing="0"/>
        <w:divId w:val="1299992621"/>
        <w:rPr>
          <w:sz w:val="20"/>
          <w:szCs w:val="20"/>
        </w:rPr>
      </w:pPr>
      <w:r>
        <w:rPr>
          <w:b/>
          <w:bCs/>
          <w:sz w:val="20"/>
          <w:szCs w:val="20"/>
        </w:rPr>
        <w:t>Resear</w:t>
      </w:r>
      <w:r>
        <w:rPr>
          <w:b/>
          <w:bCs/>
          <w:sz w:val="20"/>
          <w:szCs w:val="20"/>
        </w:rPr>
        <w:t>ch and Development Expense (in thousands)</w:t>
      </w:r>
    </w:p>
    <w:p w:rsidR="00000000" w:rsidRDefault="00F22B2C">
      <w:pPr>
        <w:pStyle w:val="a3"/>
        <w:spacing w:before="0" w:beforeAutospacing="0" w:after="0" w:afterAutospacing="0"/>
        <w:divId w:val="129999262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92"/>
        <w:gridCol w:w="160"/>
        <w:gridCol w:w="114"/>
        <w:gridCol w:w="743"/>
        <w:gridCol w:w="186"/>
        <w:gridCol w:w="113"/>
        <w:gridCol w:w="742"/>
        <w:gridCol w:w="160"/>
        <w:gridCol w:w="101"/>
        <w:gridCol w:w="611"/>
        <w:gridCol w:w="160"/>
        <w:gridCol w:w="557"/>
        <w:gridCol w:w="167"/>
      </w:tblGrid>
      <w:tr w:rsidR="00000000">
        <w:trPr>
          <w:divId w:val="1299992621"/>
          <w:trHeight w:val="20"/>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divId w:val="42030125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09983748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986009078"/>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83618922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12500477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447239160"/>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05500598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6733637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200161695"/>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57524311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811359548"/>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42522602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864055395"/>
              <w:rPr>
                <w:sz w:val="20"/>
                <w:szCs w:val="20"/>
              </w:rPr>
            </w:pPr>
            <w:r>
              <w:rPr>
                <w:sz w:val="2"/>
                <w:szCs w:val="2"/>
              </w:rPr>
              <w:t>​</w:t>
            </w:r>
          </w:p>
        </w:tc>
      </w:tr>
      <w:tr w:rsidR="00000000">
        <w:trPr>
          <w:divId w:val="1299992621"/>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r>
      <w:tr w:rsidR="00000000">
        <w:trPr>
          <w:divId w:val="1299992621"/>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33"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Years Ended December 31, </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16"/>
                <w:szCs w:val="16"/>
              </w:rPr>
              <w:t>​</w:t>
            </w:r>
          </w:p>
        </w:tc>
        <w:tc>
          <w:tcPr>
            <w:tcW w:w="878"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r>
      <w:tr w:rsidR="00000000">
        <w:trPr>
          <w:divId w:val="1299992621"/>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r>
      <w:tr w:rsidR="00000000">
        <w:trPr>
          <w:divId w:val="1299992621"/>
        </w:trPr>
        <w:tc>
          <w:tcPr>
            <w:tcW w:w="2928"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Research and development expense</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259,03</w:t>
            </w:r>
            <w:r>
              <w:rPr>
                <w:sz w:val="20"/>
                <w:szCs w:val="20"/>
              </w:rPr>
              <w:t>9</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201,72</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57,31</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299992621"/>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Stock-based compensation expense included in research and development expense</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40,83</w:t>
            </w:r>
            <w:r>
              <w:rPr>
                <w:sz w:val="20"/>
                <w:szCs w:val="20"/>
              </w:rPr>
              <w:t>3</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19,72</w:t>
            </w:r>
            <w:r>
              <w:rPr>
                <w:sz w:val="20"/>
                <w:szCs w:val="20"/>
              </w:rPr>
              <w:t>7</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21,10</w:t>
            </w:r>
            <w:r>
              <w:rPr>
                <w:sz w:val="20"/>
                <w:szCs w:val="20"/>
              </w:rPr>
              <w:t>6</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10</w:t>
            </w:r>
            <w:r>
              <w:rPr>
                <w:sz w:val="20"/>
                <w:szCs w:val="20"/>
              </w:rPr>
              <w:t>7</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1299992621"/>
        <w:rPr>
          <w:sz w:val="20"/>
          <w:szCs w:val="20"/>
        </w:rPr>
      </w:pPr>
      <w:r>
        <w:rPr>
          <w:sz w:val="20"/>
          <w:szCs w:val="20"/>
        </w:rPr>
        <w:t>​</w:t>
      </w:r>
    </w:p>
    <w:p w:rsidR="00000000" w:rsidRDefault="00F22B2C">
      <w:pPr>
        <w:pStyle w:val="a3"/>
        <w:spacing w:before="0" w:beforeAutospacing="0" w:after="200" w:afterAutospacing="0"/>
        <w:ind w:firstLine="547"/>
        <w:divId w:val="1299992621"/>
        <w:rPr>
          <w:sz w:val="20"/>
          <w:szCs w:val="20"/>
        </w:rPr>
      </w:pPr>
      <w:r>
        <w:rPr>
          <w:sz w:val="20"/>
          <w:szCs w:val="20"/>
        </w:rPr>
        <w:t xml:space="preserve">Research and development expense for the year ended December 31, 2021 increased by $57.3 million, or 28%, compared to the year ended December 31, 2020. The increase was primarily attributable to (i) a $29.2 million increase in payroll and related expenses </w:t>
      </w:r>
      <w:r>
        <w:rPr>
          <w:sz w:val="20"/>
          <w:szCs w:val="20"/>
        </w:rPr>
        <w:t>and a $21.1 million increase in stock-based compensation expenses, both driven by increased hiring of research and development employees to support our on-going and planned clinical development activities, (ii) a $14.9 million increase in facility and rela</w:t>
      </w:r>
      <w:r>
        <w:rPr>
          <w:sz w:val="20"/>
          <w:szCs w:val="20"/>
        </w:rPr>
        <w:t xml:space="preserve">ted costs associated with the </w:t>
      </w:r>
      <w:r>
        <w:rPr>
          <w:i/>
          <w:iCs/>
          <w:sz w:val="20"/>
          <w:szCs w:val="20"/>
        </w:rPr>
        <w:t>i</w:t>
      </w:r>
      <w:r>
        <w:rPr>
          <w:sz w:val="20"/>
          <w:szCs w:val="20"/>
        </w:rPr>
        <w:t>CTC and the build-out of our new corporate headquarters office, (iii) a $5.1 million increase in clinical trial costs driven by continued enrollment in our IOV-COM-202 and IOV-LUN-202 clinical trials and purchases of study dr</w:t>
      </w:r>
      <w:r>
        <w:rPr>
          <w:sz w:val="20"/>
          <w:szCs w:val="20"/>
        </w:rPr>
        <w:t>ug used in these clinical trials, and (iv) a $2.2 million increase in travel and others, including allocated costs associated with the expansion of our infrastructure, including information systems, to further support the growth in the organization and ope</w:t>
      </w:r>
      <w:r>
        <w:rPr>
          <w:sz w:val="20"/>
          <w:szCs w:val="20"/>
        </w:rPr>
        <w:t>rations associated with our clinical trials and pre-commercial efforts. These increases were partially offset by a $10.0 million decrease in research alliance costs due to a one-time license fee from Novartis to further develop IOV-3001 which was recognize</w:t>
      </w:r>
      <w:r>
        <w:rPr>
          <w:sz w:val="20"/>
          <w:szCs w:val="20"/>
        </w:rPr>
        <w:t xml:space="preserve">d in full in 2020, and a $5.2 million decrease in manufacturing costs driven by completion of our pivotal clinical trials. </w:t>
      </w:r>
    </w:p>
    <w:p w:rsidR="00000000" w:rsidRDefault="00F22B2C">
      <w:pPr>
        <w:pStyle w:val="a3"/>
        <w:spacing w:before="480" w:beforeAutospacing="0" w:after="0" w:afterAutospacing="0"/>
        <w:jc w:val="center"/>
        <w:divId w:val="1867478094"/>
        <w:rPr>
          <w:sz w:val="20"/>
          <w:szCs w:val="20"/>
        </w:rPr>
      </w:pPr>
      <w:r>
        <w:rPr>
          <w:sz w:val="20"/>
          <w:szCs w:val="20"/>
        </w:rPr>
        <w:t>93</w:t>
      </w:r>
    </w:p>
    <w:p w:rsidR="00000000" w:rsidRDefault="00F22B2C">
      <w:pPr>
        <w:pStyle w:val="a3"/>
        <w:spacing w:before="0" w:beforeAutospacing="0" w:after="600" w:afterAutospacing="0"/>
        <w:divId w:val="1497695112"/>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divId w:val="1706296546"/>
        <w:rPr>
          <w:sz w:val="20"/>
          <w:szCs w:val="20"/>
        </w:rPr>
      </w:pPr>
      <w:r>
        <w:rPr>
          <w:b/>
          <w:bCs/>
          <w:sz w:val="20"/>
          <w:szCs w:val="20"/>
        </w:rPr>
        <w:t>General and Administrative Expense (in thousands)</w:t>
      </w:r>
    </w:p>
    <w:p w:rsidR="00000000" w:rsidRDefault="00F22B2C">
      <w:pPr>
        <w:pStyle w:val="a3"/>
        <w:spacing w:before="0" w:beforeAutospacing="0" w:after="0" w:afterAutospacing="0"/>
        <w:divId w:val="170629654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92"/>
        <w:gridCol w:w="160"/>
        <w:gridCol w:w="114"/>
        <w:gridCol w:w="743"/>
        <w:gridCol w:w="186"/>
        <w:gridCol w:w="113"/>
        <w:gridCol w:w="742"/>
        <w:gridCol w:w="160"/>
        <w:gridCol w:w="101"/>
        <w:gridCol w:w="611"/>
        <w:gridCol w:w="160"/>
        <w:gridCol w:w="557"/>
        <w:gridCol w:w="167"/>
      </w:tblGrid>
      <w:tr w:rsidR="00000000">
        <w:trPr>
          <w:divId w:val="1706296546"/>
          <w:trHeight w:val="20"/>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divId w:val="29788499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81757546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28000835"/>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79201564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45503211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856185057"/>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55242719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57346674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376389219"/>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95521308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01376411"/>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58514782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531577913"/>
              <w:rPr>
                <w:sz w:val="20"/>
                <w:szCs w:val="20"/>
              </w:rPr>
            </w:pPr>
            <w:r>
              <w:rPr>
                <w:sz w:val="2"/>
                <w:szCs w:val="2"/>
              </w:rPr>
              <w:t>​</w:t>
            </w:r>
          </w:p>
        </w:tc>
      </w:tr>
      <w:tr w:rsidR="00000000">
        <w:trPr>
          <w:divId w:val="1706296546"/>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16"/>
                <w:szCs w:val="16"/>
              </w:rPr>
              <w:t>​</w:t>
            </w:r>
          </w:p>
        </w:tc>
      </w:tr>
      <w:tr w:rsidR="00000000">
        <w:trPr>
          <w:divId w:val="1706296546"/>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33"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Years Ended December 31, </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878"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16"/>
                <w:szCs w:val="16"/>
              </w:rPr>
              <w:t>​</w:t>
            </w:r>
          </w:p>
        </w:tc>
      </w:tr>
      <w:tr w:rsidR="00000000">
        <w:trPr>
          <w:divId w:val="1706296546"/>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r>
      <w:tr w:rsidR="00000000">
        <w:trPr>
          <w:divId w:val="1706296546"/>
        </w:trPr>
        <w:tc>
          <w:tcPr>
            <w:tcW w:w="2928"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General and administrative expense</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83,66</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60,21</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23,45</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3</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706296546"/>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Stock-based compensation expense included in general and administrative expense</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28,93</w:t>
            </w:r>
            <w:r>
              <w:rPr>
                <w:sz w:val="20"/>
                <w:szCs w:val="20"/>
              </w:rPr>
              <w:t>2</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21,16</w:t>
            </w:r>
            <w:r>
              <w:rPr>
                <w:sz w:val="20"/>
                <w:szCs w:val="20"/>
              </w:rPr>
              <w:t>0</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7,77</w:t>
            </w:r>
            <w:r>
              <w:rPr>
                <w:sz w:val="20"/>
                <w:szCs w:val="20"/>
              </w:rPr>
              <w:t>2</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3</w:t>
            </w:r>
            <w:r>
              <w:rPr>
                <w:sz w:val="20"/>
                <w:szCs w:val="20"/>
              </w:rPr>
              <w:t>7</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1706296546"/>
        <w:rPr>
          <w:sz w:val="20"/>
          <w:szCs w:val="20"/>
        </w:rPr>
      </w:pPr>
      <w:r>
        <w:rPr>
          <w:sz w:val="20"/>
          <w:szCs w:val="20"/>
        </w:rPr>
        <w:t>​</w:t>
      </w:r>
    </w:p>
    <w:p w:rsidR="00000000" w:rsidRDefault="00F22B2C">
      <w:pPr>
        <w:pStyle w:val="a3"/>
        <w:spacing w:before="0" w:beforeAutospacing="0" w:after="200" w:afterAutospacing="0"/>
        <w:ind w:firstLine="547"/>
        <w:divId w:val="1706296546"/>
        <w:rPr>
          <w:sz w:val="20"/>
          <w:szCs w:val="20"/>
        </w:rPr>
      </w:pPr>
      <w:r>
        <w:rPr>
          <w:sz w:val="20"/>
          <w:szCs w:val="20"/>
        </w:rPr>
        <w:t>General and administrative expense for the year ended December 31, 2021 increased by $23.5 million, or 39%, compared to the year ended December 31, 2020. The increase was primarily attributable to (i) a $9.8 million increase in payroll and related expenses</w:t>
      </w:r>
      <w:r>
        <w:rPr>
          <w:sz w:val="20"/>
          <w:szCs w:val="20"/>
        </w:rPr>
        <w:t xml:space="preserve"> and a $7.8 million increase in stock-based compensation expenses, both resulting from increases in headcount to support the growth in the overall business and related corporate infrastructure (ii) a $4.3 million increase in insurance and intellectual prop</w:t>
      </w:r>
      <w:r>
        <w:rPr>
          <w:sz w:val="20"/>
          <w:szCs w:val="20"/>
        </w:rPr>
        <w:t>erty filing related costs, and (iii) a $2.8 million increase in other costs, including professional fees and costs associated with the build-out of our new headquarter office and IT infrastructure to support the continued growth in the overall company. The</w:t>
      </w:r>
      <w:r>
        <w:rPr>
          <w:sz w:val="20"/>
          <w:szCs w:val="20"/>
        </w:rPr>
        <w:t>se costs were partially offset by a $1.2 million decrease in pre-commercial and marketing costs due to reprioritization of corporate initiatives during the year ended December 31, 2021.</w:t>
      </w:r>
    </w:p>
    <w:p w:rsidR="00000000" w:rsidRDefault="00F22B2C">
      <w:pPr>
        <w:pStyle w:val="a3"/>
        <w:spacing w:before="0" w:beforeAutospacing="0" w:after="240" w:afterAutospacing="0"/>
        <w:divId w:val="1706296546"/>
        <w:rPr>
          <w:sz w:val="20"/>
          <w:szCs w:val="20"/>
        </w:rPr>
      </w:pPr>
      <w:r>
        <w:rPr>
          <w:b/>
          <w:bCs/>
          <w:sz w:val="20"/>
          <w:szCs w:val="20"/>
        </w:rPr>
        <w:t>Interest income, net (in thousands)</w:t>
      </w:r>
    </w:p>
    <w:tbl>
      <w:tblPr>
        <w:tblW w:w="5000" w:type="pct"/>
        <w:tblCellMar>
          <w:top w:w="15" w:type="dxa"/>
          <w:left w:w="0" w:type="dxa"/>
          <w:bottom w:w="15" w:type="dxa"/>
          <w:right w:w="0" w:type="dxa"/>
        </w:tblCellMar>
        <w:tblLook w:val="04A0" w:firstRow="1" w:lastRow="0" w:firstColumn="1" w:lastColumn="0" w:noHBand="0" w:noVBand="1"/>
      </w:tblPr>
      <w:tblGrid>
        <w:gridCol w:w="4466"/>
        <w:gridCol w:w="160"/>
        <w:gridCol w:w="114"/>
        <w:gridCol w:w="741"/>
        <w:gridCol w:w="201"/>
        <w:gridCol w:w="114"/>
        <w:gridCol w:w="740"/>
        <w:gridCol w:w="200"/>
        <w:gridCol w:w="101"/>
        <w:gridCol w:w="584"/>
        <w:gridCol w:w="160"/>
        <w:gridCol w:w="558"/>
        <w:gridCol w:w="167"/>
      </w:tblGrid>
      <w:tr w:rsidR="00000000">
        <w:trPr>
          <w:divId w:val="1706296546"/>
          <w:trHeight w:val="20"/>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divId w:val="121446238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04848534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945073476"/>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356466598"/>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3567178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139809801"/>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76614547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202400911"/>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590433011"/>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1980593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739280227"/>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0531171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566383700"/>
              <w:rPr>
                <w:sz w:val="20"/>
                <w:szCs w:val="20"/>
              </w:rPr>
            </w:pPr>
            <w:r>
              <w:rPr>
                <w:sz w:val="2"/>
                <w:szCs w:val="2"/>
              </w:rPr>
              <w:t>​</w:t>
            </w:r>
          </w:p>
        </w:tc>
      </w:tr>
      <w:tr w:rsidR="00000000">
        <w:trPr>
          <w:divId w:val="1706296546"/>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r>
      <w:tr w:rsidR="00000000">
        <w:trPr>
          <w:divId w:val="1706296546"/>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35"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Years Ended December 31, </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c>
          <w:tcPr>
            <w:tcW w:w="875"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r>
      <w:tr w:rsidR="00000000">
        <w:trPr>
          <w:divId w:val="1706296546"/>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2021</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r>
      <w:tr w:rsidR="00000000">
        <w:trPr>
          <w:divId w:val="1706296546"/>
        </w:trPr>
        <w:tc>
          <w:tcPr>
            <w:tcW w:w="2927"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Interest income, net</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45</w:t>
            </w:r>
            <w:r>
              <w:rPr>
                <w:sz w:val="20"/>
                <w:szCs w:val="20"/>
              </w:rPr>
              <w:t>1</w:t>
            </w:r>
          </w:p>
        </w:tc>
        <w:tc>
          <w:tcPr>
            <w:tcW w:w="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2,35</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(1,905</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(81</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1706296546"/>
        <w:rPr>
          <w:sz w:val="20"/>
          <w:szCs w:val="20"/>
        </w:rPr>
      </w:pPr>
      <w:r>
        <w:rPr>
          <w:sz w:val="20"/>
          <w:szCs w:val="20"/>
        </w:rPr>
        <w:t>​</w:t>
      </w:r>
    </w:p>
    <w:p w:rsidR="00000000" w:rsidRDefault="00F22B2C">
      <w:pPr>
        <w:pStyle w:val="a3"/>
        <w:spacing w:before="0" w:beforeAutospacing="0" w:after="240" w:afterAutospacing="0"/>
        <w:ind w:firstLine="547"/>
        <w:divId w:val="1706296546"/>
        <w:rPr>
          <w:sz w:val="20"/>
          <w:szCs w:val="20"/>
        </w:rPr>
      </w:pPr>
      <w:r>
        <w:rPr>
          <w:sz w:val="20"/>
          <w:szCs w:val="20"/>
        </w:rPr>
        <w:t xml:space="preserve">Interest income results from our interest-bearing cash and investment balances. Net interest income decreased by $1.9 million, or 81%, due primarily to a decrease in interest rates in 2021 as compared to the same period in 2020. </w:t>
      </w:r>
    </w:p>
    <w:p w:rsidR="00000000" w:rsidRDefault="00F22B2C">
      <w:pPr>
        <w:pStyle w:val="a3"/>
        <w:spacing w:before="0" w:beforeAutospacing="0" w:after="0" w:afterAutospacing="0"/>
        <w:divId w:val="1706296546"/>
        <w:rPr>
          <w:sz w:val="20"/>
          <w:szCs w:val="20"/>
        </w:rPr>
      </w:pPr>
      <w:r>
        <w:rPr>
          <w:b/>
          <w:bCs/>
          <w:sz w:val="20"/>
          <w:szCs w:val="20"/>
        </w:rPr>
        <w:t>Net Loss (in thousands)</w:t>
      </w:r>
    </w:p>
    <w:p w:rsidR="00000000" w:rsidRDefault="00F22B2C">
      <w:pPr>
        <w:pStyle w:val="a3"/>
        <w:spacing w:before="0" w:beforeAutospacing="0" w:after="0" w:afterAutospacing="0"/>
        <w:divId w:val="170629654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02"/>
        <w:gridCol w:w="160"/>
        <w:gridCol w:w="100"/>
        <w:gridCol w:w="784"/>
        <w:gridCol w:w="200"/>
        <w:gridCol w:w="100"/>
        <w:gridCol w:w="784"/>
        <w:gridCol w:w="200"/>
        <w:gridCol w:w="101"/>
        <w:gridCol w:w="684"/>
        <w:gridCol w:w="160"/>
        <w:gridCol w:w="564"/>
        <w:gridCol w:w="167"/>
      </w:tblGrid>
      <w:tr w:rsidR="00000000">
        <w:trPr>
          <w:divId w:val="1706296546"/>
          <w:trHeight w:val="20"/>
        </w:trPr>
        <w:tc>
          <w:tcPr>
            <w:tcW w:w="2923" w:type="pct"/>
            <w:tcMar>
              <w:top w:w="0" w:type="dxa"/>
              <w:left w:w="0" w:type="dxa"/>
              <w:bottom w:w="0" w:type="dxa"/>
              <w:right w:w="0" w:type="dxa"/>
            </w:tcMar>
            <w:vAlign w:val="bottom"/>
            <w:hideMark/>
          </w:tcPr>
          <w:p w:rsidR="00000000" w:rsidRDefault="00F22B2C">
            <w:pPr>
              <w:pStyle w:val="a3"/>
              <w:spacing w:before="0" w:beforeAutospacing="0" w:after="0" w:afterAutospacing="0"/>
              <w:divId w:val="204258618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93050236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852144248"/>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74660970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821580605"/>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00808874"/>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2392231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476291493"/>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525950665"/>
              <w:rPr>
                <w:sz w:val="20"/>
                <w:szCs w:val="20"/>
              </w:rPr>
            </w:pPr>
            <w:r>
              <w:rPr>
                <w:sz w:val="2"/>
                <w:szCs w:val="2"/>
              </w:rPr>
              <w:t>​</w:t>
            </w:r>
          </w:p>
        </w:tc>
        <w:tc>
          <w:tcPr>
            <w:tcW w:w="360"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198933142"/>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610627567"/>
              <w:rPr>
                <w:sz w:val="20"/>
                <w:szCs w:val="20"/>
              </w:rPr>
            </w:pPr>
            <w:r>
              <w:rPr>
                <w:sz w:val="2"/>
                <w:szCs w:val="2"/>
              </w:rPr>
              <w:t>​</w:t>
            </w:r>
          </w:p>
        </w:tc>
        <w:tc>
          <w:tcPr>
            <w:tcW w:w="360"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33006264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293947954"/>
              <w:rPr>
                <w:sz w:val="20"/>
                <w:szCs w:val="20"/>
              </w:rPr>
            </w:pPr>
            <w:r>
              <w:rPr>
                <w:sz w:val="2"/>
                <w:szCs w:val="2"/>
              </w:rPr>
              <w:t>​</w:t>
            </w:r>
          </w:p>
        </w:tc>
      </w:tr>
      <w:tr w:rsidR="00000000">
        <w:trPr>
          <w:divId w:val="1706296546"/>
        </w:trPr>
        <w:tc>
          <w:tcPr>
            <w:tcW w:w="2923"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4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0"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360"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16"/>
                <w:szCs w:val="16"/>
              </w:rPr>
              <w:t>​</w:t>
            </w:r>
          </w:p>
        </w:tc>
      </w:tr>
      <w:tr w:rsidR="00000000">
        <w:trPr>
          <w:divId w:val="1706296546"/>
        </w:trPr>
        <w:tc>
          <w:tcPr>
            <w:tcW w:w="2923"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64"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Years Ended December 31, </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c>
          <w:tcPr>
            <w:tcW w:w="854"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16"/>
                <w:szCs w:val="16"/>
              </w:rPr>
              <w:t>​</w:t>
            </w:r>
          </w:p>
        </w:tc>
      </w:tr>
      <w:tr w:rsidR="00000000">
        <w:trPr>
          <w:divId w:val="1706296546"/>
        </w:trPr>
        <w:tc>
          <w:tcPr>
            <w:tcW w:w="2923"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2021</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3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07"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c>
          <w:tcPr>
            <w:tcW w:w="36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r>
      <w:tr w:rsidR="00000000">
        <w:trPr>
          <w:divId w:val="1706296546"/>
        </w:trPr>
        <w:tc>
          <w:tcPr>
            <w:tcW w:w="292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Net loss</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(342,252</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    </w:t>
            </w:r>
          </w:p>
        </w:tc>
        <w:tc>
          <w:tcPr>
            <w:tcW w:w="4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(259,581</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    </w:t>
            </w:r>
          </w:p>
        </w:tc>
        <w:tc>
          <w:tcPr>
            <w:tcW w:w="4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(82,671</w:t>
            </w: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3</w:t>
            </w:r>
            <w:r>
              <w:rPr>
                <w:sz w:val="20"/>
                <w:szCs w:val="20"/>
              </w:rPr>
              <w:t>2</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1706296546"/>
        <w:rPr>
          <w:sz w:val="20"/>
          <w:szCs w:val="20"/>
        </w:rPr>
      </w:pPr>
      <w:r>
        <w:rPr>
          <w:sz w:val="20"/>
          <w:szCs w:val="20"/>
        </w:rPr>
        <w:t>​</w:t>
      </w:r>
    </w:p>
    <w:p w:rsidR="00000000" w:rsidRDefault="00F22B2C">
      <w:pPr>
        <w:pStyle w:val="a3"/>
        <w:spacing w:before="0" w:beforeAutospacing="0" w:after="240" w:afterAutospacing="0"/>
        <w:ind w:firstLine="547"/>
        <w:divId w:val="1706296546"/>
        <w:rPr>
          <w:sz w:val="20"/>
          <w:szCs w:val="20"/>
        </w:rPr>
      </w:pPr>
      <w:r>
        <w:rPr>
          <w:sz w:val="20"/>
          <w:szCs w:val="20"/>
        </w:rPr>
        <w:t>Net loss for the year ended December 31, 2021 increased by $82.7 million or 32%, compared to the year ended December 31, 2020. The increase in our net loss was due to the continued expansion of our research and development activities, increased clinical tr</w:t>
      </w:r>
      <w:r>
        <w:rPr>
          <w:sz w:val="20"/>
          <w:szCs w:val="20"/>
        </w:rPr>
        <w:t>ials, and the overall growth of our corporate infrastructure. We anticipate that we will continue to incur net losses in the future as we further invest in our research and development activities, including our commercial readiness and clinical development</w:t>
      </w:r>
      <w:r>
        <w:rPr>
          <w:sz w:val="20"/>
          <w:szCs w:val="20"/>
        </w:rPr>
        <w:t>.</w:t>
      </w:r>
    </w:p>
    <w:p w:rsidR="00000000" w:rsidRDefault="00F22B2C">
      <w:pPr>
        <w:pStyle w:val="a3"/>
        <w:spacing w:before="0" w:beforeAutospacing="0" w:after="240" w:afterAutospacing="0"/>
        <w:divId w:val="1706296546"/>
        <w:rPr>
          <w:sz w:val="20"/>
          <w:szCs w:val="20"/>
        </w:rPr>
      </w:pPr>
      <w:r>
        <w:rPr>
          <w:b/>
          <w:bCs/>
          <w:sz w:val="20"/>
          <w:szCs w:val="20"/>
        </w:rPr>
        <w:t>Results of Operations for the Years Ended December 31, 2020 and 2019</w:t>
      </w:r>
    </w:p>
    <w:p w:rsidR="00000000" w:rsidRDefault="00F22B2C">
      <w:pPr>
        <w:pStyle w:val="a3"/>
        <w:spacing w:before="0" w:beforeAutospacing="0" w:after="240" w:afterAutospacing="0"/>
        <w:divId w:val="1706296546"/>
        <w:rPr>
          <w:sz w:val="20"/>
          <w:szCs w:val="20"/>
        </w:rPr>
      </w:pPr>
      <w:r>
        <w:rPr>
          <w:b/>
          <w:bCs/>
          <w:i/>
          <w:iCs/>
          <w:sz w:val="20"/>
          <w:szCs w:val="20"/>
        </w:rPr>
        <w:t>Revenues</w:t>
      </w:r>
    </w:p>
    <w:p w:rsidR="00000000" w:rsidRDefault="00F22B2C">
      <w:pPr>
        <w:pStyle w:val="a3"/>
        <w:spacing w:before="0" w:beforeAutospacing="0" w:after="240" w:afterAutospacing="0"/>
        <w:ind w:firstLine="547"/>
        <w:divId w:val="1706296546"/>
        <w:rPr>
          <w:sz w:val="20"/>
          <w:szCs w:val="20"/>
        </w:rPr>
      </w:pPr>
      <w:r>
        <w:rPr>
          <w:sz w:val="20"/>
          <w:szCs w:val="20"/>
        </w:rPr>
        <w:t>We did not generate any revenues during the years ended December 31, 2020 and 2019, respectively.</w:t>
      </w:r>
    </w:p>
    <w:p w:rsidR="00000000" w:rsidRDefault="00F22B2C">
      <w:pPr>
        <w:pStyle w:val="a3"/>
        <w:spacing w:before="0" w:beforeAutospacing="0" w:after="240" w:afterAutospacing="0"/>
        <w:divId w:val="1706296546"/>
        <w:rPr>
          <w:sz w:val="20"/>
          <w:szCs w:val="20"/>
        </w:rPr>
      </w:pPr>
      <w:r>
        <w:rPr>
          <w:b/>
          <w:bCs/>
          <w:i/>
          <w:iCs/>
          <w:sz w:val="20"/>
          <w:szCs w:val="20"/>
        </w:rPr>
        <w:t>Costs and expenses</w:t>
      </w:r>
    </w:p>
    <w:p w:rsidR="00000000" w:rsidRDefault="00F22B2C">
      <w:pPr>
        <w:pStyle w:val="a3"/>
        <w:spacing w:before="0" w:beforeAutospacing="0" w:after="0" w:afterAutospacing="0"/>
        <w:divId w:val="1706296546"/>
        <w:rPr>
          <w:sz w:val="20"/>
          <w:szCs w:val="20"/>
        </w:rPr>
      </w:pPr>
      <w:r>
        <w:rPr>
          <w:b/>
          <w:bCs/>
          <w:sz w:val="20"/>
          <w:szCs w:val="20"/>
        </w:rPr>
        <w:t>Research and Development Expense (in thousands)</w:t>
      </w:r>
    </w:p>
    <w:p w:rsidR="00000000" w:rsidRDefault="00F22B2C">
      <w:pPr>
        <w:pStyle w:val="a3"/>
        <w:spacing w:before="0" w:beforeAutospacing="0" w:after="0" w:afterAutospacing="0"/>
        <w:divId w:val="170629654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92"/>
        <w:gridCol w:w="160"/>
        <w:gridCol w:w="114"/>
        <w:gridCol w:w="743"/>
        <w:gridCol w:w="186"/>
        <w:gridCol w:w="113"/>
        <w:gridCol w:w="742"/>
        <w:gridCol w:w="160"/>
        <w:gridCol w:w="101"/>
        <w:gridCol w:w="611"/>
        <w:gridCol w:w="160"/>
        <w:gridCol w:w="557"/>
        <w:gridCol w:w="167"/>
      </w:tblGrid>
      <w:tr w:rsidR="00000000">
        <w:trPr>
          <w:divId w:val="1706296546"/>
          <w:trHeight w:val="20"/>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divId w:val="92183633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34867737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537742108"/>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2057523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89230370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815755645"/>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9966721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75566329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064399261"/>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84609841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28824409"/>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01372817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199002811"/>
              <w:rPr>
                <w:sz w:val="20"/>
                <w:szCs w:val="20"/>
              </w:rPr>
            </w:pPr>
            <w:r>
              <w:rPr>
                <w:sz w:val="2"/>
                <w:szCs w:val="2"/>
              </w:rPr>
              <w:t>​</w:t>
            </w:r>
          </w:p>
        </w:tc>
      </w:tr>
      <w:tr w:rsidR="00000000">
        <w:trPr>
          <w:divId w:val="1706296546"/>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933"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Years Ended December 31, </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c>
          <w:tcPr>
            <w:tcW w:w="878"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r>
      <w:tr w:rsidR="00000000">
        <w:trPr>
          <w:divId w:val="1706296546"/>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16"/>
                <w:szCs w:val="16"/>
              </w:rPr>
            </w:pPr>
            <w:r>
              <w:rPr>
                <w:b/>
                <w:bCs/>
                <w:sz w:val="16"/>
                <w:szCs w:val="16"/>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r>
      <w:tr w:rsidR="00000000">
        <w:trPr>
          <w:divId w:val="1706296546"/>
        </w:trPr>
        <w:tc>
          <w:tcPr>
            <w:tcW w:w="2928"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Research and development expense</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201,72</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166,02</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35,70</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w:t>
            </w:r>
            <w:r>
              <w:rPr>
                <w:sz w:val="20"/>
                <w:szCs w:val="20"/>
              </w:rPr>
              <w:t>2</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706296546"/>
        </w:trPr>
        <w:tc>
          <w:tcPr>
            <w:tcW w:w="2928"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Stock-based compensation expense included in research and development expense</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19,72</w:t>
            </w:r>
            <w:r>
              <w:rPr>
                <w:sz w:val="20"/>
                <w:szCs w:val="20"/>
              </w:rPr>
              <w:t>7</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11,39</w:t>
            </w:r>
            <w:r>
              <w:rPr>
                <w:sz w:val="20"/>
                <w:szCs w:val="20"/>
              </w:rPr>
              <w:t>6</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8,33</w:t>
            </w:r>
            <w:r>
              <w:rPr>
                <w:sz w:val="20"/>
                <w:szCs w:val="20"/>
              </w:rPr>
              <w:t>1</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7</w:t>
            </w:r>
            <w:r>
              <w:rPr>
                <w:sz w:val="20"/>
                <w:szCs w:val="20"/>
              </w:rPr>
              <w:t>3</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1706296546"/>
        <w:rPr>
          <w:sz w:val="20"/>
          <w:szCs w:val="20"/>
        </w:rPr>
      </w:pPr>
      <w:r>
        <w:rPr>
          <w:sz w:val="20"/>
          <w:szCs w:val="20"/>
        </w:rPr>
        <w:t>​</w:t>
      </w:r>
    </w:p>
    <w:p w:rsidR="00000000" w:rsidRDefault="00F22B2C">
      <w:pPr>
        <w:pStyle w:val="a3"/>
        <w:spacing w:before="480" w:beforeAutospacing="0" w:after="0" w:afterAutospacing="0"/>
        <w:jc w:val="center"/>
        <w:divId w:val="1404988078"/>
        <w:rPr>
          <w:sz w:val="20"/>
          <w:szCs w:val="20"/>
        </w:rPr>
      </w:pPr>
      <w:r>
        <w:rPr>
          <w:sz w:val="20"/>
          <w:szCs w:val="20"/>
        </w:rPr>
        <w:t>94</w:t>
      </w:r>
    </w:p>
    <w:p w:rsidR="00000000" w:rsidRDefault="00F22B2C">
      <w:pPr>
        <w:pStyle w:val="a3"/>
        <w:spacing w:before="0" w:beforeAutospacing="0" w:after="600" w:afterAutospacing="0"/>
        <w:divId w:val="132062532"/>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ind w:firstLine="547"/>
        <w:divId w:val="446656548"/>
        <w:rPr>
          <w:sz w:val="20"/>
          <w:szCs w:val="20"/>
        </w:rPr>
      </w:pPr>
      <w:r>
        <w:rPr>
          <w:sz w:val="20"/>
          <w:szCs w:val="20"/>
        </w:rPr>
        <w:t xml:space="preserve">Research and development expense for the year ended December 31, 2020 increased by $35.7 million, or 22%, compared to the year ended December 31, 2019. The increase was primarily attributable to (i) a $20.9 million increase in payroll and related expenses </w:t>
      </w:r>
      <w:r>
        <w:rPr>
          <w:sz w:val="20"/>
          <w:szCs w:val="20"/>
        </w:rPr>
        <w:t>driven by a higher number of full-time research and development employees and outside services, (ii) a $10.0 million increase for the license to further develop IOV-3001 obtained from Novartis, (iii) a $8.3 million increase in stock-based compensation expe</w:t>
      </w:r>
      <w:r>
        <w:rPr>
          <w:sz w:val="20"/>
          <w:szCs w:val="20"/>
        </w:rPr>
        <w:t>nses, and (iv) a $6.6 million increase in clinical trial costs due to an increase in enrollment across all the trials and initiation of new clinical trials. Further, a $0.8 million increase in research consumables cost contributed to the increase. These in</w:t>
      </w:r>
      <w:r>
        <w:rPr>
          <w:sz w:val="20"/>
          <w:szCs w:val="20"/>
        </w:rPr>
        <w:t>creases were partially offset by lower manufacturing costs by $9.1 million due to decreased production runs in 2020 as a result of completion of enrollment in the melanoma pivotal program and a $2.3 million decrease in research alliance expenses due to the</w:t>
      </w:r>
      <w:r>
        <w:rPr>
          <w:sz w:val="20"/>
          <w:szCs w:val="20"/>
        </w:rPr>
        <w:t xml:space="preserve"> COVID-19 pandemic’s impact on patient enrollment in the clinical trials with our research alliance partners.</w:t>
      </w:r>
    </w:p>
    <w:p w:rsidR="00000000" w:rsidRDefault="00F22B2C">
      <w:pPr>
        <w:pStyle w:val="a3"/>
        <w:spacing w:before="0" w:beforeAutospacing="0" w:after="0" w:afterAutospacing="0"/>
        <w:ind w:firstLine="547"/>
        <w:divId w:val="446656548"/>
        <w:rPr>
          <w:sz w:val="20"/>
          <w:szCs w:val="20"/>
        </w:rPr>
      </w:pPr>
      <w:r>
        <w:rPr>
          <w:sz w:val="20"/>
          <w:szCs w:val="20"/>
        </w:rPr>
        <w:t>​</w:t>
      </w:r>
    </w:p>
    <w:p w:rsidR="00000000" w:rsidRDefault="00F22B2C">
      <w:pPr>
        <w:pStyle w:val="a3"/>
        <w:spacing w:before="0" w:beforeAutospacing="0" w:after="0" w:afterAutospacing="0"/>
        <w:divId w:val="446656548"/>
        <w:rPr>
          <w:sz w:val="20"/>
          <w:szCs w:val="20"/>
        </w:rPr>
      </w:pPr>
      <w:r>
        <w:rPr>
          <w:b/>
          <w:bCs/>
          <w:sz w:val="20"/>
          <w:szCs w:val="20"/>
        </w:rPr>
        <w:t>General and Administrative Expense (in thousands)</w:t>
      </w:r>
    </w:p>
    <w:p w:rsidR="00000000" w:rsidRDefault="00F22B2C">
      <w:pPr>
        <w:pStyle w:val="a3"/>
        <w:spacing w:before="0" w:beforeAutospacing="0" w:after="0" w:afterAutospacing="0"/>
        <w:divId w:val="44665654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55"/>
        <w:gridCol w:w="160"/>
        <w:gridCol w:w="114"/>
        <w:gridCol w:w="743"/>
        <w:gridCol w:w="186"/>
        <w:gridCol w:w="113"/>
        <w:gridCol w:w="742"/>
        <w:gridCol w:w="160"/>
        <w:gridCol w:w="101"/>
        <w:gridCol w:w="611"/>
        <w:gridCol w:w="200"/>
        <w:gridCol w:w="554"/>
        <w:gridCol w:w="167"/>
      </w:tblGrid>
      <w:tr w:rsidR="00000000">
        <w:trPr>
          <w:divId w:val="446656548"/>
          <w:trHeight w:val="20"/>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divId w:val="133634781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43420125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706181598"/>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79005466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52065370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102883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59664296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10500597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45255340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83592210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435054953"/>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2415576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044286998"/>
              <w:rPr>
                <w:sz w:val="20"/>
                <w:szCs w:val="20"/>
              </w:rPr>
            </w:pPr>
            <w:r>
              <w:rPr>
                <w:sz w:val="2"/>
                <w:szCs w:val="2"/>
              </w:rPr>
              <w:t>​</w:t>
            </w:r>
          </w:p>
        </w:tc>
      </w:tr>
      <w:tr w:rsidR="00000000">
        <w:trPr>
          <w:divId w:val="446656548"/>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933"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Years Ended December 31, </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c>
          <w:tcPr>
            <w:tcW w:w="878"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Increase </w:t>
            </w:r>
            <w:r>
              <w:rPr>
                <w:b/>
                <w:bCs/>
                <w:sz w:val="16"/>
                <w:szCs w:val="16"/>
              </w:rPr>
              <w:t>(Decrease)</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r>
      <w:tr w:rsidR="00000000">
        <w:trPr>
          <w:divId w:val="446656548"/>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r>
      <w:tr w:rsidR="00000000">
        <w:trPr>
          <w:divId w:val="446656548"/>
        </w:trPr>
        <w:tc>
          <w:tcPr>
            <w:tcW w:w="2927"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General and administrative expense</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60,21</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40,84</w:t>
            </w:r>
            <w:r>
              <w:rPr>
                <w:sz w:val="20"/>
                <w:szCs w:val="20"/>
              </w:rPr>
              <w:t>9</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19,36</w:t>
            </w:r>
            <w:r>
              <w:rPr>
                <w:sz w:val="20"/>
                <w:szCs w:val="20"/>
              </w:rPr>
              <w:t>1</w:t>
            </w:r>
          </w:p>
        </w:tc>
        <w:tc>
          <w:tcPr>
            <w:tcW w:w="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4</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446656548"/>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Stock-based compensation expense included in general and administrative expense</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21,16</w:t>
            </w:r>
            <w:r>
              <w:rPr>
                <w:sz w:val="20"/>
                <w:szCs w:val="20"/>
              </w:rPr>
              <w:t>0</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12,88</w:t>
            </w:r>
            <w:r>
              <w:rPr>
                <w:sz w:val="20"/>
                <w:szCs w:val="20"/>
              </w:rPr>
              <w:t>1</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8,27</w:t>
            </w:r>
            <w:r>
              <w:rPr>
                <w:sz w:val="20"/>
                <w:szCs w:val="20"/>
              </w:rPr>
              <w:t>9</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6</w:t>
            </w:r>
            <w:r>
              <w:rPr>
                <w:sz w:val="20"/>
                <w:szCs w:val="20"/>
              </w:rPr>
              <w:t>4</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446656548"/>
        <w:rPr>
          <w:sz w:val="20"/>
          <w:szCs w:val="20"/>
        </w:rPr>
      </w:pPr>
      <w:r>
        <w:rPr>
          <w:sz w:val="20"/>
          <w:szCs w:val="20"/>
        </w:rPr>
        <w:t>​</w:t>
      </w:r>
    </w:p>
    <w:p w:rsidR="00000000" w:rsidRDefault="00F22B2C">
      <w:pPr>
        <w:pStyle w:val="a3"/>
        <w:spacing w:before="0" w:beforeAutospacing="0" w:after="0" w:afterAutospacing="0"/>
        <w:ind w:firstLine="547"/>
        <w:divId w:val="446656548"/>
        <w:rPr>
          <w:sz w:val="20"/>
          <w:szCs w:val="20"/>
        </w:rPr>
      </w:pPr>
      <w:r>
        <w:rPr>
          <w:sz w:val="20"/>
          <w:szCs w:val="20"/>
        </w:rPr>
        <w:t>General and administrative expense for the year ended December 31, 2020 increased by $19.4 million, or 47%, compared to the year ended December 31, 2019. The increase was primarily attributable to (i) a $8.3 million increase in stock-based compensation exp</w:t>
      </w:r>
      <w:r>
        <w:rPr>
          <w:sz w:val="20"/>
          <w:szCs w:val="20"/>
        </w:rPr>
        <w:t>enses and a $7.1 million increase in payroll and related expenses driven by a higher number of full-time general and administrative employees and higher average stock price, (ii) a $2.1 million increase in director’s and officer’s insurance premiums, (iii)</w:t>
      </w:r>
      <w:r>
        <w:rPr>
          <w:sz w:val="20"/>
          <w:szCs w:val="20"/>
        </w:rPr>
        <w:t xml:space="preserve"> a $1.1 million increase in intellectual property legal costs, and (iv) a $1.1 million in market research activities as we prepare for commercialization. These increases were partially offset by a $0.7 million decrease in travel expenses.</w:t>
      </w:r>
    </w:p>
    <w:p w:rsidR="00000000" w:rsidRDefault="00F22B2C">
      <w:pPr>
        <w:pStyle w:val="a3"/>
        <w:spacing w:before="0" w:beforeAutospacing="0" w:after="0" w:afterAutospacing="0"/>
        <w:divId w:val="446656548"/>
        <w:rPr>
          <w:sz w:val="20"/>
          <w:szCs w:val="20"/>
        </w:rPr>
      </w:pPr>
      <w:r>
        <w:rPr>
          <w:sz w:val="20"/>
          <w:szCs w:val="20"/>
        </w:rPr>
        <w:t>​</w:t>
      </w:r>
    </w:p>
    <w:p w:rsidR="00000000" w:rsidRDefault="00F22B2C">
      <w:pPr>
        <w:pStyle w:val="a3"/>
        <w:spacing w:before="0" w:beforeAutospacing="0" w:after="0" w:afterAutospacing="0"/>
        <w:divId w:val="446656548"/>
        <w:rPr>
          <w:sz w:val="20"/>
          <w:szCs w:val="20"/>
        </w:rPr>
      </w:pPr>
      <w:r>
        <w:rPr>
          <w:b/>
          <w:bCs/>
          <w:sz w:val="20"/>
          <w:szCs w:val="20"/>
        </w:rPr>
        <w:t>Interest income</w:t>
      </w:r>
      <w:r>
        <w:rPr>
          <w:b/>
          <w:bCs/>
          <w:sz w:val="20"/>
          <w:szCs w:val="20"/>
        </w:rPr>
        <w:t>, net (in thousands)</w:t>
      </w:r>
    </w:p>
    <w:p w:rsidR="00000000" w:rsidRDefault="00F22B2C">
      <w:pPr>
        <w:pStyle w:val="a3"/>
        <w:spacing w:before="0" w:beforeAutospacing="0" w:after="0" w:afterAutospacing="0"/>
        <w:divId w:val="44665654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81"/>
        <w:gridCol w:w="160"/>
        <w:gridCol w:w="114"/>
        <w:gridCol w:w="743"/>
        <w:gridCol w:w="186"/>
        <w:gridCol w:w="113"/>
        <w:gridCol w:w="742"/>
        <w:gridCol w:w="160"/>
        <w:gridCol w:w="101"/>
        <w:gridCol w:w="585"/>
        <w:gridCol w:w="200"/>
        <w:gridCol w:w="554"/>
        <w:gridCol w:w="167"/>
      </w:tblGrid>
      <w:tr w:rsidR="00000000">
        <w:trPr>
          <w:divId w:val="446656548"/>
          <w:trHeight w:val="20"/>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divId w:val="42626601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89434464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57766581"/>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79999899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86825679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04658103"/>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87924958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80847429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67635003"/>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12568850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8373712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8778583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10975422"/>
              <w:rPr>
                <w:sz w:val="20"/>
                <w:szCs w:val="20"/>
              </w:rPr>
            </w:pPr>
            <w:r>
              <w:rPr>
                <w:sz w:val="2"/>
                <w:szCs w:val="2"/>
              </w:rPr>
              <w:t>​</w:t>
            </w:r>
          </w:p>
        </w:tc>
      </w:tr>
      <w:tr w:rsidR="00000000">
        <w:trPr>
          <w:divId w:val="446656548"/>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933"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Years Ended December 31, </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c>
          <w:tcPr>
            <w:tcW w:w="878"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r>
      <w:tr w:rsidR="00000000">
        <w:trPr>
          <w:divId w:val="446656548"/>
        </w:trPr>
        <w:tc>
          <w:tcPr>
            <w:tcW w:w="2927"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r>
      <w:tr w:rsidR="00000000">
        <w:trPr>
          <w:divId w:val="446656548"/>
        </w:trPr>
        <w:tc>
          <w:tcPr>
            <w:tcW w:w="2927"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Interest income, net</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2,35</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9,31</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(6,960</w:t>
            </w: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(75</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446656548"/>
        <w:rPr>
          <w:sz w:val="20"/>
          <w:szCs w:val="20"/>
        </w:rPr>
      </w:pPr>
      <w:r>
        <w:rPr>
          <w:sz w:val="20"/>
          <w:szCs w:val="20"/>
        </w:rPr>
        <w:t>​</w:t>
      </w:r>
    </w:p>
    <w:p w:rsidR="00000000" w:rsidRDefault="00F22B2C">
      <w:pPr>
        <w:pStyle w:val="a3"/>
        <w:spacing w:before="0" w:beforeAutospacing="0" w:after="0" w:afterAutospacing="0"/>
        <w:ind w:firstLine="547"/>
        <w:divId w:val="446656548"/>
        <w:rPr>
          <w:sz w:val="20"/>
          <w:szCs w:val="20"/>
        </w:rPr>
      </w:pPr>
      <w:r>
        <w:rPr>
          <w:sz w:val="20"/>
          <w:szCs w:val="20"/>
        </w:rPr>
        <w:t>Interest income results from our interest-bearing cash and investment balances. Net interest income decreased by $7.0 million, or 75%, due primarily to a decrease in interest rates in 2020 as compared to the same period in 2019.</w:t>
      </w:r>
    </w:p>
    <w:p w:rsidR="00000000" w:rsidRDefault="00F22B2C">
      <w:pPr>
        <w:pStyle w:val="a3"/>
        <w:spacing w:before="0" w:beforeAutospacing="0" w:after="0" w:afterAutospacing="0"/>
        <w:ind w:firstLine="360"/>
        <w:divId w:val="446656548"/>
        <w:rPr>
          <w:sz w:val="20"/>
          <w:szCs w:val="20"/>
        </w:rPr>
      </w:pPr>
      <w:r>
        <w:rPr>
          <w:sz w:val="20"/>
          <w:szCs w:val="20"/>
        </w:rPr>
        <w:t>​</w:t>
      </w:r>
    </w:p>
    <w:p w:rsidR="00000000" w:rsidRDefault="00F22B2C">
      <w:pPr>
        <w:pStyle w:val="a3"/>
        <w:spacing w:before="0" w:beforeAutospacing="0" w:after="0" w:afterAutospacing="0"/>
        <w:divId w:val="446656548"/>
        <w:rPr>
          <w:sz w:val="20"/>
          <w:szCs w:val="20"/>
        </w:rPr>
      </w:pPr>
      <w:r>
        <w:rPr>
          <w:b/>
          <w:bCs/>
          <w:sz w:val="20"/>
          <w:szCs w:val="20"/>
        </w:rPr>
        <w:t>Net Loss (in thousands)</w:t>
      </w:r>
    </w:p>
    <w:p w:rsidR="00000000" w:rsidRDefault="00F22B2C">
      <w:pPr>
        <w:pStyle w:val="a3"/>
        <w:spacing w:before="0" w:beforeAutospacing="0" w:after="0" w:afterAutospacing="0"/>
        <w:divId w:val="44665654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52"/>
        <w:gridCol w:w="160"/>
        <w:gridCol w:w="100"/>
        <w:gridCol w:w="784"/>
        <w:gridCol w:w="160"/>
        <w:gridCol w:w="100"/>
        <w:gridCol w:w="784"/>
        <w:gridCol w:w="160"/>
        <w:gridCol w:w="101"/>
        <w:gridCol w:w="685"/>
        <w:gridCol w:w="200"/>
        <w:gridCol w:w="553"/>
        <w:gridCol w:w="167"/>
      </w:tblGrid>
      <w:tr w:rsidR="00000000">
        <w:trPr>
          <w:divId w:val="446656548"/>
          <w:trHeight w:val="20"/>
        </w:trPr>
        <w:tc>
          <w:tcPr>
            <w:tcW w:w="2923" w:type="pct"/>
            <w:tcMar>
              <w:top w:w="0" w:type="dxa"/>
              <w:left w:w="0" w:type="dxa"/>
              <w:bottom w:w="0" w:type="dxa"/>
              <w:right w:w="0" w:type="dxa"/>
            </w:tcMar>
            <w:vAlign w:val="bottom"/>
            <w:hideMark/>
          </w:tcPr>
          <w:p w:rsidR="00000000" w:rsidRDefault="00F22B2C">
            <w:pPr>
              <w:pStyle w:val="a3"/>
              <w:spacing w:before="0" w:beforeAutospacing="0" w:after="0" w:afterAutospacing="0"/>
              <w:divId w:val="78119094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64615884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471023522"/>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12109734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69688559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307248302"/>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9038808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93490011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544802037"/>
              <w:rPr>
                <w:sz w:val="20"/>
                <w:szCs w:val="20"/>
              </w:rPr>
            </w:pPr>
            <w:r>
              <w:rPr>
                <w:sz w:val="2"/>
                <w:szCs w:val="2"/>
              </w:rPr>
              <w:t>​</w:t>
            </w:r>
          </w:p>
        </w:tc>
        <w:tc>
          <w:tcPr>
            <w:tcW w:w="360"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98836483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950813060"/>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10391291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950629096"/>
              <w:rPr>
                <w:sz w:val="20"/>
                <w:szCs w:val="20"/>
              </w:rPr>
            </w:pPr>
            <w:r>
              <w:rPr>
                <w:sz w:val="2"/>
                <w:szCs w:val="2"/>
              </w:rPr>
              <w:t>​</w:t>
            </w:r>
          </w:p>
        </w:tc>
      </w:tr>
      <w:tr w:rsidR="00000000">
        <w:trPr>
          <w:divId w:val="446656548"/>
        </w:trPr>
        <w:tc>
          <w:tcPr>
            <w:tcW w:w="2923"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964"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Years Ended December 31, </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c>
          <w:tcPr>
            <w:tcW w:w="860"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r>
      <w:tr w:rsidR="00000000">
        <w:trPr>
          <w:divId w:val="446656548"/>
        </w:trPr>
        <w:tc>
          <w:tcPr>
            <w:tcW w:w="2923"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2019</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35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sz w:val="16"/>
                <w:szCs w:val="16"/>
              </w:rPr>
              <w:t> </w:t>
            </w:r>
          </w:p>
        </w:tc>
      </w:tr>
      <w:tr w:rsidR="00000000">
        <w:trPr>
          <w:divId w:val="446656548"/>
        </w:trPr>
        <w:tc>
          <w:tcPr>
            <w:tcW w:w="292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Net loss</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(259,581</w:t>
            </w: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(197,556</w:t>
            </w: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(62,025</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    </w:t>
            </w:r>
          </w:p>
        </w:tc>
        <w:tc>
          <w:tcPr>
            <w:tcW w:w="35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3</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446656548"/>
        <w:rPr>
          <w:sz w:val="20"/>
          <w:szCs w:val="20"/>
        </w:rPr>
      </w:pPr>
      <w:r>
        <w:rPr>
          <w:sz w:val="20"/>
          <w:szCs w:val="20"/>
        </w:rPr>
        <w:t>​</w:t>
      </w:r>
    </w:p>
    <w:p w:rsidR="00000000" w:rsidRDefault="00F22B2C">
      <w:pPr>
        <w:pStyle w:val="a3"/>
        <w:spacing w:before="0" w:beforeAutospacing="0" w:after="0" w:afterAutospacing="0"/>
        <w:ind w:firstLine="360"/>
        <w:divId w:val="446656548"/>
        <w:rPr>
          <w:sz w:val="20"/>
          <w:szCs w:val="20"/>
        </w:rPr>
      </w:pPr>
      <w:r>
        <w:rPr>
          <w:sz w:val="20"/>
          <w:szCs w:val="20"/>
        </w:rPr>
        <w:t>Net loss for the year ended December 31, 2020 increased by $62.0 million or 31%, compared to the year ended December 31, 2019. The increase in our net loss was due to the continued expansion of our research and development activities, increased clinical tr</w:t>
      </w:r>
      <w:r>
        <w:rPr>
          <w:sz w:val="20"/>
          <w:szCs w:val="20"/>
        </w:rPr>
        <w:t xml:space="preserve">ials, and the overall growth of our corporate infrastructure. </w:t>
      </w:r>
    </w:p>
    <w:p w:rsidR="00000000" w:rsidRDefault="00F22B2C">
      <w:pPr>
        <w:pStyle w:val="a3"/>
        <w:spacing w:before="0" w:beforeAutospacing="0" w:after="0" w:afterAutospacing="0"/>
        <w:ind w:firstLine="360"/>
        <w:divId w:val="446656548"/>
        <w:rPr>
          <w:sz w:val="20"/>
          <w:szCs w:val="20"/>
        </w:rPr>
      </w:pPr>
      <w:r>
        <w:rPr>
          <w:sz w:val="20"/>
          <w:szCs w:val="20"/>
        </w:rPr>
        <w:t>​</w:t>
      </w:r>
    </w:p>
    <w:p w:rsidR="00000000" w:rsidRDefault="00F22B2C">
      <w:pPr>
        <w:pStyle w:val="a3"/>
        <w:spacing w:before="0" w:beforeAutospacing="0" w:after="240" w:afterAutospacing="0"/>
        <w:divId w:val="446656548"/>
        <w:rPr>
          <w:sz w:val="20"/>
          <w:szCs w:val="20"/>
        </w:rPr>
      </w:pPr>
      <w:r>
        <w:rPr>
          <w:b/>
          <w:bCs/>
          <w:sz w:val="20"/>
          <w:szCs w:val="20"/>
        </w:rPr>
        <w:t>Liquidity and Capital Resources</w:t>
      </w:r>
    </w:p>
    <w:p w:rsidR="00000000" w:rsidRDefault="00F22B2C">
      <w:pPr>
        <w:pStyle w:val="a3"/>
        <w:spacing w:before="0" w:beforeAutospacing="0" w:after="0" w:afterAutospacing="0"/>
        <w:ind w:firstLine="547"/>
        <w:divId w:val="446656548"/>
        <w:rPr>
          <w:sz w:val="20"/>
          <w:szCs w:val="20"/>
        </w:rPr>
      </w:pPr>
      <w:r>
        <w:rPr>
          <w:sz w:val="20"/>
          <w:szCs w:val="20"/>
        </w:rPr>
        <w:t xml:space="preserve">We have incurred losses and generated negative cash flows from operations since inception. Historically, we have funded our operations from various public and </w:t>
      </w:r>
      <w:r>
        <w:rPr>
          <w:sz w:val="20"/>
          <w:szCs w:val="20"/>
        </w:rPr>
        <w:t xml:space="preserve">private offerings of our equity securities (both common stock and preferred stock), from option and warrant exercises, and from interest income. Since 2017, our primary source of funds has been from the public sale of our common stock. We currently do not </w:t>
      </w:r>
      <w:r>
        <w:rPr>
          <w:sz w:val="20"/>
          <w:szCs w:val="20"/>
        </w:rPr>
        <w:t>anticipate that we will generate any significant revenues from the sale or licensing of any products during the 12 months from the date these financial statements are issued. We expect to further increase our research and development activities, especially</w:t>
      </w:r>
      <w:r>
        <w:rPr>
          <w:sz w:val="20"/>
          <w:szCs w:val="20"/>
        </w:rPr>
        <w:t xml:space="preserve"> continuing pre-commercial activities and completing the construction of our tenant improvements to the </w:t>
      </w:r>
      <w:r>
        <w:rPr>
          <w:i/>
          <w:iCs/>
          <w:sz w:val="20"/>
          <w:szCs w:val="20"/>
        </w:rPr>
        <w:t>i</w:t>
      </w:r>
      <w:r>
        <w:rPr>
          <w:sz w:val="20"/>
          <w:szCs w:val="20"/>
        </w:rPr>
        <w:t xml:space="preserve">CTC facility and new corporate headquarters office, which will increase the amount of cash we will use during 2022 and beyond. Specifically, we expect </w:t>
      </w:r>
      <w:r>
        <w:rPr>
          <w:sz w:val="20"/>
          <w:szCs w:val="20"/>
        </w:rPr>
        <w:t xml:space="preserve">increased spending on clinical trials, research and development activities, higher payroll expenses as we increase our professional and scientific staff and continue our expansion of manufacturing activities including completion of </w:t>
      </w:r>
      <w:r>
        <w:rPr>
          <w:i/>
          <w:iCs/>
          <w:sz w:val="20"/>
          <w:szCs w:val="20"/>
        </w:rPr>
        <w:t>i</w:t>
      </w:r>
      <w:r>
        <w:rPr>
          <w:sz w:val="20"/>
          <w:szCs w:val="20"/>
        </w:rPr>
        <w:t xml:space="preserve">CTC </w:t>
      </w:r>
    </w:p>
    <w:p w:rsidR="00000000" w:rsidRDefault="00F22B2C">
      <w:pPr>
        <w:pStyle w:val="a3"/>
        <w:spacing w:before="480" w:beforeAutospacing="0" w:after="0" w:afterAutospacing="0"/>
        <w:jc w:val="center"/>
        <w:divId w:val="1321884166"/>
        <w:rPr>
          <w:sz w:val="20"/>
          <w:szCs w:val="20"/>
        </w:rPr>
      </w:pPr>
      <w:r>
        <w:rPr>
          <w:sz w:val="20"/>
          <w:szCs w:val="20"/>
        </w:rPr>
        <w:t>95</w:t>
      </w:r>
    </w:p>
    <w:p w:rsidR="00000000" w:rsidRDefault="00F22B2C">
      <w:pPr>
        <w:pStyle w:val="a3"/>
        <w:spacing w:before="0" w:beforeAutospacing="0" w:after="600" w:afterAutospacing="0"/>
        <w:divId w:val="1758093418"/>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930380359"/>
        <w:rPr>
          <w:sz w:val="20"/>
          <w:szCs w:val="20"/>
        </w:rPr>
      </w:pPr>
      <w:r>
        <w:rPr>
          <w:sz w:val="20"/>
          <w:szCs w:val="20"/>
        </w:rPr>
        <w:t xml:space="preserve">facility as well as completing the construction of the tenant improvement to our new corporate headquarters office in San Carlos, California. </w:t>
      </w:r>
    </w:p>
    <w:p w:rsidR="00000000" w:rsidRDefault="00F22B2C">
      <w:pPr>
        <w:pStyle w:val="a3"/>
        <w:spacing w:before="0" w:beforeAutospacing="0" w:after="240" w:afterAutospacing="0"/>
        <w:ind w:firstLine="547"/>
        <w:divId w:val="1930380359"/>
        <w:rPr>
          <w:sz w:val="20"/>
          <w:szCs w:val="20"/>
        </w:rPr>
      </w:pPr>
      <w:r>
        <w:rPr>
          <w:sz w:val="20"/>
          <w:szCs w:val="20"/>
        </w:rPr>
        <w:t>We currently anticipate making aggregate capital expenditures between</w:t>
      </w:r>
      <w:r>
        <w:rPr>
          <w:sz w:val="20"/>
          <w:szCs w:val="20"/>
        </w:rPr>
        <w:t xml:space="preserve"> approximately $10.0 million and $11.0 million during the next 12 months, which is expected to primarily include equipment to be used for clinical trials, research and manufacturing at </w:t>
      </w:r>
      <w:r>
        <w:rPr>
          <w:i/>
          <w:iCs/>
          <w:sz w:val="20"/>
          <w:szCs w:val="20"/>
        </w:rPr>
        <w:t>i</w:t>
      </w:r>
      <w:r>
        <w:rPr>
          <w:sz w:val="20"/>
          <w:szCs w:val="20"/>
        </w:rPr>
        <w:t>CTC, as well as spending associated with the expansion of our manufact</w:t>
      </w:r>
      <w:r>
        <w:rPr>
          <w:sz w:val="20"/>
          <w:szCs w:val="20"/>
        </w:rPr>
        <w:t>uring facilities of offices.</w:t>
      </w:r>
    </w:p>
    <w:p w:rsidR="00000000" w:rsidRDefault="00F22B2C">
      <w:pPr>
        <w:pStyle w:val="a3"/>
        <w:spacing w:before="0" w:beforeAutospacing="0" w:after="200" w:afterAutospacing="0"/>
        <w:ind w:firstLine="547"/>
        <w:divId w:val="1930380359"/>
        <w:rPr>
          <w:sz w:val="20"/>
          <w:szCs w:val="20"/>
        </w:rPr>
      </w:pPr>
      <w:r>
        <w:rPr>
          <w:sz w:val="20"/>
          <w:szCs w:val="20"/>
        </w:rPr>
        <w:t>As of December 31, 2021, we had $602.1 million in cash, cash equivalents, investments, and restricted cash ($78.2 million of cash and cash equivalents, $426.2 million in short-term investments, $91.6 million in long-term invest</w:t>
      </w:r>
      <w:r>
        <w:rPr>
          <w:sz w:val="20"/>
          <w:szCs w:val="20"/>
        </w:rPr>
        <w:t xml:space="preserve">ments and $6.1 million in restricted cash). Based on the funds we have available as of the date of the filing of this Annual Report on Form 10-K, we believe that we have sufficient capital to fund our anticipated operating expenses and capital expenditure </w:t>
      </w:r>
      <w:r>
        <w:rPr>
          <w:sz w:val="20"/>
          <w:szCs w:val="20"/>
        </w:rPr>
        <w:t>for at least 12 months from the date of filing this report.</w:t>
      </w:r>
    </w:p>
    <w:p w:rsidR="00000000" w:rsidRDefault="00F22B2C">
      <w:pPr>
        <w:pStyle w:val="a3"/>
        <w:spacing w:before="0" w:beforeAutospacing="0" w:after="240" w:afterAutospacing="0"/>
        <w:divId w:val="1930380359"/>
        <w:rPr>
          <w:sz w:val="20"/>
          <w:szCs w:val="20"/>
        </w:rPr>
      </w:pPr>
      <w:r>
        <w:rPr>
          <w:i/>
          <w:iCs/>
          <w:sz w:val="20"/>
          <w:szCs w:val="20"/>
        </w:rPr>
        <w:t xml:space="preserve">Corporate Capitalization </w:t>
      </w:r>
    </w:p>
    <w:p w:rsidR="00000000" w:rsidRDefault="00F22B2C">
      <w:pPr>
        <w:pStyle w:val="a3"/>
        <w:spacing w:before="0" w:beforeAutospacing="0" w:after="240" w:afterAutospacing="0"/>
        <w:ind w:firstLine="547"/>
        <w:divId w:val="1930380359"/>
        <w:rPr>
          <w:sz w:val="20"/>
          <w:szCs w:val="20"/>
        </w:rPr>
      </w:pPr>
      <w:r>
        <w:rPr>
          <w:sz w:val="20"/>
          <w:szCs w:val="20"/>
        </w:rPr>
        <w:t>As of December 31, 2021, we had outstanding 157,004,742 shares of our $0.000041666 par value common stock, 194 shares of our $0.001 par value Series A Convertible Preferr</w:t>
      </w:r>
      <w:r>
        <w:rPr>
          <w:sz w:val="20"/>
          <w:szCs w:val="20"/>
        </w:rPr>
        <w:t>ed Stock, and 2,842,158 shares of our $0.001 par value Series B Convertible Preferred Stock. The outstanding shares of Series A Convertible Preferred Stock are currently convertible into 97,000 shares of our common stock, and the outstanding shares of Seri</w:t>
      </w:r>
      <w:r>
        <w:rPr>
          <w:sz w:val="20"/>
          <w:szCs w:val="20"/>
        </w:rPr>
        <w:t>es B Convertible Preferred Stock are currently convertible into 2,842,158 shares of our common stock. The shares of Series A Convertible Preferred Stock and Series B Convertible Preferred Stock do not have voting rights or accrue dividends.</w:t>
      </w:r>
    </w:p>
    <w:p w:rsidR="00000000" w:rsidRDefault="00F22B2C">
      <w:pPr>
        <w:pStyle w:val="a3"/>
        <w:spacing w:before="0" w:beforeAutospacing="0" w:after="200" w:afterAutospacing="0"/>
        <w:ind w:firstLine="547"/>
        <w:divId w:val="1930380359"/>
        <w:rPr>
          <w:sz w:val="20"/>
          <w:szCs w:val="20"/>
        </w:rPr>
      </w:pPr>
      <w:r>
        <w:rPr>
          <w:sz w:val="20"/>
          <w:szCs w:val="20"/>
        </w:rPr>
        <w:t>On September 17</w:t>
      </w:r>
      <w:r>
        <w:rPr>
          <w:sz w:val="20"/>
          <w:szCs w:val="20"/>
        </w:rPr>
        <w:t>, 2019, we filed a shelf registration statement with the SEC for the issuance up to an aggregate amount of $400 million (the “2019 Shelf Registration Statement”), which was declared effective on September 24, 2019. The 2019 Shelf Registration Statement was</w:t>
      </w:r>
      <w:r>
        <w:rPr>
          <w:sz w:val="20"/>
          <w:szCs w:val="20"/>
        </w:rPr>
        <w:t xml:space="preserve"> terminated upon effectiveness of the 2020 Automatic Shelf Registration Statement (as discussed below). No shares were sold under the 2019 Shelf Registration Statement prior to its termination.</w:t>
      </w:r>
    </w:p>
    <w:p w:rsidR="00000000" w:rsidRDefault="00F22B2C">
      <w:pPr>
        <w:pStyle w:val="a3"/>
        <w:spacing w:before="0" w:beforeAutospacing="0" w:after="200" w:afterAutospacing="0"/>
        <w:ind w:firstLine="547"/>
        <w:divId w:val="1930380359"/>
        <w:rPr>
          <w:sz w:val="20"/>
          <w:szCs w:val="20"/>
        </w:rPr>
      </w:pPr>
      <w:r>
        <w:rPr>
          <w:sz w:val="20"/>
          <w:szCs w:val="20"/>
        </w:rPr>
        <w:t>On May 27, 2020, we filed an automatic shelf registration stat</w:t>
      </w:r>
      <w:r>
        <w:rPr>
          <w:sz w:val="20"/>
          <w:szCs w:val="20"/>
        </w:rPr>
        <w:t>ement with the SEC for the issuance of an indeterminate amount of Shelf Securities (the “2020 Automatic Shelf Registration Statement”), which was immediately effective upon filing with the SEC. Upon filing of the 2020 Automatic Shelf Registration Statement</w:t>
      </w:r>
      <w:r>
        <w:rPr>
          <w:sz w:val="20"/>
          <w:szCs w:val="20"/>
        </w:rPr>
        <w:t>, the 2019 Shelf Registration Statement was terminated.</w:t>
      </w:r>
    </w:p>
    <w:p w:rsidR="00000000" w:rsidRDefault="00F22B2C">
      <w:pPr>
        <w:pStyle w:val="a3"/>
        <w:spacing w:before="0" w:beforeAutospacing="0" w:after="200" w:afterAutospacing="0"/>
        <w:ind w:firstLine="547"/>
        <w:divId w:val="1930380359"/>
        <w:rPr>
          <w:sz w:val="20"/>
          <w:szCs w:val="20"/>
        </w:rPr>
      </w:pPr>
      <w:r>
        <w:rPr>
          <w:sz w:val="20"/>
          <w:szCs w:val="20"/>
        </w:rPr>
        <w:t>On June 2, 2020, we sold 19,475,806 shares of our common stock at a public offering price of $31.00 per share pursuant to the 2020 Automatic Shelf Registration Statement (the “June 2020 Public Offerin</w:t>
      </w:r>
      <w:r>
        <w:rPr>
          <w:sz w:val="20"/>
          <w:szCs w:val="20"/>
        </w:rPr>
        <w:t>g”). We received gross proceeds of $603.7 million and net proceeds of $567.0 million, after deducting underwriting discounts and offering expenses. Following the public offering, the 2020 Automatic Shelf Registration Statement remains available for the fut</w:t>
      </w:r>
      <w:r>
        <w:rPr>
          <w:sz w:val="20"/>
          <w:szCs w:val="20"/>
        </w:rPr>
        <w:t>ure issuance of an indeterminate amount of Shelf Securities.</w:t>
      </w:r>
    </w:p>
    <w:p w:rsidR="00000000" w:rsidRDefault="00F22B2C">
      <w:pPr>
        <w:pStyle w:val="a3"/>
        <w:spacing w:before="0" w:beforeAutospacing="0" w:after="200" w:afterAutospacing="0"/>
        <w:ind w:firstLine="547"/>
        <w:divId w:val="1930380359"/>
        <w:rPr>
          <w:sz w:val="20"/>
          <w:szCs w:val="20"/>
        </w:rPr>
      </w:pPr>
      <w:r>
        <w:rPr>
          <w:sz w:val="20"/>
          <w:szCs w:val="20"/>
        </w:rPr>
        <w:t>On February 8, 2021, we entered into an Open Market Sale Agreement (the “Sales Agreement”), with Jefferies LLC (“Jefferies”), with respect to an “at the market” offering program, under which we m</w:t>
      </w:r>
      <w:r>
        <w:rPr>
          <w:sz w:val="20"/>
          <w:szCs w:val="20"/>
        </w:rPr>
        <w:t xml:space="preserve">ay, from time to time, in our sole discretion, issue and sell through Jefferies, acting as sales agent, up to $350.0 million of shares of our common stock. The issuance and sale, if any, of shares of our common stock under the Sales Agreement will be made </w:t>
      </w:r>
      <w:r>
        <w:rPr>
          <w:sz w:val="20"/>
          <w:szCs w:val="20"/>
        </w:rPr>
        <w:t>pursuant to a prospectus supplement, dated February 8, 2021, to the 2020 Automatic Shelf Registration Statement. During the year ended December 31, 2021, we received $203.2 million in net proceeds through the sale of 6,474,099 shares of our common stock.</w:t>
      </w:r>
    </w:p>
    <w:p w:rsidR="00000000" w:rsidRDefault="00F22B2C">
      <w:pPr>
        <w:pStyle w:val="a3"/>
        <w:spacing w:before="0" w:beforeAutospacing="0" w:after="240" w:afterAutospacing="0"/>
        <w:ind w:firstLine="547"/>
        <w:divId w:val="1930380359"/>
        <w:rPr>
          <w:sz w:val="20"/>
          <w:szCs w:val="20"/>
        </w:rPr>
      </w:pPr>
      <w:r>
        <w:rPr>
          <w:sz w:val="20"/>
          <w:szCs w:val="20"/>
        </w:rPr>
        <w:t>I</w:t>
      </w:r>
      <w:r>
        <w:rPr>
          <w:sz w:val="20"/>
          <w:szCs w:val="20"/>
        </w:rPr>
        <w:t>n the future, we may periodically offer one or more of these securities in amounts, prices and terms to be announced when and if the securities are offered. If any of the securities covered by the 2020 Shelf Registration Statement are offered for sale, a p</w:t>
      </w:r>
      <w:r>
        <w:rPr>
          <w:sz w:val="20"/>
          <w:szCs w:val="20"/>
        </w:rPr>
        <w:t>rospectus supplement will be prepared and filed with the SEC containing specific information about the terms of such offering at that time.</w:t>
      </w:r>
    </w:p>
    <w:p w:rsidR="00000000" w:rsidRDefault="00F22B2C">
      <w:pPr>
        <w:pStyle w:val="a3"/>
        <w:spacing w:before="480" w:beforeAutospacing="0" w:after="0" w:afterAutospacing="0"/>
        <w:jc w:val="center"/>
        <w:divId w:val="2116517620"/>
        <w:rPr>
          <w:sz w:val="20"/>
          <w:szCs w:val="20"/>
        </w:rPr>
      </w:pPr>
      <w:r>
        <w:rPr>
          <w:sz w:val="20"/>
          <w:szCs w:val="20"/>
        </w:rPr>
        <w:t>96</w:t>
      </w:r>
    </w:p>
    <w:p w:rsidR="00000000" w:rsidRDefault="00F22B2C">
      <w:pPr>
        <w:pStyle w:val="a3"/>
        <w:spacing w:before="0" w:beforeAutospacing="0" w:after="600" w:afterAutospacing="0"/>
        <w:divId w:val="1134178112"/>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648361620"/>
        <w:rPr>
          <w:sz w:val="20"/>
          <w:szCs w:val="20"/>
        </w:rPr>
      </w:pPr>
      <w:r>
        <w:rPr>
          <w:i/>
          <w:iCs/>
          <w:sz w:val="20"/>
          <w:szCs w:val="20"/>
        </w:rPr>
        <w:t>Cash Flows</w:t>
      </w:r>
    </w:p>
    <w:p w:rsidR="00000000" w:rsidRDefault="00F22B2C">
      <w:pPr>
        <w:pStyle w:val="a3"/>
        <w:spacing w:before="0" w:beforeAutospacing="0" w:after="0" w:afterAutospacing="0"/>
        <w:ind w:firstLine="547"/>
        <w:divId w:val="1648361620"/>
        <w:rPr>
          <w:sz w:val="20"/>
          <w:szCs w:val="20"/>
        </w:rPr>
      </w:pPr>
      <w:r>
        <w:rPr>
          <w:sz w:val="20"/>
          <w:szCs w:val="20"/>
        </w:rPr>
        <w:t>Cash flows from operating, investing and financing activit</w:t>
      </w:r>
      <w:r>
        <w:rPr>
          <w:sz w:val="20"/>
          <w:szCs w:val="20"/>
        </w:rPr>
        <w:t>ies (in thousands):</w:t>
      </w:r>
    </w:p>
    <w:p w:rsidR="00000000" w:rsidRDefault="00F22B2C">
      <w:pPr>
        <w:pStyle w:val="a3"/>
        <w:spacing w:before="0" w:beforeAutospacing="0" w:after="0" w:afterAutospacing="0"/>
        <w:ind w:firstLine="547"/>
        <w:divId w:val="164836162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28"/>
        <w:gridCol w:w="6"/>
        <w:gridCol w:w="100"/>
        <w:gridCol w:w="784"/>
        <w:gridCol w:w="160"/>
        <w:gridCol w:w="100"/>
        <w:gridCol w:w="784"/>
        <w:gridCol w:w="160"/>
        <w:gridCol w:w="100"/>
        <w:gridCol w:w="784"/>
      </w:tblGrid>
      <w:tr w:rsidR="00000000">
        <w:trPr>
          <w:divId w:val="1648361620"/>
          <w:trHeight w:val="20"/>
        </w:trPr>
        <w:tc>
          <w:tcPr>
            <w:tcW w:w="3292" w:type="pct"/>
            <w:tcMar>
              <w:top w:w="0" w:type="dxa"/>
              <w:left w:w="0" w:type="dxa"/>
              <w:bottom w:w="0" w:type="dxa"/>
              <w:right w:w="0" w:type="dxa"/>
            </w:tcMar>
            <w:vAlign w:val="bottom"/>
            <w:hideMark/>
          </w:tcPr>
          <w:p w:rsidR="00000000" w:rsidRDefault="00F22B2C">
            <w:pPr>
              <w:pStyle w:val="a3"/>
              <w:spacing w:before="0" w:beforeAutospacing="0" w:after="0" w:afterAutospacing="0"/>
              <w:divId w:val="98188318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04105657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287589323"/>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908468263"/>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5960783"/>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442458325"/>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000303463"/>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07496667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025059879"/>
              <w:rPr>
                <w:sz w:val="20"/>
                <w:szCs w:val="20"/>
              </w:rPr>
            </w:pPr>
            <w:r>
              <w:rPr>
                <w:sz w:val="2"/>
                <w:szCs w:val="2"/>
              </w:rPr>
              <w:t>​</w:t>
            </w:r>
          </w:p>
        </w:tc>
        <w:tc>
          <w:tcPr>
            <w:tcW w:w="41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556119198"/>
              <w:rPr>
                <w:sz w:val="20"/>
                <w:szCs w:val="20"/>
              </w:rPr>
            </w:pPr>
            <w:r>
              <w:rPr>
                <w:sz w:val="2"/>
                <w:szCs w:val="2"/>
              </w:rPr>
              <w:t>​</w:t>
            </w:r>
          </w:p>
        </w:tc>
      </w:tr>
      <w:tr w:rsidR="00000000">
        <w:trPr>
          <w:divId w:val="1648361620"/>
        </w:trPr>
        <w:tc>
          <w:tcPr>
            <w:tcW w:w="3292"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1641" w:type="pct"/>
            <w:gridSpan w:val="8"/>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Years Ended December 31, </w:t>
            </w:r>
          </w:p>
        </w:tc>
      </w:tr>
      <w:tr w:rsidR="00000000">
        <w:trPr>
          <w:divId w:val="1648361620"/>
        </w:trPr>
        <w:tc>
          <w:tcPr>
            <w:tcW w:w="3292"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78"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2019</w:t>
            </w:r>
          </w:p>
        </w:tc>
      </w:tr>
      <w:tr w:rsidR="00000000">
        <w:trPr>
          <w:divId w:val="1648361620"/>
        </w:trPr>
        <w:tc>
          <w:tcPr>
            <w:tcW w:w="329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Net cash (used in) provided by:</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  </w:t>
            </w:r>
          </w:p>
        </w:tc>
      </w:tr>
      <w:tr w:rsidR="00000000">
        <w:trPr>
          <w:divId w:val="1648361620"/>
        </w:trPr>
        <w:tc>
          <w:tcPr>
            <w:tcW w:w="3292"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Operating activities</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(227,941</w:t>
            </w:r>
            <w:r>
              <w:rPr>
                <w:sz w:val="20"/>
                <w:szCs w:val="20"/>
              </w:rPr>
              <w:t>)</w:t>
            </w:r>
          </w:p>
        </w:tc>
        <w:tc>
          <w:tcPr>
            <w:tcW w:w="104"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(205,134</w:t>
            </w:r>
            <w:r>
              <w:rPr>
                <w:sz w:val="20"/>
                <w:szCs w:val="20"/>
              </w:rPr>
              <w:t>)</w:t>
            </w:r>
          </w:p>
        </w:tc>
        <w:tc>
          <w:tcPr>
            <w:tcW w:w="104"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(158,889</w:t>
            </w:r>
            <w:r>
              <w:rPr>
                <w:sz w:val="20"/>
                <w:szCs w:val="20"/>
              </w:rPr>
              <w:t>)</w:t>
            </w:r>
          </w:p>
        </w:tc>
      </w:tr>
      <w:tr w:rsidR="00000000">
        <w:trPr>
          <w:divId w:val="1648361620"/>
        </w:trPr>
        <w:tc>
          <w:tcPr>
            <w:tcW w:w="329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Investing activities</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13</w:t>
            </w:r>
            <w:r>
              <w:rPr>
                <w:sz w:val="20"/>
                <w:szCs w:val="20"/>
              </w:rPr>
              <w:t>2</w:t>
            </w:r>
          </w:p>
        </w:tc>
        <w:tc>
          <w:tcPr>
            <w:tcW w:w="10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(317,853</w:t>
            </w: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41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90,02</w:t>
            </w:r>
            <w:r>
              <w:rPr>
                <w:sz w:val="20"/>
                <w:szCs w:val="20"/>
              </w:rPr>
              <w:t>5</w:t>
            </w:r>
          </w:p>
        </w:tc>
      </w:tr>
      <w:tr w:rsidR="00000000">
        <w:trPr>
          <w:divId w:val="1648361620"/>
        </w:trPr>
        <w:tc>
          <w:tcPr>
            <w:tcW w:w="3292"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Financing activities</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239,26</w:t>
            </w:r>
            <w:r>
              <w:rPr>
                <w:sz w:val="20"/>
                <w:szCs w:val="20"/>
              </w:rPr>
              <w:t>8</w:t>
            </w:r>
          </w:p>
        </w:tc>
        <w:tc>
          <w:tcPr>
            <w:tcW w:w="104"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576,42</w:t>
            </w:r>
            <w:r>
              <w:rPr>
                <w:sz w:val="20"/>
                <w:szCs w:val="20"/>
              </w:rPr>
              <w:t>2</w:t>
            </w:r>
          </w:p>
        </w:tc>
        <w:tc>
          <w:tcPr>
            <w:tcW w:w="104"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41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6,13</w:t>
            </w:r>
            <w:r>
              <w:rPr>
                <w:sz w:val="20"/>
                <w:szCs w:val="20"/>
              </w:rPr>
              <w:t>1</w:t>
            </w:r>
          </w:p>
        </w:tc>
      </w:tr>
      <w:tr w:rsidR="00000000">
        <w:trPr>
          <w:divId w:val="1648361620"/>
        </w:trPr>
        <w:tc>
          <w:tcPr>
            <w:tcW w:w="329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Net increase in cash, cash equivalents and restricted cash</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11,45</w:t>
            </w:r>
            <w:r>
              <w:rPr>
                <w:sz w:val="20"/>
                <w:szCs w:val="20"/>
              </w:rPr>
              <w:t>9</w:t>
            </w:r>
          </w:p>
        </w:tc>
        <w:tc>
          <w:tcPr>
            <w:tcW w:w="10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53,43</w:t>
            </w:r>
            <w:r>
              <w:rPr>
                <w:sz w:val="20"/>
                <w:szCs w:val="20"/>
              </w:rPr>
              <w:t>5</w:t>
            </w:r>
          </w:p>
        </w:tc>
        <w:tc>
          <w:tcPr>
            <w:tcW w:w="10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(62,733</w:t>
            </w:r>
            <w:r>
              <w:rPr>
                <w:sz w:val="20"/>
                <w:szCs w:val="20"/>
              </w:rPr>
              <w:t>)</w:t>
            </w:r>
          </w:p>
        </w:tc>
      </w:tr>
    </w:tbl>
    <w:p w:rsidR="00000000" w:rsidRDefault="00F22B2C">
      <w:pPr>
        <w:pStyle w:val="a3"/>
        <w:spacing w:before="0" w:beforeAutospacing="0" w:after="0" w:afterAutospacing="0"/>
        <w:divId w:val="1648361620"/>
        <w:rPr>
          <w:sz w:val="20"/>
          <w:szCs w:val="20"/>
        </w:rPr>
      </w:pPr>
      <w:r>
        <w:rPr>
          <w:sz w:val="20"/>
          <w:szCs w:val="20"/>
        </w:rPr>
        <w:t>​</w:t>
      </w:r>
    </w:p>
    <w:p w:rsidR="00000000" w:rsidRDefault="00F22B2C">
      <w:pPr>
        <w:pStyle w:val="a3"/>
        <w:spacing w:before="0" w:beforeAutospacing="0" w:after="240" w:afterAutospacing="0"/>
        <w:divId w:val="1648361620"/>
        <w:rPr>
          <w:sz w:val="20"/>
          <w:szCs w:val="20"/>
        </w:rPr>
      </w:pPr>
      <w:r>
        <w:rPr>
          <w:i/>
          <w:iCs/>
          <w:sz w:val="20"/>
          <w:szCs w:val="20"/>
        </w:rPr>
        <w:t>Operating Activities</w:t>
      </w:r>
    </w:p>
    <w:p w:rsidR="00000000" w:rsidRDefault="00F22B2C">
      <w:pPr>
        <w:pStyle w:val="a3"/>
        <w:spacing w:before="0" w:beforeAutospacing="0" w:after="200" w:afterAutospacing="0"/>
        <w:ind w:firstLine="547"/>
        <w:divId w:val="1648361620"/>
        <w:rPr>
          <w:sz w:val="20"/>
          <w:szCs w:val="20"/>
        </w:rPr>
      </w:pPr>
      <w:r>
        <w:rPr>
          <w:sz w:val="20"/>
          <w:szCs w:val="20"/>
        </w:rPr>
        <w:t xml:space="preserve">Net cash used in operating activities represents cash disbursements related to all of our activities other than investing and financing activities. Operating cash flow is derived by adjusting our net loss for non-cash items and changes in operating assets </w:t>
      </w:r>
      <w:r>
        <w:rPr>
          <w:sz w:val="20"/>
          <w:szCs w:val="20"/>
        </w:rPr>
        <w:t>and liabilities. Net cash used in operating activities for the year ended December 31, 2021 was $227.9 million compared to $205.1 million for the same period in 2020. The increase of $22.8 million in cash used in operating activities was primarily due to a</w:t>
      </w:r>
      <w:r>
        <w:rPr>
          <w:sz w:val="20"/>
          <w:szCs w:val="20"/>
        </w:rPr>
        <w:t>n increase in net loss driven by increased costs in research and development and pre-commercial activities, which was partially offset by an increase in non-cash charges of $38.3 million primarily driven by higher stock-based compensation expenses, amortiz</w:t>
      </w:r>
      <w:r>
        <w:rPr>
          <w:sz w:val="20"/>
          <w:szCs w:val="20"/>
        </w:rPr>
        <w:t>ation of premiums on investments and operating right-of-use assets associated with our office and manufacturing facility as well as embedded leases, and depreciation expenses. In addition, it reflects a reduction in our operating lease liabilities associat</w:t>
      </w:r>
      <w:r>
        <w:rPr>
          <w:sz w:val="20"/>
          <w:szCs w:val="20"/>
        </w:rPr>
        <w:t xml:space="preserve">ed with payments on lease arrangements, offset by an increase in accruals and accounts payable primarily related to our increased workforce, overall growth in the business and operations, and the timing of vendor invoicing and related payments. </w:t>
      </w:r>
    </w:p>
    <w:p w:rsidR="00000000" w:rsidRDefault="00F22B2C">
      <w:pPr>
        <w:pStyle w:val="a3"/>
        <w:spacing w:before="0" w:beforeAutospacing="0" w:after="240" w:afterAutospacing="0"/>
        <w:ind w:firstLine="547"/>
        <w:divId w:val="1648361620"/>
        <w:rPr>
          <w:sz w:val="20"/>
          <w:szCs w:val="20"/>
        </w:rPr>
      </w:pPr>
      <w:r>
        <w:rPr>
          <w:sz w:val="20"/>
          <w:szCs w:val="20"/>
        </w:rPr>
        <w:t>Net cash u</w:t>
      </w:r>
      <w:r>
        <w:rPr>
          <w:sz w:val="20"/>
          <w:szCs w:val="20"/>
        </w:rPr>
        <w:t xml:space="preserve">sed in operating activities for the year ended December 31, 2020 was $205.1 million compared to $158.9 million for the same period in 2019. The increase of $46.2 million in cash used in operating activities was primarily attributable to an increase in net </w:t>
      </w:r>
      <w:r>
        <w:rPr>
          <w:sz w:val="20"/>
          <w:szCs w:val="20"/>
        </w:rPr>
        <w:t>loss and increase in accruals primarily related to our research and development activities, which were partially offset by an increase in non-cash charges of $22.8 million, primarily driven by higher-stock-based compensation expenses and amortization of pr</w:t>
      </w:r>
      <w:r>
        <w:rPr>
          <w:sz w:val="20"/>
          <w:szCs w:val="20"/>
        </w:rPr>
        <w:t xml:space="preserve">emiums on investments. </w:t>
      </w:r>
    </w:p>
    <w:p w:rsidR="00000000" w:rsidRDefault="00F22B2C">
      <w:pPr>
        <w:pStyle w:val="a3"/>
        <w:spacing w:before="0" w:beforeAutospacing="0" w:after="200" w:afterAutospacing="0"/>
        <w:ind w:firstLine="547"/>
        <w:divId w:val="1648361620"/>
        <w:rPr>
          <w:sz w:val="20"/>
          <w:szCs w:val="20"/>
        </w:rPr>
      </w:pPr>
      <w:r>
        <w:rPr>
          <w:sz w:val="20"/>
          <w:szCs w:val="20"/>
        </w:rPr>
        <w:t>Net cash used in operating activities for the year ended December 31, 2019 was $158.9 million compared to $101.2 million for the same period in 2018. The increase of $57.7 million in cash used in operating activities was due to an i</w:t>
      </w:r>
      <w:r>
        <w:rPr>
          <w:sz w:val="20"/>
          <w:szCs w:val="20"/>
        </w:rPr>
        <w:t>ncrease in net loss and an increase in operating lease payments, which were partially offset by an increase in non-cash charges of $9.0 million, primarily driven by higher-stock-based compensation expenses and amortization of right-of-use assets, and an in</w:t>
      </w:r>
      <w:r>
        <w:rPr>
          <w:sz w:val="20"/>
          <w:szCs w:val="20"/>
        </w:rPr>
        <w:t xml:space="preserve">crease in accruals due to the timing of vendor invoicing and related payments. </w:t>
      </w:r>
    </w:p>
    <w:p w:rsidR="00000000" w:rsidRDefault="00F22B2C">
      <w:pPr>
        <w:pStyle w:val="a3"/>
        <w:spacing w:before="0" w:beforeAutospacing="0" w:after="240" w:afterAutospacing="0"/>
        <w:divId w:val="1648361620"/>
        <w:rPr>
          <w:sz w:val="20"/>
          <w:szCs w:val="20"/>
        </w:rPr>
      </w:pPr>
      <w:r>
        <w:rPr>
          <w:i/>
          <w:iCs/>
          <w:sz w:val="20"/>
          <w:szCs w:val="20"/>
        </w:rPr>
        <w:t>Investing Activities</w:t>
      </w:r>
    </w:p>
    <w:p w:rsidR="00000000" w:rsidRDefault="00F22B2C">
      <w:pPr>
        <w:pStyle w:val="a3"/>
        <w:spacing w:before="0" w:beforeAutospacing="0" w:after="240" w:afterAutospacing="0"/>
        <w:ind w:firstLine="547"/>
        <w:divId w:val="1648361620"/>
        <w:rPr>
          <w:sz w:val="20"/>
          <w:szCs w:val="20"/>
        </w:rPr>
      </w:pPr>
      <w:r>
        <w:rPr>
          <w:sz w:val="20"/>
          <w:szCs w:val="20"/>
        </w:rPr>
        <w:t>Net cash (used in) / provided by investing activities primarily consists of purchases, maturities of our investments and capital expenditures. Net cash pro</w:t>
      </w:r>
      <w:r>
        <w:rPr>
          <w:sz w:val="20"/>
          <w:szCs w:val="20"/>
        </w:rPr>
        <w:t>vided by investing activities for the year ended December 31, 2021 was $0.1 million compared to net cash used in investing activities of $317.9 million. The increase in cash provided by investing activities of $318.0 million was primarily due to the timing</w:t>
      </w:r>
      <w:r>
        <w:rPr>
          <w:sz w:val="20"/>
          <w:szCs w:val="20"/>
        </w:rPr>
        <w:t xml:space="preserve"> of maturities and purchases of investments and lower capital expenditures in 2021.</w:t>
      </w:r>
    </w:p>
    <w:p w:rsidR="00000000" w:rsidRDefault="00F22B2C">
      <w:pPr>
        <w:pStyle w:val="a3"/>
        <w:spacing w:before="0" w:beforeAutospacing="0" w:after="240" w:afterAutospacing="0"/>
        <w:ind w:firstLine="547"/>
        <w:divId w:val="1648361620"/>
        <w:rPr>
          <w:sz w:val="20"/>
          <w:szCs w:val="20"/>
        </w:rPr>
      </w:pPr>
      <w:r>
        <w:rPr>
          <w:sz w:val="20"/>
          <w:szCs w:val="20"/>
        </w:rPr>
        <w:t>Net cash used in investing activities for the year ended December 31, 2020 was $317.9 million compared to net cash provided by $90.0 million for the same period in 2019. Th</w:t>
      </w:r>
      <w:r>
        <w:rPr>
          <w:sz w:val="20"/>
          <w:szCs w:val="20"/>
        </w:rPr>
        <w:t xml:space="preserve">e increase in net cash used in investing activities of $407.9 million was due primarily to purchases of investments with the proceeds received from the June 2020 Public Offering and an increase in capital expenditures to support the </w:t>
      </w:r>
      <w:r>
        <w:rPr>
          <w:i/>
          <w:iCs/>
          <w:sz w:val="20"/>
          <w:szCs w:val="20"/>
        </w:rPr>
        <w:t>i</w:t>
      </w:r>
      <w:r>
        <w:rPr>
          <w:sz w:val="20"/>
          <w:szCs w:val="20"/>
        </w:rPr>
        <w:t>CTC build-out.</w:t>
      </w:r>
    </w:p>
    <w:p w:rsidR="00000000" w:rsidRDefault="00F22B2C">
      <w:pPr>
        <w:pStyle w:val="a3"/>
        <w:spacing w:before="0" w:beforeAutospacing="0" w:after="240" w:afterAutospacing="0"/>
        <w:ind w:firstLine="547"/>
        <w:divId w:val="1648361620"/>
        <w:rPr>
          <w:sz w:val="20"/>
          <w:szCs w:val="20"/>
        </w:rPr>
      </w:pPr>
      <w:r>
        <w:rPr>
          <w:sz w:val="20"/>
          <w:szCs w:val="20"/>
        </w:rPr>
        <w:t>Net cas</w:t>
      </w:r>
      <w:r>
        <w:rPr>
          <w:sz w:val="20"/>
          <w:szCs w:val="20"/>
        </w:rPr>
        <w:t>h provided by investing activities for the year ended December 31, 2019 was $90.0 million compared to net cash used in investing activities of $386.3 million for the same period in 2018. The increase in net cash provided in 2019 was due primarily to the ti</w:t>
      </w:r>
      <w:r>
        <w:rPr>
          <w:sz w:val="20"/>
          <w:szCs w:val="20"/>
        </w:rPr>
        <w:t>ming of maturities and purchases of investments.</w:t>
      </w:r>
    </w:p>
    <w:p w:rsidR="00000000" w:rsidRDefault="00F22B2C">
      <w:pPr>
        <w:pStyle w:val="a3"/>
        <w:spacing w:before="480" w:beforeAutospacing="0" w:after="0" w:afterAutospacing="0"/>
        <w:jc w:val="center"/>
        <w:divId w:val="790056068"/>
        <w:rPr>
          <w:sz w:val="20"/>
          <w:szCs w:val="20"/>
        </w:rPr>
      </w:pPr>
      <w:r>
        <w:rPr>
          <w:sz w:val="20"/>
          <w:szCs w:val="20"/>
        </w:rPr>
        <w:t>97</w:t>
      </w:r>
    </w:p>
    <w:p w:rsidR="00000000" w:rsidRDefault="00F22B2C">
      <w:pPr>
        <w:pStyle w:val="a3"/>
        <w:spacing w:before="0" w:beforeAutospacing="0" w:after="600" w:afterAutospacing="0"/>
        <w:divId w:val="1818718897"/>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740056099"/>
        <w:rPr>
          <w:sz w:val="20"/>
          <w:szCs w:val="20"/>
        </w:rPr>
      </w:pPr>
      <w:r>
        <w:rPr>
          <w:i/>
          <w:iCs/>
          <w:sz w:val="20"/>
          <w:szCs w:val="20"/>
        </w:rPr>
        <w:t>Financing Activities</w:t>
      </w:r>
    </w:p>
    <w:p w:rsidR="00000000" w:rsidRDefault="00F22B2C">
      <w:pPr>
        <w:pStyle w:val="a3"/>
        <w:spacing w:before="0" w:beforeAutospacing="0" w:after="240" w:afterAutospacing="0"/>
        <w:ind w:firstLine="547"/>
        <w:divId w:val="1740056099"/>
        <w:rPr>
          <w:sz w:val="20"/>
          <w:szCs w:val="20"/>
        </w:rPr>
      </w:pPr>
      <w:r>
        <w:rPr>
          <w:sz w:val="20"/>
          <w:szCs w:val="20"/>
        </w:rPr>
        <w:t>Net cash provided by financing activities for the year ended December 31, 2021 was $239.3 million compared to net cash provided of $576.4 million. The net cash provided by financing activities during the year ended December 30, 2021 related to $203.2 milli</w:t>
      </w:r>
      <w:r>
        <w:rPr>
          <w:sz w:val="20"/>
          <w:szCs w:val="20"/>
        </w:rPr>
        <w:t>on cash proceeds from our “at the market” offering and $33.5 million of cash receipts from the issuance of common stock upon the exercise of stock options. The net cash provided by financing activities during the year ended December 31, 2020 primarily rela</w:t>
      </w:r>
      <w:r>
        <w:rPr>
          <w:sz w:val="20"/>
          <w:szCs w:val="20"/>
        </w:rPr>
        <w:t>ted to $567.0 million cash proceeds received in the June 2020 public offering and $9.7 million cash proceeds from issuance of common stock upon exercise of stock options in 2021.</w:t>
      </w:r>
    </w:p>
    <w:p w:rsidR="00000000" w:rsidRDefault="00F22B2C">
      <w:pPr>
        <w:pStyle w:val="a3"/>
        <w:spacing w:before="0" w:beforeAutospacing="0" w:after="240" w:afterAutospacing="0"/>
        <w:ind w:firstLine="547"/>
        <w:divId w:val="1740056099"/>
        <w:rPr>
          <w:sz w:val="20"/>
          <w:szCs w:val="20"/>
        </w:rPr>
      </w:pPr>
      <w:r>
        <w:rPr>
          <w:sz w:val="20"/>
          <w:szCs w:val="20"/>
        </w:rPr>
        <w:t>Net cash provided by financing activities for the year ended December 31, 202</w:t>
      </w:r>
      <w:r>
        <w:rPr>
          <w:sz w:val="20"/>
          <w:szCs w:val="20"/>
        </w:rPr>
        <w:t>0 was $576.4 million compared to net cash provided of $6.1 million for the same period in 2019. The net cash provided in financing activities during the year ended December 31, 2020 primarily related to $567.0 million received from the June 2020 Public Off</w:t>
      </w:r>
      <w:r>
        <w:rPr>
          <w:sz w:val="20"/>
          <w:szCs w:val="20"/>
        </w:rPr>
        <w:t xml:space="preserve">ering and $9.7 million cash proceeds received in issuing common stock upon exercise of stock options. Net cash provided by financing activities for the year ended December 31, 2019 related to cash proceeds received in issuing common stock upon exercise of </w:t>
      </w:r>
      <w:r>
        <w:rPr>
          <w:sz w:val="20"/>
          <w:szCs w:val="20"/>
        </w:rPr>
        <w:t xml:space="preserve">stock options. </w:t>
      </w:r>
    </w:p>
    <w:p w:rsidR="00000000" w:rsidRDefault="00F22B2C">
      <w:pPr>
        <w:pStyle w:val="a3"/>
        <w:spacing w:before="0" w:beforeAutospacing="0" w:after="240" w:afterAutospacing="0"/>
        <w:ind w:firstLine="547"/>
        <w:divId w:val="1740056099"/>
        <w:rPr>
          <w:sz w:val="20"/>
          <w:szCs w:val="20"/>
        </w:rPr>
      </w:pPr>
      <w:r>
        <w:rPr>
          <w:sz w:val="20"/>
          <w:szCs w:val="20"/>
        </w:rPr>
        <w:t>Net cash provided by financing activities for the year ended December 31, 2019 was $6.1 million compared to net cash provided of $424.3 million for the same period in 2018. Net cash provided by financing activities for the year ended Decemb</w:t>
      </w:r>
      <w:r>
        <w:rPr>
          <w:sz w:val="20"/>
          <w:szCs w:val="20"/>
        </w:rPr>
        <w:t xml:space="preserve">er 31, 2019 related to cash proceeds received in issuing common stock upon exercise of stock options. The net cash provided by financing activities of $424.3 million for the year ended December 31, 2018 primarily related to $398.8 million of cash proceeds </w:t>
      </w:r>
      <w:r>
        <w:rPr>
          <w:sz w:val="20"/>
          <w:szCs w:val="20"/>
        </w:rPr>
        <w:t xml:space="preserve">received from January and October 2018 public offerings, $15.8 million cash proceeds from exercise of warrants, and $10.0 million cash proceeds from issuing common stock upon exercise of stock options. </w:t>
      </w:r>
    </w:p>
    <w:p w:rsidR="00000000" w:rsidRDefault="00F22B2C">
      <w:pPr>
        <w:pStyle w:val="a3"/>
        <w:spacing w:before="0" w:beforeAutospacing="0" w:after="0" w:afterAutospacing="0"/>
        <w:divId w:val="1740056099"/>
        <w:rPr>
          <w:sz w:val="20"/>
          <w:szCs w:val="20"/>
        </w:rPr>
      </w:pPr>
      <w:r>
        <w:rPr>
          <w:b/>
          <w:bCs/>
          <w:sz w:val="20"/>
          <w:szCs w:val="20"/>
        </w:rPr>
        <w:t>Contractual Obligations</w:t>
      </w:r>
    </w:p>
    <w:p w:rsidR="00000000" w:rsidRDefault="00F22B2C">
      <w:pPr>
        <w:pStyle w:val="a3"/>
        <w:spacing w:before="0" w:beforeAutospacing="0" w:after="0" w:afterAutospacing="0"/>
        <w:divId w:val="1740056099"/>
        <w:rPr>
          <w:sz w:val="20"/>
          <w:szCs w:val="20"/>
        </w:rPr>
      </w:pPr>
      <w:r>
        <w:rPr>
          <w:b/>
          <w:bCs/>
          <w:sz w:val="20"/>
          <w:szCs w:val="20"/>
        </w:rPr>
        <w:t>​</w:t>
      </w:r>
    </w:p>
    <w:p w:rsidR="00000000" w:rsidRDefault="00F22B2C">
      <w:pPr>
        <w:pStyle w:val="a3"/>
        <w:spacing w:before="0" w:beforeAutospacing="0" w:after="0" w:afterAutospacing="0"/>
        <w:ind w:firstLine="547"/>
        <w:divId w:val="1740056099"/>
        <w:rPr>
          <w:sz w:val="20"/>
          <w:szCs w:val="20"/>
        </w:rPr>
      </w:pPr>
      <w:r>
        <w:rPr>
          <w:sz w:val="20"/>
          <w:szCs w:val="20"/>
        </w:rPr>
        <w:t>The following table summari</w:t>
      </w:r>
      <w:r>
        <w:rPr>
          <w:sz w:val="20"/>
          <w:szCs w:val="20"/>
        </w:rPr>
        <w:t>zes our non-cancellable contractual obligations as of December 31, 2021 and the effects that such obligations are expected to have on our liquidity and cash flows in future periods (in thousands):</w:t>
      </w:r>
    </w:p>
    <w:p w:rsidR="00000000" w:rsidRDefault="00F22B2C">
      <w:pPr>
        <w:pStyle w:val="a3"/>
        <w:spacing w:before="0" w:beforeAutospacing="0" w:after="0" w:afterAutospacing="0"/>
        <w:ind w:firstLine="547"/>
        <w:divId w:val="174005609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318"/>
        <w:gridCol w:w="145"/>
        <w:gridCol w:w="100"/>
        <w:gridCol w:w="710"/>
        <w:gridCol w:w="160"/>
        <w:gridCol w:w="100"/>
        <w:gridCol w:w="549"/>
        <w:gridCol w:w="160"/>
        <w:gridCol w:w="100"/>
        <w:gridCol w:w="571"/>
        <w:gridCol w:w="160"/>
        <w:gridCol w:w="100"/>
        <w:gridCol w:w="571"/>
        <w:gridCol w:w="160"/>
        <w:gridCol w:w="100"/>
        <w:gridCol w:w="571"/>
        <w:gridCol w:w="160"/>
        <w:gridCol w:w="100"/>
        <w:gridCol w:w="571"/>
        <w:gridCol w:w="160"/>
        <w:gridCol w:w="101"/>
        <w:gridCol w:w="639"/>
      </w:tblGrid>
      <w:tr w:rsidR="00000000">
        <w:trPr>
          <w:divId w:val="1740056099"/>
          <w:trHeight w:val="20"/>
        </w:trPr>
        <w:tc>
          <w:tcPr>
            <w:tcW w:w="1414" w:type="pct"/>
            <w:tcMar>
              <w:top w:w="0" w:type="dxa"/>
              <w:left w:w="0" w:type="dxa"/>
              <w:bottom w:w="0" w:type="dxa"/>
              <w:right w:w="0" w:type="dxa"/>
            </w:tcMar>
            <w:vAlign w:val="bottom"/>
            <w:hideMark/>
          </w:tcPr>
          <w:p w:rsidR="00000000" w:rsidRDefault="00F22B2C">
            <w:pPr>
              <w:pStyle w:val="a3"/>
              <w:spacing w:before="0" w:beforeAutospacing="0" w:after="0" w:afterAutospacing="0"/>
              <w:divId w:val="62110866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28754105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4593982"/>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93285806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98651449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971863509"/>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13798361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04105697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383364537"/>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15607023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6174543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063066771"/>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38741312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420910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412703019"/>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5537478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30312279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838155487"/>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27999814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5973567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4795679"/>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884755050"/>
              <w:rPr>
                <w:sz w:val="20"/>
                <w:szCs w:val="20"/>
              </w:rPr>
            </w:pPr>
            <w:r>
              <w:rPr>
                <w:sz w:val="2"/>
                <w:szCs w:val="2"/>
              </w:rPr>
              <w:t>​</w:t>
            </w:r>
          </w:p>
        </w:tc>
      </w:tr>
      <w:tr w:rsidR="00000000">
        <w:trPr>
          <w:divId w:val="1740056099"/>
        </w:trPr>
        <w:tc>
          <w:tcPr>
            <w:tcW w:w="1414"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20"/>
                <w:szCs w:val="20"/>
              </w:rPr>
              <w:t>​</w:t>
            </w:r>
          </w:p>
        </w:tc>
        <w:tc>
          <w:tcPr>
            <w:tcW w:w="3493" w:type="pct"/>
            <w:gridSpan w:val="20"/>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Payments due by period</w:t>
            </w:r>
          </w:p>
        </w:tc>
      </w:tr>
      <w:tr w:rsidR="00000000">
        <w:trPr>
          <w:divId w:val="1740056099"/>
        </w:trPr>
        <w:tc>
          <w:tcPr>
            <w:tcW w:w="1414" w:type="pct"/>
            <w:tcBorders>
              <w:bottom w:val="single" w:sz="6" w:space="0" w:color="000000"/>
            </w:tcBorders>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rFonts w:ascii="Calibri" w:hAnsi="Calibri" w:cs="Calibri"/>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Total</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2022</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2023</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2024</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2025</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2026</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Thereafter</w:t>
            </w:r>
          </w:p>
        </w:tc>
      </w:tr>
      <w:tr w:rsidR="00000000">
        <w:trPr>
          <w:divId w:val="1740056099"/>
        </w:trPr>
        <w:tc>
          <w:tcPr>
            <w:tcW w:w="141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Operating lease obligations - facilities (1)</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129,65</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5,40</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8,00</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8,20</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8,10</w:t>
            </w:r>
            <w:r>
              <w:rPr>
                <w:sz w:val="20"/>
                <w:szCs w:val="20"/>
              </w:rPr>
              <w:t>7</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7,97</w:t>
            </w:r>
            <w:r>
              <w:rPr>
                <w:sz w:val="20"/>
                <w:szCs w:val="20"/>
              </w:rPr>
              <w:t>9</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91,95</w:t>
            </w:r>
            <w:r>
              <w:rPr>
                <w:sz w:val="20"/>
                <w:szCs w:val="20"/>
              </w:rPr>
              <w:t>2</w:t>
            </w:r>
          </w:p>
        </w:tc>
      </w:tr>
      <w:tr w:rsidR="00000000">
        <w:trPr>
          <w:divId w:val="1740056099"/>
        </w:trPr>
        <w:tc>
          <w:tcPr>
            <w:tcW w:w="1414" w:type="pct"/>
            <w:tcMar>
              <w:top w:w="0" w:type="dxa"/>
              <w:left w:w="0" w:type="dxa"/>
              <w:bottom w:w="0" w:type="dxa"/>
              <w:right w:w="0" w:type="dxa"/>
            </w:tcMar>
            <w:vAlign w:val="bottom"/>
            <w:hideMark/>
          </w:tcPr>
          <w:p w:rsidR="00000000" w:rsidRDefault="00F22B2C">
            <w:pPr>
              <w:pStyle w:val="a3"/>
              <w:spacing w:before="0" w:beforeAutospacing="0" w:after="0" w:afterAutospacing="0"/>
              <w:ind w:left="120"/>
              <w:rPr>
                <w:sz w:val="20"/>
                <w:szCs w:val="20"/>
              </w:rPr>
            </w:pPr>
            <w:r>
              <w:rPr>
                <w:sz w:val="20"/>
                <w:szCs w:val="20"/>
              </w:rPr>
              <w:t>Total (2), (3</w:t>
            </w:r>
            <w:r>
              <w:rPr>
                <w:sz w:val="20"/>
                <w:szCs w:val="20"/>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129,65</w:t>
            </w:r>
            <w:r>
              <w:rPr>
                <w:sz w:val="20"/>
                <w:szCs w:val="20"/>
              </w:rPr>
              <w:t>1</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5,40</w:t>
            </w:r>
            <w:r>
              <w:rPr>
                <w:sz w:val="20"/>
                <w:szCs w:val="20"/>
              </w:rPr>
              <w:t>1</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8,00</w:t>
            </w:r>
            <w:r>
              <w:rPr>
                <w:sz w:val="20"/>
                <w:szCs w:val="20"/>
              </w:rPr>
              <w:t>6</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8,20</w:t>
            </w:r>
            <w:r>
              <w:rPr>
                <w:sz w:val="20"/>
                <w:szCs w:val="20"/>
              </w:rPr>
              <w:t>6</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8,10</w:t>
            </w:r>
            <w:r>
              <w:rPr>
                <w:sz w:val="20"/>
                <w:szCs w:val="20"/>
              </w:rPr>
              <w:t>7</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7,97</w:t>
            </w:r>
            <w:r>
              <w:rPr>
                <w:sz w:val="20"/>
                <w:szCs w:val="20"/>
              </w:rPr>
              <w:t>9</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36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91,95</w:t>
            </w:r>
            <w:r>
              <w:rPr>
                <w:sz w:val="20"/>
                <w:szCs w:val="20"/>
              </w:rPr>
              <w:t>2</w:t>
            </w:r>
          </w:p>
        </w:tc>
      </w:tr>
    </w:tbl>
    <w:p w:rsidR="00000000" w:rsidRDefault="00F22B2C">
      <w:pPr>
        <w:pStyle w:val="a3"/>
        <w:spacing w:before="0" w:beforeAutospacing="0" w:after="0" w:afterAutospacing="0"/>
        <w:divId w:val="1740056099"/>
        <w:rPr>
          <w:sz w:val="20"/>
          <w:szCs w:val="20"/>
        </w:rPr>
      </w:pPr>
      <w:r>
        <w:rPr>
          <w:sz w:val="20"/>
          <w:szCs w:val="20"/>
        </w:rPr>
        <w:t>​</w:t>
      </w:r>
    </w:p>
    <w:tbl>
      <w:tblPr>
        <w:tblW w:w="4995" w:type="pct"/>
        <w:tblCellMar>
          <w:top w:w="15" w:type="dxa"/>
          <w:left w:w="15" w:type="dxa"/>
          <w:bottom w:w="15" w:type="dxa"/>
          <w:right w:w="15" w:type="dxa"/>
        </w:tblCellMar>
        <w:tblLook w:val="04A0" w:firstRow="1" w:lastRow="0" w:firstColumn="1" w:lastColumn="0" w:noHBand="0" w:noVBand="1"/>
      </w:tblPr>
      <w:tblGrid>
        <w:gridCol w:w="426"/>
        <w:gridCol w:w="7872"/>
      </w:tblGrid>
      <w:tr w:rsidR="00000000">
        <w:trPr>
          <w:divId w:val="1740056099"/>
          <w:trHeight w:val="20"/>
        </w:trPr>
        <w:tc>
          <w:tcPr>
            <w:tcW w:w="250" w:type="pct"/>
            <w:tcMar>
              <w:top w:w="0" w:type="dxa"/>
              <w:left w:w="108" w:type="dxa"/>
              <w:bottom w:w="0" w:type="dxa"/>
              <w:right w:w="108" w:type="dxa"/>
            </w:tcMar>
            <w:hideMark/>
          </w:tcPr>
          <w:p w:rsidR="00000000" w:rsidRDefault="00F22B2C">
            <w:pPr>
              <w:pStyle w:val="a3"/>
              <w:spacing w:before="0" w:beforeAutospacing="0" w:after="0" w:afterAutospacing="0"/>
              <w:divId w:val="2036225037"/>
              <w:rPr>
                <w:sz w:val="20"/>
                <w:szCs w:val="20"/>
              </w:rPr>
            </w:pPr>
            <w:r>
              <w:rPr>
                <w:sz w:val="2"/>
                <w:szCs w:val="2"/>
              </w:rPr>
              <w:t>​</w:t>
            </w:r>
          </w:p>
        </w:tc>
        <w:tc>
          <w:tcPr>
            <w:tcW w:w="4749" w:type="pct"/>
            <w:tcMar>
              <w:top w:w="0" w:type="dxa"/>
              <w:left w:w="108" w:type="dxa"/>
              <w:bottom w:w="0" w:type="dxa"/>
              <w:right w:w="108" w:type="dxa"/>
            </w:tcMar>
            <w:hideMark/>
          </w:tcPr>
          <w:p w:rsidR="00000000" w:rsidRDefault="00F22B2C">
            <w:pPr>
              <w:pStyle w:val="a3"/>
              <w:spacing w:before="0" w:beforeAutospacing="0" w:after="0" w:afterAutospacing="0"/>
              <w:divId w:val="2048066745"/>
              <w:rPr>
                <w:sz w:val="20"/>
                <w:szCs w:val="20"/>
              </w:rPr>
            </w:pPr>
            <w:r>
              <w:rPr>
                <w:sz w:val="2"/>
                <w:szCs w:val="2"/>
              </w:rPr>
              <w:t>​</w:t>
            </w:r>
          </w:p>
        </w:tc>
      </w:tr>
      <w:tr w:rsidR="00000000">
        <w:trPr>
          <w:divId w:val="1740056099"/>
        </w:trPr>
        <w:tc>
          <w:tcPr>
            <w:tcW w:w="250" w:type="pct"/>
            <w:tcMar>
              <w:top w:w="0" w:type="dxa"/>
              <w:left w:w="108" w:type="dxa"/>
              <w:bottom w:w="0" w:type="dxa"/>
              <w:right w:w="108" w:type="dxa"/>
            </w:tcMar>
            <w:hideMark/>
          </w:tcPr>
          <w:p w:rsidR="00000000" w:rsidRDefault="00F22B2C">
            <w:pPr>
              <w:pStyle w:val="a3"/>
              <w:spacing w:before="0" w:beforeAutospacing="0" w:after="0" w:afterAutospacing="0"/>
              <w:rPr>
                <w:sz w:val="18"/>
                <w:szCs w:val="18"/>
              </w:rPr>
            </w:pPr>
            <w:r>
              <w:rPr>
                <w:sz w:val="18"/>
                <w:szCs w:val="18"/>
              </w:rPr>
              <w:t>(1)</w:t>
            </w:r>
          </w:p>
        </w:tc>
        <w:tc>
          <w:tcPr>
            <w:tcW w:w="4749" w:type="pct"/>
            <w:tcMar>
              <w:top w:w="0" w:type="dxa"/>
              <w:left w:w="108" w:type="dxa"/>
              <w:bottom w:w="0" w:type="dxa"/>
              <w:right w:w="108" w:type="dxa"/>
            </w:tcMar>
            <w:hideMark/>
          </w:tcPr>
          <w:p w:rsidR="00000000" w:rsidRDefault="00F22B2C">
            <w:pPr>
              <w:pStyle w:val="a3"/>
              <w:spacing w:before="0" w:beforeAutospacing="0" w:after="0" w:afterAutospacing="0"/>
              <w:rPr>
                <w:sz w:val="18"/>
                <w:szCs w:val="18"/>
              </w:rPr>
            </w:pPr>
            <w:r>
              <w:rPr>
                <w:sz w:val="18"/>
                <w:szCs w:val="18"/>
              </w:rPr>
              <w:t xml:space="preserve">Our operating lease obligations consist of obligations under non-cancellable operating leases for our facilities in San Carlos, CA, Philadelphia, PA, and Tampa, FL. </w:t>
            </w:r>
          </w:p>
          <w:p w:rsidR="00000000" w:rsidRDefault="00F22B2C">
            <w:pPr>
              <w:pStyle w:val="a3"/>
              <w:spacing w:before="0" w:beforeAutospacing="0" w:after="0" w:afterAutospacing="0"/>
              <w:rPr>
                <w:sz w:val="18"/>
                <w:szCs w:val="18"/>
              </w:rPr>
            </w:pPr>
            <w:r>
              <w:rPr>
                <w:sz w:val="18"/>
                <w:szCs w:val="18"/>
              </w:rPr>
              <w:t>Excluded from the above are contractual obligations with certain Contract Manufacturing Or</w:t>
            </w:r>
            <w:r>
              <w:rPr>
                <w:sz w:val="18"/>
                <w:szCs w:val="18"/>
              </w:rPr>
              <w:t>ganizations, or CMO, for the manufacturing facilities and minimum fixed commitment fees included in our manufacturing contracts, such as personnel, general support fee, and minimum production or material fees. These obligations met the conditions of embedd</w:t>
            </w:r>
            <w:r>
              <w:rPr>
                <w:sz w:val="18"/>
                <w:szCs w:val="18"/>
              </w:rPr>
              <w:t>ed leases under Topic ASC 842 and were included in the Operating lease liabilities in the Consolidated Balance Sheets. However, these contracts are cancellable upon prior notice and as a result, are not included in the above table.</w:t>
            </w:r>
            <w:r>
              <w:rPr>
                <w:sz w:val="18"/>
                <w:szCs w:val="18"/>
              </w:rPr>
              <w:t xml:space="preserve"> </w:t>
            </w:r>
          </w:p>
          <w:p w:rsidR="00000000" w:rsidRDefault="00F22B2C">
            <w:pPr>
              <w:pStyle w:val="a3"/>
              <w:spacing w:before="0" w:beforeAutospacing="0" w:after="0" w:afterAutospacing="0"/>
              <w:rPr>
                <w:sz w:val="20"/>
                <w:szCs w:val="20"/>
              </w:rPr>
            </w:pPr>
            <w:r>
              <w:rPr>
                <w:sz w:val="18"/>
                <w:szCs w:val="18"/>
              </w:rPr>
              <w:t>​</w:t>
            </w:r>
          </w:p>
        </w:tc>
      </w:tr>
      <w:tr w:rsidR="00000000">
        <w:trPr>
          <w:divId w:val="1740056099"/>
        </w:trPr>
        <w:tc>
          <w:tcPr>
            <w:tcW w:w="250" w:type="pct"/>
            <w:tcMar>
              <w:top w:w="0" w:type="dxa"/>
              <w:left w:w="108" w:type="dxa"/>
              <w:bottom w:w="0" w:type="dxa"/>
              <w:right w:w="108" w:type="dxa"/>
            </w:tcMar>
            <w:hideMark/>
          </w:tcPr>
          <w:p w:rsidR="00000000" w:rsidRDefault="00F22B2C">
            <w:pPr>
              <w:pStyle w:val="a3"/>
              <w:spacing w:before="0" w:beforeAutospacing="0" w:after="0" w:afterAutospacing="0"/>
              <w:rPr>
                <w:sz w:val="18"/>
                <w:szCs w:val="18"/>
              </w:rPr>
            </w:pPr>
            <w:r>
              <w:rPr>
                <w:sz w:val="18"/>
                <w:szCs w:val="18"/>
              </w:rPr>
              <w:t>(2)</w:t>
            </w:r>
          </w:p>
        </w:tc>
        <w:tc>
          <w:tcPr>
            <w:tcW w:w="4749" w:type="pct"/>
            <w:tcMar>
              <w:top w:w="0" w:type="dxa"/>
              <w:left w:w="108" w:type="dxa"/>
              <w:bottom w:w="0" w:type="dxa"/>
              <w:right w:w="108" w:type="dxa"/>
            </w:tcMar>
            <w:hideMark/>
          </w:tcPr>
          <w:p w:rsidR="00000000" w:rsidRDefault="00F22B2C">
            <w:pPr>
              <w:pStyle w:val="a3"/>
              <w:spacing w:before="0" w:beforeAutospacing="0" w:after="0" w:afterAutospacing="0"/>
              <w:rPr>
                <w:sz w:val="18"/>
                <w:szCs w:val="18"/>
              </w:rPr>
            </w:pPr>
            <w:r>
              <w:rPr>
                <w:sz w:val="18"/>
                <w:szCs w:val="18"/>
              </w:rPr>
              <w:t>We acquire asset</w:t>
            </w:r>
            <w:r>
              <w:rPr>
                <w:sz w:val="18"/>
                <w:szCs w:val="18"/>
              </w:rPr>
              <w:t>s still in development and enter into research and development arrangements with third parties that often require milestone and royalty payments to the third-party contingent upon the occurrence of certain future events linked to the success of the asset i</w:t>
            </w:r>
            <w:r>
              <w:rPr>
                <w:sz w:val="18"/>
                <w:szCs w:val="18"/>
              </w:rPr>
              <w:t>n development. Milestone payments may be required, contingent upon the successful achievement of an important point in the development life-cycle of the pharmaceutical product (e.g., approval of the product for marketing by a regulatory agency). If require</w:t>
            </w:r>
            <w:r>
              <w:rPr>
                <w:sz w:val="18"/>
                <w:szCs w:val="18"/>
              </w:rPr>
              <w:t>d by the arrangement, we may have to make royalty payments based upon a percentage of the sales of the pharmaceutical product in the event that regulatory approval for marketing is obtained. Because of the contingent nature of these milestone payments, the</w:t>
            </w:r>
            <w:r>
              <w:rPr>
                <w:sz w:val="18"/>
                <w:szCs w:val="18"/>
              </w:rPr>
              <w:t>y are not included in the table of contractual obligations.</w:t>
            </w:r>
          </w:p>
          <w:p w:rsidR="00000000" w:rsidRDefault="00F22B2C">
            <w:pPr>
              <w:pStyle w:val="a3"/>
              <w:spacing w:before="0" w:beforeAutospacing="0" w:after="0" w:afterAutospacing="0"/>
              <w:rPr>
                <w:sz w:val="18"/>
                <w:szCs w:val="18"/>
              </w:rPr>
            </w:pPr>
            <w:r>
              <w:rPr>
                <w:sz w:val="18"/>
                <w:szCs w:val="18"/>
              </w:rPr>
              <w:t>These arrangements may be material individually, and in the event that milestones for multiple products covered by these arrangements were reached in the same period, the aggregate charge to expen</w:t>
            </w:r>
            <w:r>
              <w:rPr>
                <w:sz w:val="18"/>
                <w:szCs w:val="18"/>
              </w:rPr>
              <w:t>se could be material to the results of operations in any one period. In addition, these arrangements often give us the discretion to unilaterally terminate development of the product, which would allow us to avoid making the contingent payments.</w:t>
            </w:r>
          </w:p>
          <w:p w:rsidR="00000000" w:rsidRDefault="00F22B2C">
            <w:pPr>
              <w:pStyle w:val="a3"/>
              <w:spacing w:before="0" w:beforeAutospacing="0" w:after="0" w:afterAutospacing="0"/>
              <w:rPr>
                <w:sz w:val="20"/>
                <w:szCs w:val="20"/>
              </w:rPr>
            </w:pPr>
            <w:r>
              <w:rPr>
                <w:sz w:val="18"/>
                <w:szCs w:val="18"/>
              </w:rPr>
              <w:t>​</w:t>
            </w:r>
          </w:p>
        </w:tc>
      </w:tr>
      <w:tr w:rsidR="00000000">
        <w:trPr>
          <w:divId w:val="1740056099"/>
        </w:trPr>
        <w:tc>
          <w:tcPr>
            <w:tcW w:w="250" w:type="pct"/>
            <w:tcMar>
              <w:top w:w="0" w:type="dxa"/>
              <w:left w:w="108" w:type="dxa"/>
              <w:bottom w:w="0" w:type="dxa"/>
              <w:right w:w="108" w:type="dxa"/>
            </w:tcMar>
            <w:hideMark/>
          </w:tcPr>
          <w:p w:rsidR="00000000" w:rsidRDefault="00F22B2C">
            <w:pPr>
              <w:pStyle w:val="a3"/>
              <w:spacing w:before="0" w:beforeAutospacing="0" w:after="0" w:afterAutospacing="0"/>
              <w:rPr>
                <w:sz w:val="18"/>
                <w:szCs w:val="18"/>
              </w:rPr>
            </w:pPr>
            <w:r>
              <w:rPr>
                <w:sz w:val="18"/>
                <w:szCs w:val="18"/>
              </w:rPr>
              <w:t>(3)</w:t>
            </w:r>
          </w:p>
        </w:tc>
        <w:tc>
          <w:tcPr>
            <w:tcW w:w="4749" w:type="pct"/>
            <w:tcMar>
              <w:top w:w="0" w:type="dxa"/>
              <w:left w:w="108" w:type="dxa"/>
              <w:bottom w:w="0" w:type="dxa"/>
              <w:right w:w="108" w:type="dxa"/>
            </w:tcMar>
            <w:hideMark/>
          </w:tcPr>
          <w:p w:rsidR="00000000" w:rsidRDefault="00F22B2C">
            <w:pPr>
              <w:pStyle w:val="a3"/>
              <w:spacing w:before="0" w:beforeAutospacing="0" w:after="0" w:afterAutospacing="0"/>
              <w:rPr>
                <w:sz w:val="18"/>
                <w:szCs w:val="18"/>
              </w:rPr>
            </w:pPr>
            <w:r>
              <w:rPr>
                <w:sz w:val="18"/>
                <w:szCs w:val="18"/>
              </w:rPr>
              <w:t>The</w:t>
            </w:r>
            <w:r>
              <w:rPr>
                <w:sz w:val="18"/>
                <w:szCs w:val="18"/>
              </w:rPr>
              <w:t xml:space="preserve"> contractual obligations table above excludes estimated equipment and construction costs of approximately $10.0 million to $11.0 million over the next year for the </w:t>
            </w:r>
            <w:r>
              <w:rPr>
                <w:i/>
                <w:iCs/>
                <w:sz w:val="18"/>
                <w:szCs w:val="18"/>
              </w:rPr>
              <w:t>i</w:t>
            </w:r>
            <w:r>
              <w:rPr>
                <w:sz w:val="18"/>
                <w:szCs w:val="18"/>
              </w:rPr>
              <w:t xml:space="preserve">CTC facility in Philadelphia, PA and our new corporate headquarters’ office in San Carlos, </w:t>
            </w:r>
            <w:r>
              <w:rPr>
                <w:sz w:val="18"/>
                <w:szCs w:val="18"/>
              </w:rPr>
              <w:t>CA.</w:t>
            </w:r>
          </w:p>
        </w:tc>
      </w:tr>
    </w:tbl>
    <w:p w:rsidR="00000000" w:rsidRDefault="00F22B2C">
      <w:pPr>
        <w:pStyle w:val="a3"/>
        <w:spacing w:before="0" w:beforeAutospacing="0" w:after="0" w:afterAutospacing="0"/>
        <w:divId w:val="1740056099"/>
        <w:rPr>
          <w:sz w:val="20"/>
          <w:szCs w:val="20"/>
        </w:rPr>
      </w:pPr>
      <w:r>
        <w:rPr>
          <w:sz w:val="20"/>
          <w:szCs w:val="20"/>
        </w:rPr>
        <w:t>​</w:t>
      </w:r>
    </w:p>
    <w:p w:rsidR="00000000" w:rsidRDefault="00F22B2C">
      <w:pPr>
        <w:pStyle w:val="a3"/>
        <w:spacing w:before="480" w:beforeAutospacing="0" w:after="0" w:afterAutospacing="0"/>
        <w:jc w:val="center"/>
        <w:divId w:val="307051433"/>
        <w:rPr>
          <w:sz w:val="20"/>
          <w:szCs w:val="20"/>
        </w:rPr>
      </w:pPr>
      <w:r>
        <w:rPr>
          <w:sz w:val="20"/>
          <w:szCs w:val="20"/>
        </w:rPr>
        <w:t>98</w:t>
      </w:r>
    </w:p>
    <w:p w:rsidR="00000000" w:rsidRDefault="00F22B2C">
      <w:pPr>
        <w:pStyle w:val="a3"/>
        <w:spacing w:before="0" w:beforeAutospacing="0" w:after="600" w:afterAutospacing="0"/>
        <w:divId w:val="1165391412"/>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165508185"/>
        <w:rPr>
          <w:sz w:val="20"/>
          <w:szCs w:val="20"/>
        </w:rPr>
      </w:pPr>
      <w:r>
        <w:rPr>
          <w:b/>
          <w:bCs/>
          <w:sz w:val="20"/>
          <w:szCs w:val="20"/>
        </w:rPr>
        <w:t>Off-Balance Sheet Arrangements</w:t>
      </w:r>
    </w:p>
    <w:p w:rsidR="00000000" w:rsidRDefault="00F22B2C">
      <w:pPr>
        <w:pStyle w:val="a3"/>
        <w:spacing w:before="0" w:beforeAutospacing="0" w:after="240" w:afterAutospacing="0"/>
        <w:ind w:firstLine="547"/>
        <w:divId w:val="1165508185"/>
        <w:rPr>
          <w:sz w:val="20"/>
          <w:szCs w:val="20"/>
        </w:rPr>
      </w:pPr>
      <w:r>
        <w:rPr>
          <w:sz w:val="20"/>
          <w:szCs w:val="20"/>
        </w:rPr>
        <w:t xml:space="preserve">As of December 31, 2021, we did not have, and currently do not have, any off-balance sheet arrangements. </w:t>
      </w:r>
    </w:p>
    <w:p w:rsidR="00000000" w:rsidRDefault="00F22B2C">
      <w:pPr>
        <w:pStyle w:val="a3"/>
        <w:spacing w:before="0" w:beforeAutospacing="0" w:after="240" w:afterAutospacing="0"/>
        <w:divId w:val="1165508185"/>
        <w:rPr>
          <w:sz w:val="20"/>
          <w:szCs w:val="20"/>
        </w:rPr>
      </w:pPr>
      <w:r>
        <w:rPr>
          <w:b/>
          <w:bCs/>
          <w:sz w:val="20"/>
          <w:szCs w:val="20"/>
        </w:rPr>
        <w:t>Critical Accounting Estimates</w:t>
      </w:r>
    </w:p>
    <w:p w:rsidR="00000000" w:rsidRDefault="00F22B2C">
      <w:pPr>
        <w:pStyle w:val="a3"/>
        <w:spacing w:before="0" w:beforeAutospacing="0" w:after="0" w:afterAutospacing="0"/>
        <w:ind w:firstLine="547"/>
        <w:divId w:val="1165508185"/>
        <w:rPr>
          <w:sz w:val="20"/>
          <w:szCs w:val="20"/>
        </w:rPr>
      </w:pPr>
      <w:r>
        <w:rPr>
          <w:sz w:val="20"/>
          <w:szCs w:val="20"/>
        </w:rPr>
        <w:t>Our accounting policies are more fully described in Note 2 of the consolidated financial statements included in this Ann</w:t>
      </w:r>
      <w:r>
        <w:rPr>
          <w:sz w:val="20"/>
          <w:szCs w:val="20"/>
        </w:rPr>
        <w:t>ual Report on Form 10-K. As described in Note 2, the preparation of our consolidated financial statements requires us to make estimates and judgments that affect the reported amounts in the financial statements and related disclosures. On an ongoing basis,</w:t>
      </w:r>
      <w:r>
        <w:rPr>
          <w:sz w:val="20"/>
          <w:szCs w:val="20"/>
        </w:rPr>
        <w:t xml:space="preserve"> we evaluate our significant accounting policies and estimates. We base our estimates on historical experience and on various market-specific and other relevant assumptions that we believe to be reasonable under the circumstances, the results of which form</w:t>
      </w:r>
      <w:r>
        <w:rPr>
          <w:sz w:val="20"/>
          <w:szCs w:val="20"/>
        </w:rPr>
        <w:t xml:space="preserve"> the basis for making judgments about the carrying value of assets and liabilities that are not readily apparent from other sources. Estimates are assessed each period and updated to reflect current information. Actual results may differ from these estimat</w:t>
      </w:r>
      <w:r>
        <w:rPr>
          <w:sz w:val="20"/>
          <w:szCs w:val="20"/>
        </w:rPr>
        <w:t xml:space="preserve">es. We believe that the following discussion addresses our most critical accounting policies, which are those that are most important to the portrayal of our financial condition and results of operations and require management’s most difficult, subjective </w:t>
      </w:r>
      <w:r>
        <w:rPr>
          <w:sz w:val="20"/>
          <w:szCs w:val="20"/>
        </w:rPr>
        <w:t>and complex judgments</w:t>
      </w:r>
      <w:r>
        <w:rPr>
          <w:sz w:val="20"/>
          <w:szCs w:val="20"/>
        </w:rPr>
        <w:t>.</w:t>
      </w:r>
    </w:p>
    <w:p w:rsidR="00000000" w:rsidRDefault="00F22B2C">
      <w:pPr>
        <w:pStyle w:val="a3"/>
        <w:spacing w:before="0" w:beforeAutospacing="0" w:after="0" w:afterAutospacing="0"/>
        <w:ind w:firstLine="547"/>
        <w:divId w:val="1165508185"/>
        <w:rPr>
          <w:sz w:val="20"/>
          <w:szCs w:val="20"/>
        </w:rPr>
      </w:pPr>
      <w:r>
        <w:rPr>
          <w:sz w:val="20"/>
          <w:szCs w:val="20"/>
          <w:shd w:val="clear" w:color="auto" w:fill="FFFF00"/>
        </w:rPr>
        <w:t>​</w:t>
      </w:r>
    </w:p>
    <w:p w:rsidR="00000000" w:rsidRDefault="00F22B2C">
      <w:pPr>
        <w:pStyle w:val="a3"/>
        <w:spacing w:before="0" w:beforeAutospacing="0" w:after="0" w:afterAutospacing="0"/>
        <w:divId w:val="1165508185"/>
        <w:rPr>
          <w:sz w:val="20"/>
          <w:szCs w:val="20"/>
        </w:rPr>
      </w:pPr>
      <w:r>
        <w:rPr>
          <w:b/>
          <w:bCs/>
          <w:i/>
          <w:iCs/>
          <w:sz w:val="20"/>
          <w:szCs w:val="20"/>
        </w:rPr>
        <w:t>Accrued Research and Development Costs</w:t>
      </w:r>
    </w:p>
    <w:p w:rsidR="00000000" w:rsidRDefault="00F22B2C">
      <w:pPr>
        <w:pStyle w:val="a3"/>
        <w:spacing w:before="0" w:beforeAutospacing="0" w:after="0" w:afterAutospacing="0"/>
        <w:divId w:val="1165508185"/>
        <w:rPr>
          <w:sz w:val="20"/>
          <w:szCs w:val="20"/>
        </w:rPr>
      </w:pPr>
      <w:r>
        <w:rPr>
          <w:b/>
          <w:bCs/>
          <w:i/>
          <w:iCs/>
          <w:sz w:val="20"/>
          <w:szCs w:val="20"/>
        </w:rPr>
        <w:t>​</w:t>
      </w:r>
    </w:p>
    <w:p w:rsidR="00000000" w:rsidRDefault="00F22B2C">
      <w:pPr>
        <w:pStyle w:val="a3"/>
        <w:spacing w:before="0" w:beforeAutospacing="0" w:after="0" w:afterAutospacing="0"/>
        <w:ind w:firstLine="547"/>
        <w:divId w:val="1165508185"/>
        <w:rPr>
          <w:sz w:val="20"/>
          <w:szCs w:val="20"/>
        </w:rPr>
      </w:pPr>
      <w:r>
        <w:rPr>
          <w:sz w:val="20"/>
          <w:szCs w:val="20"/>
        </w:rPr>
        <w:t>Research and development costs are expensed as incurred. Clinical development costs compose a significant component of research and development costs. We have a history of contracting with t</w:t>
      </w:r>
      <w:r>
        <w:rPr>
          <w:sz w:val="20"/>
          <w:szCs w:val="20"/>
        </w:rPr>
        <w:t xml:space="preserve">hird parties, including contract research organizations (“CROs”), independent clinical investigators, and contract manufacturing organizations (“CMOs”) that perform various clinical trial activities on our behalf in connection with the ongoing development </w:t>
      </w:r>
      <w:r>
        <w:rPr>
          <w:sz w:val="20"/>
          <w:szCs w:val="20"/>
        </w:rPr>
        <w:t>of our product candidates. The financial terms of these contracts are subject to negotiations and may vary from contract to contract and may result in uneven payment flow. We accrue and expense costs for clinical trial activities performed by third parties</w:t>
      </w:r>
      <w:r>
        <w:rPr>
          <w:sz w:val="20"/>
          <w:szCs w:val="20"/>
        </w:rPr>
        <w:t xml:space="preserve"> based upon estimates of work completed to date for each clinical trial in accordance with agreements established with CROs, hospitals, and clinical investigators. Accruals for CROs and CMOs are recorded based on estimates of services received and efforts </w:t>
      </w:r>
      <w:r>
        <w:rPr>
          <w:sz w:val="20"/>
          <w:szCs w:val="20"/>
        </w:rPr>
        <w:t>expended pursuant to agreements established with CROs, CMOs and other outside service providers. We determine our estimates through discussions with internal clinical stakeholders and outside service providers as to the progress or stage of completion of c</w:t>
      </w:r>
      <w:r>
        <w:rPr>
          <w:sz w:val="20"/>
          <w:szCs w:val="20"/>
        </w:rPr>
        <w:t xml:space="preserve">linical trials or services and the contracted fee to be paid for such services. </w:t>
      </w:r>
    </w:p>
    <w:p w:rsidR="00000000" w:rsidRDefault="00F22B2C">
      <w:pPr>
        <w:pStyle w:val="a3"/>
        <w:spacing w:before="0" w:beforeAutospacing="0" w:after="0" w:afterAutospacing="0"/>
        <w:ind w:firstLine="547"/>
        <w:divId w:val="1165508185"/>
        <w:rPr>
          <w:sz w:val="20"/>
          <w:szCs w:val="20"/>
        </w:rPr>
      </w:pPr>
      <w:r>
        <w:rPr>
          <w:sz w:val="20"/>
          <w:szCs w:val="20"/>
        </w:rPr>
        <w:t>​</w:t>
      </w:r>
    </w:p>
    <w:p w:rsidR="00000000" w:rsidRDefault="00F22B2C">
      <w:pPr>
        <w:pStyle w:val="a3"/>
        <w:spacing w:before="0" w:beforeAutospacing="0" w:after="0" w:afterAutospacing="0"/>
        <w:ind w:firstLine="547"/>
        <w:divId w:val="1165508185"/>
        <w:rPr>
          <w:sz w:val="20"/>
          <w:szCs w:val="20"/>
        </w:rPr>
      </w:pPr>
      <w:r>
        <w:rPr>
          <w:sz w:val="20"/>
          <w:szCs w:val="20"/>
        </w:rPr>
        <w:t xml:space="preserve">Included in our clinical development costs are investigator costs, which are costs associated with treatments administered at clinical sites as required under each clinical </w:t>
      </w:r>
      <w:r>
        <w:rPr>
          <w:sz w:val="20"/>
          <w:szCs w:val="20"/>
        </w:rPr>
        <w:t>study protocol. Our estimates for clinical investigator costs and timing of expense recognition will depend on a number of factors that include, but are not limited to, (i) the overall number of patients that enroll in the trial at each individual site, (i</w:t>
      </w:r>
      <w:r>
        <w:rPr>
          <w:sz w:val="20"/>
          <w:szCs w:val="20"/>
        </w:rPr>
        <w:t>i) the length of study enrollment period, (iii) discontinuation and completion rates of patients, (iv) duration of patient safety follow-ups, (v) the number of sites included in the clinical trial, and (vi) the contracted fee of each participating site for</w:t>
      </w:r>
      <w:r>
        <w:rPr>
          <w:sz w:val="20"/>
          <w:szCs w:val="20"/>
        </w:rPr>
        <w:t xml:space="preserve"> patient treatment while on study, which can vary greatly for several reasons including, but not limited to, geographic region, medical center or physician costs, and overhead costs. In addition, our estimates for per patient trial costs will vary based on</w:t>
      </w:r>
      <w:r>
        <w:rPr>
          <w:sz w:val="20"/>
          <w:szCs w:val="20"/>
        </w:rPr>
        <w:t xml:space="preserve"> a number of factors that include, but are not limited to, the extent of additional treatments that may be administered by investigators as a result of patient health status, recoverability of patient costs through insurance carriers of patients, and unant</w:t>
      </w:r>
      <w:r>
        <w:rPr>
          <w:sz w:val="20"/>
          <w:szCs w:val="20"/>
        </w:rPr>
        <w:t>icipated cost of injuries incurred as a result of the study treatment. We accrue for estimated expenses resulting from obligations under investigator site agreements as the timing of payments does not always timely align with the periods over which the tre</w:t>
      </w:r>
      <w:r>
        <w:rPr>
          <w:sz w:val="20"/>
          <w:szCs w:val="20"/>
        </w:rPr>
        <w:t>atments are administered by the clinical investigators. These estimates are typically based on contracted amounts, patient visit data, discussions with internal clinical stakeholders and outside service providers, and historical look-back analysis of actua</w:t>
      </w:r>
      <w:r>
        <w:rPr>
          <w:sz w:val="20"/>
          <w:szCs w:val="20"/>
        </w:rPr>
        <w:t xml:space="preserve">l payments made to date. </w:t>
      </w:r>
    </w:p>
    <w:p w:rsidR="00000000" w:rsidRDefault="00F22B2C">
      <w:pPr>
        <w:pStyle w:val="a3"/>
        <w:spacing w:before="0" w:beforeAutospacing="0" w:after="0" w:afterAutospacing="0"/>
        <w:ind w:firstLine="547"/>
        <w:divId w:val="1165508185"/>
        <w:rPr>
          <w:sz w:val="20"/>
          <w:szCs w:val="20"/>
        </w:rPr>
      </w:pPr>
      <w:r>
        <w:rPr>
          <w:sz w:val="20"/>
          <w:szCs w:val="20"/>
        </w:rPr>
        <w:t>​</w:t>
      </w:r>
    </w:p>
    <w:p w:rsidR="00000000" w:rsidRDefault="00F22B2C">
      <w:pPr>
        <w:pStyle w:val="a3"/>
        <w:spacing w:before="0" w:beforeAutospacing="0" w:after="0" w:afterAutospacing="0"/>
        <w:ind w:firstLine="547"/>
        <w:divId w:val="1165508185"/>
        <w:rPr>
          <w:sz w:val="20"/>
          <w:szCs w:val="20"/>
        </w:rPr>
      </w:pPr>
      <w:r>
        <w:rPr>
          <w:sz w:val="20"/>
          <w:szCs w:val="20"/>
        </w:rPr>
        <w:t>We make judgements and estimates in determining the accrual balance in each reporting period. In the event advance payments are made to a CRO, CMO or other outside service provider, the payments are recorded within prepaid expen</w:t>
      </w:r>
      <w:r>
        <w:rPr>
          <w:sz w:val="20"/>
          <w:szCs w:val="20"/>
        </w:rPr>
        <w:t>ses and other current assets and subsequently recognized as research and development expense when the associated services have been performed. As actual costs become known, we adjust our estimates, liabilities and assets. Inputs used in our determination o</w:t>
      </w:r>
      <w:r>
        <w:rPr>
          <w:sz w:val="20"/>
          <w:szCs w:val="20"/>
        </w:rPr>
        <w:t>f estimates discussed above may vary from actual, which will result in adjustments to research and development expense in future periods. Changes in these estimates that result in material changes to our accruals could materially affect our results of oper</w:t>
      </w:r>
      <w:r>
        <w:rPr>
          <w:sz w:val="20"/>
          <w:szCs w:val="20"/>
        </w:rPr>
        <w:t>ations. Our historical estimates have not been materially different from actual amounts recorded.</w:t>
      </w:r>
    </w:p>
    <w:p w:rsidR="00000000" w:rsidRDefault="00F22B2C">
      <w:pPr>
        <w:pStyle w:val="a3"/>
        <w:spacing w:before="0" w:beforeAutospacing="0" w:after="0" w:afterAutospacing="0"/>
        <w:ind w:firstLine="720"/>
        <w:divId w:val="1165508185"/>
        <w:rPr>
          <w:sz w:val="20"/>
          <w:szCs w:val="20"/>
        </w:rPr>
      </w:pPr>
      <w:r>
        <w:rPr>
          <w:sz w:val="20"/>
          <w:szCs w:val="20"/>
        </w:rPr>
        <w:t>​</w:t>
      </w:r>
    </w:p>
    <w:p w:rsidR="00000000" w:rsidRDefault="00F22B2C">
      <w:pPr>
        <w:pStyle w:val="a3"/>
        <w:spacing w:before="480" w:beforeAutospacing="0" w:after="0" w:afterAutospacing="0"/>
        <w:jc w:val="center"/>
        <w:divId w:val="1988364938"/>
        <w:rPr>
          <w:sz w:val="20"/>
          <w:szCs w:val="20"/>
        </w:rPr>
      </w:pPr>
      <w:r>
        <w:rPr>
          <w:sz w:val="20"/>
          <w:szCs w:val="20"/>
        </w:rPr>
        <w:t>99</w:t>
      </w:r>
    </w:p>
    <w:p w:rsidR="00000000" w:rsidRDefault="00F22B2C">
      <w:pPr>
        <w:pStyle w:val="a3"/>
        <w:spacing w:before="0" w:beforeAutospacing="0" w:after="600" w:afterAutospacing="0"/>
        <w:divId w:val="1899826565"/>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divId w:val="1061292989"/>
        <w:rPr>
          <w:sz w:val="20"/>
          <w:szCs w:val="20"/>
        </w:rPr>
      </w:pPr>
      <w:r>
        <w:rPr>
          <w:b/>
          <w:bCs/>
          <w:sz w:val="20"/>
          <w:szCs w:val="20"/>
        </w:rPr>
        <w:t>Item 7A.         Quantitative and Qualitative Disclosures About Market Risk</w:t>
      </w:r>
    </w:p>
    <w:p w:rsidR="00000000" w:rsidRDefault="00F22B2C">
      <w:pPr>
        <w:pStyle w:val="a3"/>
        <w:spacing w:before="0" w:beforeAutospacing="0" w:after="240" w:afterAutospacing="0"/>
        <w:divId w:val="1061292989"/>
        <w:rPr>
          <w:sz w:val="20"/>
          <w:szCs w:val="20"/>
        </w:rPr>
      </w:pPr>
      <w:r>
        <w:rPr>
          <w:i/>
          <w:iCs/>
          <w:sz w:val="20"/>
          <w:szCs w:val="20"/>
        </w:rPr>
        <w:t>Interest Rate Risk</w:t>
      </w:r>
    </w:p>
    <w:p w:rsidR="00000000" w:rsidRDefault="00F22B2C">
      <w:pPr>
        <w:pStyle w:val="a3"/>
        <w:spacing w:before="0" w:beforeAutospacing="0" w:after="240" w:afterAutospacing="0"/>
        <w:ind w:firstLine="547"/>
        <w:divId w:val="1061292989"/>
        <w:rPr>
          <w:sz w:val="20"/>
          <w:szCs w:val="20"/>
        </w:rPr>
      </w:pPr>
      <w:r>
        <w:rPr>
          <w:sz w:val="20"/>
          <w:szCs w:val="20"/>
        </w:rPr>
        <w:t>Our exposure t</w:t>
      </w:r>
      <w:r>
        <w:rPr>
          <w:sz w:val="20"/>
          <w:szCs w:val="20"/>
        </w:rPr>
        <w:t>o market risk is limited primarily to interest income sensitivity, which is affected by changes in the general level of U.S. interest rates, particularly because a significant portion of our investments are in interest bearing cash accounts consisting of s</w:t>
      </w:r>
      <w:r>
        <w:rPr>
          <w:sz w:val="20"/>
          <w:szCs w:val="20"/>
        </w:rPr>
        <w:t>hort-term debt securities issued by the U.S. government. The primary objective of our investment activities is to preserve principal. We adhere to an investment policy that requires us to limit amounts invested in securities based on credit rating, maturit</w:t>
      </w:r>
      <w:r>
        <w:rPr>
          <w:sz w:val="20"/>
          <w:szCs w:val="20"/>
        </w:rPr>
        <w:t>y, industry group and investment type and issuer, except for securities issued by the U.S. government. We do not have any derivative financial instruments or foreign currency instruments. As of December 31, 2021, we had $579.0 million invested in marketabl</w:t>
      </w:r>
      <w:r>
        <w:rPr>
          <w:sz w:val="20"/>
          <w:szCs w:val="20"/>
        </w:rPr>
        <w:t>e securities with a maturity date of less than two years. As such we believe that we are not exposed to any material market risk. If interest rates had varied by 1% in the year ended December 31, 2021, the fair value of our investment portfolio would incre</w:t>
      </w:r>
      <w:r>
        <w:rPr>
          <w:sz w:val="20"/>
          <w:szCs w:val="20"/>
        </w:rPr>
        <w:t>ase or decrease by approximately $2.9 million.</w:t>
      </w:r>
    </w:p>
    <w:p w:rsidR="00000000" w:rsidRDefault="00F22B2C">
      <w:pPr>
        <w:pStyle w:val="a3"/>
        <w:spacing w:before="0" w:beforeAutospacing="0" w:after="240" w:afterAutospacing="0"/>
        <w:divId w:val="1061292989"/>
        <w:rPr>
          <w:sz w:val="20"/>
          <w:szCs w:val="20"/>
        </w:rPr>
      </w:pPr>
      <w:r>
        <w:rPr>
          <w:i/>
          <w:iCs/>
          <w:sz w:val="20"/>
          <w:szCs w:val="20"/>
        </w:rPr>
        <w:t>Inflation Risk</w:t>
      </w:r>
    </w:p>
    <w:p w:rsidR="00000000" w:rsidRDefault="00F22B2C">
      <w:pPr>
        <w:pStyle w:val="a3"/>
        <w:spacing w:before="0" w:beforeAutospacing="0" w:after="0" w:afterAutospacing="0"/>
        <w:ind w:firstLine="547"/>
        <w:divId w:val="1061292989"/>
        <w:rPr>
          <w:sz w:val="20"/>
          <w:szCs w:val="20"/>
        </w:rPr>
      </w:pPr>
      <w:r>
        <w:rPr>
          <w:sz w:val="20"/>
          <w:szCs w:val="20"/>
        </w:rPr>
        <w:t>Inflation has not had a material effect on our business, financial condition or results of operations during the years ended</w:t>
      </w:r>
    </w:p>
    <w:p w:rsidR="00000000" w:rsidRDefault="00F22B2C">
      <w:pPr>
        <w:pStyle w:val="a3"/>
        <w:spacing w:before="0" w:beforeAutospacing="0" w:after="0" w:afterAutospacing="0"/>
        <w:divId w:val="1061292989"/>
        <w:rPr>
          <w:sz w:val="20"/>
          <w:szCs w:val="20"/>
        </w:rPr>
      </w:pPr>
      <w:r>
        <w:rPr>
          <w:sz w:val="20"/>
          <w:szCs w:val="20"/>
        </w:rPr>
        <w:t>December 31, 2021, 2020, or 2019.</w:t>
      </w:r>
    </w:p>
    <w:p w:rsidR="00000000" w:rsidRDefault="00F22B2C">
      <w:pPr>
        <w:pStyle w:val="a3"/>
        <w:spacing w:before="0" w:beforeAutospacing="0" w:after="0" w:afterAutospacing="0"/>
        <w:divId w:val="1061292989"/>
        <w:rPr>
          <w:sz w:val="20"/>
          <w:szCs w:val="20"/>
        </w:rPr>
      </w:pPr>
      <w:r>
        <w:rPr>
          <w:sz w:val="20"/>
          <w:szCs w:val="20"/>
        </w:rPr>
        <w:t>​</w:t>
      </w:r>
    </w:p>
    <w:p w:rsidR="00000000" w:rsidRDefault="00F22B2C">
      <w:pPr>
        <w:pStyle w:val="a3"/>
        <w:spacing w:before="0" w:beforeAutospacing="0" w:after="240" w:afterAutospacing="0"/>
        <w:divId w:val="1061292989"/>
        <w:rPr>
          <w:sz w:val="20"/>
          <w:szCs w:val="20"/>
        </w:rPr>
      </w:pPr>
      <w:r>
        <w:rPr>
          <w:b/>
          <w:bCs/>
          <w:sz w:val="20"/>
          <w:szCs w:val="20"/>
        </w:rPr>
        <w:t>Item 8.          </w:t>
      </w:r>
      <w:r>
        <w:rPr>
          <w:b/>
          <w:bCs/>
          <w:sz w:val="20"/>
          <w:szCs w:val="20"/>
        </w:rPr>
        <w:t>Financial Statements and Supplementary Data</w:t>
      </w:r>
    </w:p>
    <w:p w:rsidR="00000000" w:rsidRDefault="00F22B2C">
      <w:pPr>
        <w:pStyle w:val="a3"/>
        <w:spacing w:before="0" w:beforeAutospacing="0" w:after="0" w:afterAutospacing="0"/>
        <w:ind w:firstLine="547"/>
        <w:divId w:val="1061292989"/>
        <w:rPr>
          <w:sz w:val="20"/>
          <w:szCs w:val="20"/>
        </w:rPr>
      </w:pPr>
      <w:r>
        <w:rPr>
          <w:sz w:val="20"/>
          <w:szCs w:val="20"/>
        </w:rPr>
        <w:t>Financial Statements are referred to in Item 15, listed in the Index to Financial Statements as a part of this Annual Report on Form 10-K, and are incorporated herein by this reference.</w:t>
      </w:r>
    </w:p>
    <w:p w:rsidR="00000000" w:rsidRDefault="00F22B2C">
      <w:pPr>
        <w:pStyle w:val="a3"/>
        <w:spacing w:before="0" w:beforeAutospacing="0" w:after="0" w:afterAutospacing="0"/>
        <w:ind w:firstLine="360"/>
        <w:divId w:val="1061292989"/>
        <w:rPr>
          <w:sz w:val="20"/>
          <w:szCs w:val="20"/>
        </w:rPr>
      </w:pPr>
      <w:r>
        <w:rPr>
          <w:sz w:val="20"/>
          <w:szCs w:val="20"/>
        </w:rPr>
        <w:t>​</w:t>
      </w:r>
    </w:p>
    <w:p w:rsidR="00000000" w:rsidRDefault="00F22B2C">
      <w:pPr>
        <w:pStyle w:val="a3"/>
        <w:spacing w:before="0" w:beforeAutospacing="0" w:after="240" w:afterAutospacing="0"/>
        <w:divId w:val="1061292989"/>
        <w:rPr>
          <w:sz w:val="20"/>
          <w:szCs w:val="20"/>
        </w:rPr>
      </w:pPr>
      <w:r>
        <w:rPr>
          <w:b/>
          <w:bCs/>
          <w:sz w:val="20"/>
          <w:szCs w:val="20"/>
        </w:rPr>
        <w:t>Item 9.          Changes</w:t>
      </w:r>
      <w:r>
        <w:rPr>
          <w:b/>
          <w:bCs/>
          <w:sz w:val="20"/>
          <w:szCs w:val="20"/>
        </w:rPr>
        <w:t xml:space="preserve"> in and Disagreements with Accountants on Accounting and Financial Disclosure</w:t>
      </w:r>
    </w:p>
    <w:p w:rsidR="00000000" w:rsidRDefault="00F22B2C">
      <w:pPr>
        <w:pStyle w:val="a3"/>
        <w:spacing w:before="0" w:beforeAutospacing="0" w:after="0" w:afterAutospacing="0"/>
        <w:ind w:firstLine="547"/>
        <w:divId w:val="1061292989"/>
        <w:rPr>
          <w:sz w:val="20"/>
          <w:szCs w:val="20"/>
        </w:rPr>
      </w:pPr>
      <w:r>
        <w:rPr>
          <w:sz w:val="20"/>
          <w:szCs w:val="20"/>
        </w:rPr>
        <w:t>None.</w:t>
      </w:r>
    </w:p>
    <w:p w:rsidR="00000000" w:rsidRDefault="00F22B2C">
      <w:pPr>
        <w:pStyle w:val="a3"/>
        <w:spacing w:before="0" w:beforeAutospacing="0" w:after="0" w:afterAutospacing="0"/>
        <w:ind w:firstLine="360"/>
        <w:divId w:val="1061292989"/>
        <w:rPr>
          <w:sz w:val="20"/>
          <w:szCs w:val="20"/>
        </w:rPr>
      </w:pPr>
      <w:r>
        <w:rPr>
          <w:sz w:val="20"/>
          <w:szCs w:val="20"/>
        </w:rPr>
        <w:t>​</w:t>
      </w:r>
    </w:p>
    <w:p w:rsidR="00000000" w:rsidRDefault="00F22B2C">
      <w:pPr>
        <w:pStyle w:val="a3"/>
        <w:spacing w:before="0" w:beforeAutospacing="0" w:after="240" w:afterAutospacing="0"/>
        <w:divId w:val="1061292989"/>
        <w:rPr>
          <w:sz w:val="20"/>
          <w:szCs w:val="20"/>
        </w:rPr>
      </w:pPr>
      <w:r>
        <w:rPr>
          <w:b/>
          <w:bCs/>
          <w:sz w:val="20"/>
          <w:szCs w:val="20"/>
        </w:rPr>
        <w:t>Item 9A.        Controls and Procedures</w:t>
      </w:r>
    </w:p>
    <w:p w:rsidR="00000000" w:rsidRDefault="00F22B2C">
      <w:pPr>
        <w:pStyle w:val="a3"/>
        <w:spacing w:before="0" w:beforeAutospacing="0" w:after="240" w:afterAutospacing="0"/>
        <w:divId w:val="1061292989"/>
        <w:rPr>
          <w:sz w:val="20"/>
          <w:szCs w:val="20"/>
        </w:rPr>
      </w:pPr>
      <w:r>
        <w:rPr>
          <w:i/>
          <w:iCs/>
          <w:sz w:val="20"/>
          <w:szCs w:val="20"/>
        </w:rPr>
        <w:t>(a)  Evaluation of Disclosure Controls and Procedures:</w:t>
      </w:r>
    </w:p>
    <w:p w:rsidR="00000000" w:rsidRDefault="00F22B2C">
      <w:pPr>
        <w:pStyle w:val="a3"/>
        <w:spacing w:before="0" w:beforeAutospacing="0" w:after="240" w:afterAutospacing="0"/>
        <w:ind w:firstLine="547"/>
        <w:divId w:val="1061292989"/>
        <w:rPr>
          <w:sz w:val="20"/>
          <w:szCs w:val="20"/>
        </w:rPr>
      </w:pPr>
      <w:r>
        <w:rPr>
          <w:sz w:val="20"/>
          <w:szCs w:val="20"/>
        </w:rPr>
        <w:t xml:space="preserve">We maintain disclosure controls and procedures that are designed to ensure </w:t>
      </w:r>
      <w:r>
        <w:rPr>
          <w:sz w:val="20"/>
          <w:szCs w:val="20"/>
        </w:rPr>
        <w:t>that information required to be disclosed in our Exchange Act reports is recorded, processed, summarized and reported within the time periods specified in the Securities and Exchange Commission’s rules and forms and that such information is accumulated and</w:t>
      </w:r>
      <w:r>
        <w:rPr>
          <w:sz w:val="20"/>
          <w:szCs w:val="20"/>
        </w:rPr>
        <w:t xml:space="preserve"> communicated to our management, including our Chief Executive Officer and Chief Financial Officer, as appropriate, to allow for timely decisions regarding required disclosure. In designing and evaluating the disclosure controls and procedures, management </w:t>
      </w:r>
      <w:r>
        <w:rPr>
          <w:sz w:val="20"/>
          <w:szCs w:val="20"/>
        </w:rPr>
        <w:t>recognizes that any controls and procedures, no matter how well designed and operated, can provide only reasonable assurance of achieving the desired control objectives, and in reaching a reasonable level of assurance, management is required to apply its j</w:t>
      </w:r>
      <w:r>
        <w:rPr>
          <w:sz w:val="20"/>
          <w:szCs w:val="20"/>
        </w:rPr>
        <w:t>udgment in evaluating the cost-benefit relationship of possible controls and procedures.</w:t>
      </w:r>
    </w:p>
    <w:p w:rsidR="00000000" w:rsidRDefault="00F22B2C">
      <w:pPr>
        <w:pStyle w:val="a3"/>
        <w:spacing w:before="0" w:beforeAutospacing="0" w:after="240" w:afterAutospacing="0"/>
        <w:ind w:firstLine="547"/>
        <w:divId w:val="1061292989"/>
        <w:rPr>
          <w:sz w:val="20"/>
          <w:szCs w:val="20"/>
        </w:rPr>
      </w:pPr>
      <w:r>
        <w:rPr>
          <w:sz w:val="20"/>
          <w:szCs w:val="20"/>
        </w:rPr>
        <w:t>As of the end of the period covered by this Annual Report on Form 10-K, we carried out an evaluation, under the supervision and with the participation of our managemen</w:t>
      </w:r>
      <w:r>
        <w:rPr>
          <w:sz w:val="20"/>
          <w:szCs w:val="20"/>
        </w:rPr>
        <w:t xml:space="preserve">t, including our Chief Executive Officer and our Chief Financial Officer, of the effectiveness of the design and operation of our disclosure controls and procedures. Based on the foregoing, our Chief Executive Officer and Chief Financial Officer concluded </w:t>
      </w:r>
      <w:r>
        <w:rPr>
          <w:sz w:val="20"/>
          <w:szCs w:val="20"/>
        </w:rPr>
        <w:t>that our disclosure controls and procedures were effective at the reasonable assurance level.</w:t>
      </w:r>
    </w:p>
    <w:p w:rsidR="00000000" w:rsidRDefault="00F22B2C">
      <w:pPr>
        <w:pStyle w:val="a3"/>
        <w:spacing w:before="0" w:beforeAutospacing="0" w:after="240" w:afterAutospacing="0"/>
        <w:divId w:val="1061292989"/>
        <w:rPr>
          <w:sz w:val="20"/>
          <w:szCs w:val="20"/>
        </w:rPr>
      </w:pPr>
      <w:r>
        <w:rPr>
          <w:i/>
          <w:iCs/>
          <w:sz w:val="20"/>
          <w:szCs w:val="20"/>
        </w:rPr>
        <w:t>(b)  Management’s Annual Report on Internal Control Over Financial Reporting:</w:t>
      </w:r>
    </w:p>
    <w:p w:rsidR="00000000" w:rsidRDefault="00F22B2C">
      <w:pPr>
        <w:pStyle w:val="a3"/>
        <w:spacing w:before="0" w:beforeAutospacing="0" w:after="240" w:afterAutospacing="0"/>
        <w:ind w:firstLine="547"/>
        <w:divId w:val="1061292989"/>
        <w:rPr>
          <w:sz w:val="20"/>
          <w:szCs w:val="20"/>
        </w:rPr>
      </w:pPr>
      <w:r>
        <w:rPr>
          <w:sz w:val="20"/>
          <w:szCs w:val="20"/>
        </w:rPr>
        <w:t>Our management is responsible for establishing and maintaining adequate internal con</w:t>
      </w:r>
      <w:r>
        <w:rPr>
          <w:sz w:val="20"/>
          <w:szCs w:val="20"/>
        </w:rPr>
        <w:t>trol over financial reporting, as such term is defined in Exchange Act Rules 13a-15(f) and 15d-15(f). Under the supervision and with the participation of our management, including our Chief Executive Officer and Chief Financial Officer, we conducted an eva</w:t>
      </w:r>
      <w:r>
        <w:rPr>
          <w:sz w:val="20"/>
          <w:szCs w:val="20"/>
        </w:rPr>
        <w:t xml:space="preserve">luation of the effectiveness of our internal control over financial reporting as of December 31, 2021 based on the framework in </w:t>
      </w:r>
      <w:r>
        <w:rPr>
          <w:i/>
          <w:iCs/>
          <w:sz w:val="20"/>
          <w:szCs w:val="20"/>
        </w:rPr>
        <w:t>Internal Control—Integrated Framework 2013</w:t>
      </w:r>
      <w:r>
        <w:rPr>
          <w:sz w:val="20"/>
          <w:szCs w:val="20"/>
        </w:rPr>
        <w:t> issued by the Committee of Sponsoring Organizations of the Treadway Commission, or CO</w:t>
      </w:r>
      <w:r>
        <w:rPr>
          <w:sz w:val="20"/>
          <w:szCs w:val="20"/>
        </w:rPr>
        <w:t>SO. Based on that evaluation, our management concluded that our internal control over financial reporting was effective as of December 31, 2021.</w:t>
      </w:r>
    </w:p>
    <w:p w:rsidR="00000000" w:rsidRDefault="00F22B2C">
      <w:pPr>
        <w:pStyle w:val="a3"/>
        <w:spacing w:before="480" w:beforeAutospacing="0" w:after="0" w:afterAutospacing="0"/>
        <w:jc w:val="center"/>
        <w:divId w:val="1423911913"/>
        <w:rPr>
          <w:sz w:val="20"/>
          <w:szCs w:val="20"/>
        </w:rPr>
      </w:pPr>
      <w:r>
        <w:rPr>
          <w:sz w:val="20"/>
          <w:szCs w:val="20"/>
        </w:rPr>
        <w:t>100</w:t>
      </w:r>
    </w:p>
    <w:p w:rsidR="00000000" w:rsidRDefault="00F22B2C">
      <w:pPr>
        <w:pStyle w:val="a3"/>
        <w:spacing w:before="0" w:beforeAutospacing="0" w:after="600" w:afterAutospacing="0"/>
        <w:divId w:val="422655144"/>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ind w:firstLine="547"/>
        <w:divId w:val="989603415"/>
        <w:rPr>
          <w:sz w:val="20"/>
          <w:szCs w:val="20"/>
        </w:rPr>
      </w:pPr>
      <w:r>
        <w:rPr>
          <w:sz w:val="20"/>
          <w:szCs w:val="20"/>
        </w:rPr>
        <w:t>The independent registered public accounting firm, Ernst and Yo</w:t>
      </w:r>
      <w:r>
        <w:rPr>
          <w:sz w:val="20"/>
          <w:szCs w:val="20"/>
        </w:rPr>
        <w:t>ung LLP, has issued an audit report on our internal control over financial reporting. The report on the audit of internal control over financial reporting is included in this Annual Report on Form 10-K.</w:t>
      </w:r>
    </w:p>
    <w:p w:rsidR="00000000" w:rsidRDefault="00F22B2C">
      <w:pPr>
        <w:pStyle w:val="a3"/>
        <w:spacing w:before="0" w:beforeAutospacing="0" w:after="240" w:afterAutospacing="0"/>
        <w:divId w:val="989603415"/>
        <w:rPr>
          <w:sz w:val="20"/>
          <w:szCs w:val="20"/>
        </w:rPr>
      </w:pPr>
      <w:r>
        <w:rPr>
          <w:i/>
          <w:iCs/>
          <w:sz w:val="20"/>
          <w:szCs w:val="20"/>
        </w:rPr>
        <w:t>(c)  Changes in Internal Control Over Financial Repor</w:t>
      </w:r>
      <w:r>
        <w:rPr>
          <w:i/>
          <w:iCs/>
          <w:sz w:val="20"/>
          <w:szCs w:val="20"/>
        </w:rPr>
        <w:t>ting:</w:t>
      </w:r>
    </w:p>
    <w:p w:rsidR="00000000" w:rsidRDefault="00F22B2C">
      <w:pPr>
        <w:pStyle w:val="a3"/>
        <w:spacing w:before="0" w:beforeAutospacing="0" w:after="0" w:afterAutospacing="0"/>
        <w:ind w:firstLine="547"/>
        <w:divId w:val="989603415"/>
        <w:rPr>
          <w:sz w:val="20"/>
          <w:szCs w:val="20"/>
        </w:rPr>
      </w:pPr>
      <w:r>
        <w:rPr>
          <w:sz w:val="20"/>
          <w:szCs w:val="20"/>
        </w:rPr>
        <w:t>There has been no change in our internal control over financial reporting during our most recent fiscal quarter that has materially affected, or is reasonably likely to materially affect, our internal control over financial reporting.</w:t>
      </w:r>
    </w:p>
    <w:p w:rsidR="00000000" w:rsidRDefault="00F22B2C">
      <w:pPr>
        <w:pStyle w:val="a3"/>
        <w:spacing w:before="0" w:beforeAutospacing="0" w:after="0" w:afterAutospacing="0"/>
        <w:ind w:firstLine="360"/>
        <w:divId w:val="989603415"/>
        <w:rPr>
          <w:sz w:val="20"/>
          <w:szCs w:val="20"/>
        </w:rPr>
      </w:pPr>
      <w:r>
        <w:rPr>
          <w:sz w:val="20"/>
          <w:szCs w:val="20"/>
        </w:rPr>
        <w:t>​</w:t>
      </w:r>
    </w:p>
    <w:p w:rsidR="00000000" w:rsidRDefault="00F22B2C">
      <w:pPr>
        <w:pStyle w:val="a3"/>
        <w:spacing w:before="0" w:beforeAutospacing="0" w:after="240" w:afterAutospacing="0"/>
        <w:divId w:val="989603415"/>
        <w:rPr>
          <w:sz w:val="20"/>
          <w:szCs w:val="20"/>
        </w:rPr>
      </w:pPr>
      <w:r>
        <w:rPr>
          <w:b/>
          <w:bCs/>
          <w:sz w:val="20"/>
          <w:szCs w:val="20"/>
        </w:rPr>
        <w:t>Item 9B.     </w:t>
      </w:r>
      <w:r>
        <w:rPr>
          <w:b/>
          <w:bCs/>
          <w:sz w:val="20"/>
          <w:szCs w:val="20"/>
        </w:rPr>
        <w:t>   Other Information</w:t>
      </w:r>
    </w:p>
    <w:p w:rsidR="00000000" w:rsidRDefault="00F22B2C">
      <w:pPr>
        <w:pStyle w:val="a3"/>
        <w:spacing w:before="0" w:beforeAutospacing="0" w:after="0" w:afterAutospacing="0"/>
        <w:ind w:firstLine="547"/>
        <w:divId w:val="989603415"/>
        <w:rPr>
          <w:sz w:val="20"/>
          <w:szCs w:val="20"/>
        </w:rPr>
      </w:pPr>
      <w:r>
        <w:rPr>
          <w:sz w:val="20"/>
          <w:szCs w:val="20"/>
        </w:rPr>
        <w:t>None.</w:t>
      </w:r>
    </w:p>
    <w:p w:rsidR="00000000" w:rsidRDefault="00F22B2C">
      <w:pPr>
        <w:pStyle w:val="a3"/>
        <w:spacing w:before="0" w:beforeAutospacing="0" w:after="0" w:afterAutospacing="0"/>
        <w:ind w:firstLine="360"/>
        <w:divId w:val="989603415"/>
        <w:rPr>
          <w:sz w:val="20"/>
          <w:szCs w:val="20"/>
        </w:rPr>
      </w:pPr>
      <w:r>
        <w:rPr>
          <w:sz w:val="20"/>
          <w:szCs w:val="20"/>
        </w:rPr>
        <w:t>​</w:t>
      </w:r>
    </w:p>
    <w:p w:rsidR="00000000" w:rsidRDefault="00F22B2C">
      <w:pPr>
        <w:pStyle w:val="a3"/>
        <w:spacing w:before="0" w:beforeAutospacing="0" w:after="240" w:afterAutospacing="0"/>
        <w:jc w:val="center"/>
        <w:divId w:val="989603415"/>
        <w:rPr>
          <w:sz w:val="20"/>
          <w:szCs w:val="20"/>
        </w:rPr>
      </w:pPr>
      <w:r>
        <w:rPr>
          <w:b/>
          <w:bCs/>
          <w:sz w:val="20"/>
          <w:szCs w:val="20"/>
        </w:rPr>
        <w:t>PART III</w:t>
      </w:r>
    </w:p>
    <w:p w:rsidR="00000000" w:rsidRDefault="00F22B2C">
      <w:pPr>
        <w:pStyle w:val="a3"/>
        <w:spacing w:before="0" w:beforeAutospacing="0" w:after="240" w:afterAutospacing="0"/>
        <w:ind w:firstLine="547"/>
        <w:divId w:val="989603415"/>
        <w:rPr>
          <w:sz w:val="20"/>
          <w:szCs w:val="20"/>
        </w:rPr>
      </w:pPr>
      <w:r>
        <w:rPr>
          <w:sz w:val="20"/>
          <w:szCs w:val="20"/>
        </w:rPr>
        <w:t>Certain information required by Part III is omitted from this Annual Report on Form </w:t>
      </w:r>
      <w:r>
        <w:rPr>
          <w:sz w:val="20"/>
          <w:szCs w:val="20"/>
        </w:rPr>
        <w:t xml:space="preserve">10-K because we will file a definitive Proxy Statement for the Annual Meeting of Stockholders pursuant to Regulation 14A of the Securities Exchange Act of 1934 (the Proxy Statement), not later than 120 days after the end of the fiscal year covered by this </w:t>
      </w:r>
      <w:r>
        <w:rPr>
          <w:sz w:val="20"/>
          <w:szCs w:val="20"/>
        </w:rPr>
        <w:t>Annual Report on Form 10-K, and the applicable information included in the Proxy Statement is incorporated herein by reference.</w:t>
      </w:r>
    </w:p>
    <w:p w:rsidR="00000000" w:rsidRDefault="00F22B2C">
      <w:pPr>
        <w:pStyle w:val="a3"/>
        <w:spacing w:before="0" w:beforeAutospacing="0" w:after="240" w:afterAutospacing="0"/>
        <w:divId w:val="989603415"/>
        <w:rPr>
          <w:sz w:val="20"/>
          <w:szCs w:val="20"/>
        </w:rPr>
      </w:pPr>
      <w:r>
        <w:rPr>
          <w:b/>
          <w:bCs/>
          <w:sz w:val="20"/>
          <w:szCs w:val="20"/>
        </w:rPr>
        <w:t>Item 10.          Directors, Executive Officers, and Corporate Governance</w:t>
      </w:r>
    </w:p>
    <w:p w:rsidR="00000000" w:rsidRDefault="00F22B2C">
      <w:pPr>
        <w:pStyle w:val="a3"/>
        <w:spacing w:before="0" w:beforeAutospacing="0" w:after="0" w:afterAutospacing="0"/>
        <w:ind w:firstLine="547"/>
        <w:divId w:val="989603415"/>
        <w:rPr>
          <w:sz w:val="20"/>
          <w:szCs w:val="20"/>
        </w:rPr>
      </w:pPr>
      <w:r>
        <w:rPr>
          <w:sz w:val="20"/>
          <w:szCs w:val="20"/>
        </w:rPr>
        <w:t>Information required by this Item 10 will be presented</w:t>
      </w:r>
      <w:r>
        <w:rPr>
          <w:sz w:val="20"/>
          <w:szCs w:val="20"/>
        </w:rPr>
        <w:t xml:space="preserve"> in the Proxy Statement “Election of Directors,” “Management Executive Officers,” “Section 16(a) Beneficial Ownership Reporting Compliance” and “Board of Directors and Corporate Governance,” and is incorporated herein by reference.</w:t>
      </w:r>
    </w:p>
    <w:p w:rsidR="00000000" w:rsidRDefault="00F22B2C">
      <w:pPr>
        <w:pStyle w:val="a3"/>
        <w:spacing w:before="0" w:beforeAutospacing="0" w:after="0" w:afterAutospacing="0"/>
        <w:ind w:firstLine="360"/>
        <w:divId w:val="989603415"/>
        <w:rPr>
          <w:sz w:val="20"/>
          <w:szCs w:val="20"/>
        </w:rPr>
      </w:pPr>
      <w:r>
        <w:rPr>
          <w:sz w:val="20"/>
          <w:szCs w:val="20"/>
        </w:rPr>
        <w:t>​</w:t>
      </w:r>
    </w:p>
    <w:p w:rsidR="00000000" w:rsidRDefault="00F22B2C">
      <w:pPr>
        <w:pStyle w:val="a3"/>
        <w:spacing w:before="0" w:beforeAutospacing="0" w:after="240" w:afterAutospacing="0"/>
        <w:divId w:val="989603415"/>
        <w:rPr>
          <w:sz w:val="20"/>
          <w:szCs w:val="20"/>
        </w:rPr>
      </w:pPr>
      <w:r>
        <w:rPr>
          <w:b/>
          <w:bCs/>
          <w:sz w:val="20"/>
          <w:szCs w:val="20"/>
        </w:rPr>
        <w:t>Item 11.          Exec</w:t>
      </w:r>
      <w:r>
        <w:rPr>
          <w:b/>
          <w:bCs/>
          <w:sz w:val="20"/>
          <w:szCs w:val="20"/>
        </w:rPr>
        <w:t>utive Compensation</w:t>
      </w:r>
    </w:p>
    <w:p w:rsidR="00000000" w:rsidRDefault="00F22B2C">
      <w:pPr>
        <w:pStyle w:val="a3"/>
        <w:spacing w:before="0" w:beforeAutospacing="0" w:after="0" w:afterAutospacing="0"/>
        <w:ind w:firstLine="547"/>
        <w:divId w:val="989603415"/>
        <w:rPr>
          <w:sz w:val="20"/>
          <w:szCs w:val="20"/>
        </w:rPr>
      </w:pPr>
      <w:r>
        <w:rPr>
          <w:sz w:val="20"/>
          <w:szCs w:val="20"/>
        </w:rPr>
        <w:t>The information required by this Item is incorporated herein by reference to the sections entitled “Executive Compensation,” “Executive Compensation—Compensation Discussion and Analysis” and “Directors’ Compensation” in the Proxy Stateme</w:t>
      </w:r>
      <w:r>
        <w:rPr>
          <w:sz w:val="20"/>
          <w:szCs w:val="20"/>
        </w:rPr>
        <w:t>nt.</w:t>
      </w:r>
    </w:p>
    <w:p w:rsidR="00000000" w:rsidRDefault="00F22B2C">
      <w:pPr>
        <w:pStyle w:val="a3"/>
        <w:spacing w:before="0" w:beforeAutospacing="0" w:after="0" w:afterAutospacing="0"/>
        <w:ind w:firstLine="360"/>
        <w:divId w:val="989603415"/>
        <w:rPr>
          <w:sz w:val="20"/>
          <w:szCs w:val="20"/>
        </w:rPr>
      </w:pPr>
      <w:r>
        <w:rPr>
          <w:sz w:val="20"/>
          <w:szCs w:val="20"/>
        </w:rPr>
        <w:t>​</w:t>
      </w:r>
    </w:p>
    <w:p w:rsidR="00000000" w:rsidRDefault="00F22B2C">
      <w:pPr>
        <w:pStyle w:val="a3"/>
        <w:spacing w:before="0" w:beforeAutospacing="0" w:after="240" w:afterAutospacing="0"/>
        <w:divId w:val="989603415"/>
        <w:rPr>
          <w:sz w:val="20"/>
          <w:szCs w:val="20"/>
        </w:rPr>
      </w:pPr>
      <w:r>
        <w:rPr>
          <w:b/>
          <w:bCs/>
          <w:sz w:val="20"/>
          <w:szCs w:val="20"/>
        </w:rPr>
        <w:t>Item 12.          Security Ownership of Certain Beneficial Owners and Management and Related Stockholder Matters</w:t>
      </w:r>
    </w:p>
    <w:p w:rsidR="00000000" w:rsidRDefault="00F22B2C">
      <w:pPr>
        <w:pStyle w:val="a3"/>
        <w:spacing w:before="0" w:beforeAutospacing="0" w:after="0" w:afterAutospacing="0"/>
        <w:ind w:firstLine="547"/>
        <w:divId w:val="989603415"/>
        <w:rPr>
          <w:sz w:val="20"/>
          <w:szCs w:val="20"/>
        </w:rPr>
      </w:pPr>
      <w:r>
        <w:rPr>
          <w:sz w:val="20"/>
          <w:szCs w:val="20"/>
        </w:rPr>
        <w:t>The information required by this Item is incorporated herein by reference to the sections entitled “Security Ownership of Certain Benefic</w:t>
      </w:r>
      <w:r>
        <w:rPr>
          <w:sz w:val="20"/>
          <w:szCs w:val="20"/>
        </w:rPr>
        <w:t>ial Owners and Management” and “Equity Compensation Plan Information” in the Proxy Statement.</w:t>
      </w:r>
    </w:p>
    <w:p w:rsidR="00000000" w:rsidRDefault="00F22B2C">
      <w:pPr>
        <w:pStyle w:val="a3"/>
        <w:spacing w:before="0" w:beforeAutospacing="0" w:after="0" w:afterAutospacing="0"/>
        <w:ind w:firstLine="360"/>
        <w:divId w:val="989603415"/>
        <w:rPr>
          <w:sz w:val="20"/>
          <w:szCs w:val="20"/>
        </w:rPr>
      </w:pPr>
      <w:r>
        <w:rPr>
          <w:sz w:val="20"/>
          <w:szCs w:val="20"/>
        </w:rPr>
        <w:t>​</w:t>
      </w:r>
    </w:p>
    <w:p w:rsidR="00000000" w:rsidRDefault="00F22B2C">
      <w:pPr>
        <w:pStyle w:val="a3"/>
        <w:spacing w:before="0" w:beforeAutospacing="0" w:after="240" w:afterAutospacing="0"/>
        <w:divId w:val="989603415"/>
        <w:rPr>
          <w:sz w:val="20"/>
          <w:szCs w:val="20"/>
        </w:rPr>
      </w:pPr>
      <w:r>
        <w:rPr>
          <w:b/>
          <w:bCs/>
          <w:sz w:val="20"/>
          <w:szCs w:val="20"/>
        </w:rPr>
        <w:t>Item 13.          Certain Relationships and Related Transactions, and Director Independence</w:t>
      </w:r>
    </w:p>
    <w:p w:rsidR="00000000" w:rsidRDefault="00F22B2C">
      <w:pPr>
        <w:pStyle w:val="a3"/>
        <w:spacing w:before="0" w:beforeAutospacing="0" w:after="0" w:afterAutospacing="0"/>
        <w:ind w:firstLine="547"/>
        <w:divId w:val="989603415"/>
        <w:rPr>
          <w:sz w:val="20"/>
          <w:szCs w:val="20"/>
        </w:rPr>
      </w:pPr>
      <w:r>
        <w:rPr>
          <w:sz w:val="20"/>
          <w:szCs w:val="20"/>
        </w:rPr>
        <w:t>The information required by this Item is incorporated herein by refe</w:t>
      </w:r>
      <w:r>
        <w:rPr>
          <w:sz w:val="20"/>
          <w:szCs w:val="20"/>
        </w:rPr>
        <w:t>rence to the section entitled “Certain Relationships and Related Transactions” in the Proxy Statement.</w:t>
      </w:r>
    </w:p>
    <w:p w:rsidR="00000000" w:rsidRDefault="00F22B2C">
      <w:pPr>
        <w:pStyle w:val="a3"/>
        <w:spacing w:before="0" w:beforeAutospacing="0" w:after="0" w:afterAutospacing="0"/>
        <w:ind w:firstLine="360"/>
        <w:divId w:val="989603415"/>
        <w:rPr>
          <w:sz w:val="20"/>
          <w:szCs w:val="20"/>
        </w:rPr>
      </w:pPr>
      <w:r>
        <w:rPr>
          <w:sz w:val="20"/>
          <w:szCs w:val="20"/>
        </w:rPr>
        <w:t>​</w:t>
      </w:r>
    </w:p>
    <w:p w:rsidR="00000000" w:rsidRDefault="00F22B2C">
      <w:pPr>
        <w:pStyle w:val="a3"/>
        <w:spacing w:before="0" w:beforeAutospacing="0" w:after="240" w:afterAutospacing="0"/>
        <w:divId w:val="989603415"/>
        <w:rPr>
          <w:sz w:val="20"/>
          <w:szCs w:val="20"/>
        </w:rPr>
      </w:pPr>
      <w:r>
        <w:rPr>
          <w:b/>
          <w:bCs/>
          <w:sz w:val="20"/>
          <w:szCs w:val="20"/>
        </w:rPr>
        <w:t>Item 14.           Principal Accountant’s Fees and Services</w:t>
      </w:r>
    </w:p>
    <w:p w:rsidR="00000000" w:rsidRDefault="00F22B2C">
      <w:pPr>
        <w:pStyle w:val="a3"/>
        <w:spacing w:before="0" w:beforeAutospacing="0" w:after="0" w:afterAutospacing="0"/>
        <w:ind w:firstLine="547"/>
        <w:divId w:val="989603415"/>
        <w:rPr>
          <w:sz w:val="20"/>
          <w:szCs w:val="20"/>
        </w:rPr>
      </w:pPr>
      <w:r>
        <w:rPr>
          <w:sz w:val="20"/>
          <w:szCs w:val="20"/>
        </w:rPr>
        <w:t>Information required by this Item is incorporated herein by reference to the section of the</w:t>
      </w:r>
      <w:r>
        <w:rPr>
          <w:sz w:val="20"/>
          <w:szCs w:val="20"/>
        </w:rPr>
        <w:t xml:space="preserve"> Proxy Statement entitled “Principal Accountant Fees and Services.”</w:t>
      </w:r>
    </w:p>
    <w:p w:rsidR="00000000" w:rsidRDefault="00F22B2C">
      <w:pPr>
        <w:pStyle w:val="a3"/>
        <w:spacing w:before="0" w:beforeAutospacing="0" w:after="0" w:afterAutospacing="0"/>
        <w:ind w:firstLine="360"/>
        <w:divId w:val="989603415"/>
        <w:rPr>
          <w:sz w:val="20"/>
          <w:szCs w:val="20"/>
        </w:rPr>
      </w:pPr>
      <w:r>
        <w:rPr>
          <w:sz w:val="20"/>
          <w:szCs w:val="20"/>
        </w:rPr>
        <w:t>​</w:t>
      </w:r>
    </w:p>
    <w:p w:rsidR="00000000" w:rsidRDefault="00F22B2C">
      <w:pPr>
        <w:pStyle w:val="a3"/>
        <w:spacing w:before="0" w:beforeAutospacing="0" w:after="240" w:afterAutospacing="0"/>
        <w:jc w:val="center"/>
        <w:divId w:val="989603415"/>
        <w:rPr>
          <w:sz w:val="20"/>
          <w:szCs w:val="20"/>
        </w:rPr>
      </w:pPr>
      <w:r>
        <w:rPr>
          <w:b/>
          <w:bCs/>
          <w:sz w:val="20"/>
          <w:szCs w:val="20"/>
        </w:rPr>
        <w:t>PART IV</w:t>
      </w:r>
    </w:p>
    <w:p w:rsidR="00000000" w:rsidRDefault="00F22B2C">
      <w:pPr>
        <w:pStyle w:val="a3"/>
        <w:spacing w:before="0" w:beforeAutospacing="0" w:after="240" w:afterAutospacing="0"/>
        <w:divId w:val="989603415"/>
        <w:rPr>
          <w:sz w:val="20"/>
          <w:szCs w:val="20"/>
        </w:rPr>
      </w:pPr>
      <w:r>
        <w:rPr>
          <w:b/>
          <w:bCs/>
          <w:sz w:val="20"/>
          <w:szCs w:val="20"/>
        </w:rPr>
        <w:t>Item 15.           Exhibits, Financial Statements Schedules</w:t>
      </w:r>
    </w:p>
    <w:p w:rsidR="00000000" w:rsidRDefault="00F22B2C">
      <w:pPr>
        <w:pStyle w:val="a3"/>
        <w:spacing w:before="0" w:beforeAutospacing="0" w:after="240" w:afterAutospacing="0"/>
        <w:ind w:firstLine="547"/>
        <w:divId w:val="989603415"/>
        <w:rPr>
          <w:sz w:val="20"/>
          <w:szCs w:val="20"/>
        </w:rPr>
      </w:pPr>
      <w:r>
        <w:rPr>
          <w:sz w:val="20"/>
          <w:szCs w:val="20"/>
        </w:rPr>
        <w:t>The Company’s consolidated financial statements and related notes thereto are listed and included in this Annual Repor</w:t>
      </w:r>
      <w:r>
        <w:rPr>
          <w:sz w:val="20"/>
          <w:szCs w:val="20"/>
        </w:rPr>
        <w:t>t on Form 10-K beginning on page F-1. The following exhibits are filed with, or are incorporated by reference into, this Annual Report on Form 10-K.</w:t>
      </w:r>
    </w:p>
    <w:p w:rsidR="00000000" w:rsidRDefault="00F22B2C">
      <w:pPr>
        <w:pStyle w:val="a3"/>
        <w:spacing w:before="480" w:beforeAutospacing="0" w:after="0" w:afterAutospacing="0"/>
        <w:jc w:val="center"/>
        <w:divId w:val="2099131342"/>
        <w:rPr>
          <w:sz w:val="20"/>
          <w:szCs w:val="20"/>
        </w:rPr>
      </w:pPr>
      <w:r>
        <w:rPr>
          <w:sz w:val="20"/>
          <w:szCs w:val="20"/>
        </w:rPr>
        <w:t>101</w:t>
      </w:r>
    </w:p>
    <w:p w:rsidR="00000000" w:rsidRDefault="00F22B2C">
      <w:pPr>
        <w:pStyle w:val="a3"/>
        <w:spacing w:before="0" w:beforeAutospacing="0" w:after="600" w:afterAutospacing="0"/>
        <w:divId w:val="1336222950"/>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jc w:val="center"/>
        <w:divId w:val="1524128748"/>
        <w:rPr>
          <w:sz w:val="20"/>
          <w:szCs w:val="20"/>
        </w:rPr>
      </w:pPr>
      <w:r>
        <w:rPr>
          <w:b/>
          <w:bCs/>
          <w:sz w:val="20"/>
          <w:szCs w:val="20"/>
        </w:rPr>
        <w:t>EXHIBIT INDEX</w:t>
      </w:r>
    </w:p>
    <w:tbl>
      <w:tblPr>
        <w:tblW w:w="5000" w:type="pct"/>
        <w:tblCellMar>
          <w:top w:w="15" w:type="dxa"/>
          <w:left w:w="0" w:type="dxa"/>
          <w:bottom w:w="15" w:type="dxa"/>
          <w:right w:w="0" w:type="dxa"/>
        </w:tblCellMar>
        <w:tblLook w:val="04A0" w:firstRow="1" w:lastRow="0" w:firstColumn="1" w:lastColumn="0" w:noHBand="0" w:noVBand="1"/>
      </w:tblPr>
      <w:tblGrid>
        <w:gridCol w:w="639"/>
        <w:gridCol w:w="10"/>
        <w:gridCol w:w="216"/>
        <w:gridCol w:w="7441"/>
      </w:tblGrid>
      <w:tr w:rsidR="00000000">
        <w:trPr>
          <w:divId w:val="1524128748"/>
          <w:trHeight w:val="20"/>
        </w:trPr>
        <w:tc>
          <w:tcPr>
            <w:tcW w:w="400" w:type="pct"/>
            <w:gridSpan w:val="2"/>
            <w:tcMar>
              <w:top w:w="0" w:type="dxa"/>
              <w:left w:w="0" w:type="dxa"/>
              <w:bottom w:w="0" w:type="dxa"/>
              <w:right w:w="16" w:type="dxa"/>
            </w:tcMar>
            <w:hideMark/>
          </w:tcPr>
          <w:p w:rsidR="00000000" w:rsidRDefault="00F22B2C">
            <w:pPr>
              <w:rPr>
                <w:sz w:val="20"/>
                <w:szCs w:val="20"/>
              </w:rPr>
            </w:pPr>
          </w:p>
        </w:tc>
        <w:tc>
          <w:tcPr>
            <w:tcW w:w="105" w:type="pct"/>
            <w:tcMar>
              <w:top w:w="0" w:type="dxa"/>
              <w:left w:w="0" w:type="dxa"/>
              <w:bottom w:w="0" w:type="dxa"/>
              <w:right w:w="16" w:type="dxa"/>
            </w:tcMar>
            <w:hideMark/>
          </w:tcPr>
          <w:p w:rsidR="00000000" w:rsidRDefault="00F22B2C">
            <w:pPr>
              <w:rPr>
                <w:rFonts w:eastAsia="Times New Roman"/>
                <w:sz w:val="20"/>
                <w:szCs w:val="20"/>
              </w:rPr>
            </w:pPr>
          </w:p>
        </w:tc>
        <w:tc>
          <w:tcPr>
            <w:tcW w:w="4494" w:type="pct"/>
            <w:tcMar>
              <w:top w:w="0" w:type="dxa"/>
              <w:left w:w="0" w:type="dxa"/>
              <w:bottom w:w="0" w:type="dxa"/>
              <w:right w:w="16" w:type="dxa"/>
            </w:tcMar>
            <w:hideMark/>
          </w:tcPr>
          <w:p w:rsidR="00000000" w:rsidRDefault="00F22B2C">
            <w:pPr>
              <w:rPr>
                <w:rFonts w:eastAsia="Times New Roman"/>
                <w:sz w:val="20"/>
                <w:szCs w:val="20"/>
              </w:rPr>
            </w:pPr>
          </w:p>
        </w:tc>
      </w:tr>
      <w:tr w:rsidR="00000000">
        <w:trPr>
          <w:divId w:val="1524128748"/>
        </w:trPr>
        <w:tc>
          <w:tcPr>
            <w:tcW w:w="400" w:type="pct"/>
            <w:gridSpan w:val="2"/>
            <w:tcBorders>
              <w:bottom w:val="single" w:sz="8" w:space="0" w:color="000000"/>
            </w:tcBorders>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Exhibit</w:t>
            </w:r>
          </w:p>
        </w:tc>
        <w:tc>
          <w:tcPr>
            <w:tcW w:w="105" w:type="pct"/>
            <w:tcMar>
              <w:top w:w="0" w:type="dxa"/>
              <w:left w:w="0" w:type="dxa"/>
              <w:bottom w:w="0" w:type="dxa"/>
              <w:right w:w="16" w:type="dxa"/>
            </w:tcMar>
            <w:hideMark/>
          </w:tcPr>
          <w:p w:rsidR="00000000" w:rsidRDefault="00F22B2C">
            <w:pPr>
              <w:pStyle w:val="a3"/>
              <w:spacing w:before="0" w:beforeAutospacing="0" w:after="0" w:afterAutospacing="0"/>
              <w:jc w:val="center"/>
              <w:rPr>
                <w:sz w:val="20"/>
                <w:szCs w:val="20"/>
              </w:rPr>
            </w:pPr>
            <w:r>
              <w:rPr>
                <w:sz w:val="20"/>
                <w:szCs w:val="20"/>
              </w:rPr>
              <w:t>    </w:t>
            </w:r>
          </w:p>
        </w:tc>
        <w:tc>
          <w:tcPr>
            <w:tcW w:w="4494" w:type="pct"/>
            <w:tcBorders>
              <w:bottom w:val="single" w:sz="8" w:space="0" w:color="000000"/>
            </w:tcBorders>
            <w:tcMar>
              <w:top w:w="0" w:type="dxa"/>
              <w:left w:w="0" w:type="dxa"/>
              <w:bottom w:w="0" w:type="dxa"/>
              <w:right w:w="16" w:type="dxa"/>
            </w:tcMar>
            <w:hideMark/>
          </w:tcPr>
          <w:p w:rsidR="00000000" w:rsidRDefault="00F22B2C">
            <w:pPr>
              <w:pStyle w:val="a3"/>
              <w:spacing w:before="0" w:beforeAutospacing="0" w:after="0" w:afterAutospacing="0"/>
              <w:jc w:val="center"/>
              <w:rPr>
                <w:sz w:val="20"/>
                <w:szCs w:val="20"/>
              </w:rPr>
            </w:pPr>
            <w:r>
              <w:rPr>
                <w:sz w:val="20"/>
                <w:szCs w:val="20"/>
              </w:rPr>
              <w:t>Description</w:t>
            </w:r>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2.1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9" w:history="1">
              <w:r>
                <w:rPr>
                  <w:rStyle w:val="a4"/>
                  <w:sz w:val="20"/>
                  <w:szCs w:val="20"/>
                </w:rPr>
                <w:t>Plan of Conversion (incorporated herein by reference to Exhibit 2.1 to the Registrant’s Current Report on Form </w:t>
              </w:r>
              <w:r>
                <w:rPr>
                  <w:rStyle w:val="a4"/>
                  <w:sz w:val="20"/>
                  <w:szCs w:val="20"/>
                </w:rPr>
                <w:t>8-K filed with the Commission on June 2, 2017).</w:t>
              </w:r>
            </w:hyperlink>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10" w:history="1">
              <w:r>
                <w:rPr>
                  <w:rStyle w:val="a4"/>
                  <w:sz w:val="20"/>
                  <w:szCs w:val="20"/>
                </w:rPr>
                <w:t>Articles of Conversion (incorporated herein by reference to Exhibit 3.1 to the Registrant’s Current</w:t>
              </w:r>
              <w:r>
                <w:rPr>
                  <w:rStyle w:val="a4"/>
                  <w:sz w:val="20"/>
                  <w:szCs w:val="20"/>
                </w:rPr>
                <w:t xml:space="preserve"> Report on Form 8-K filed with the Commission on June 2, 2017).</w:t>
              </w:r>
            </w:hyperlink>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3.2</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11" w:history="1">
              <w:r>
                <w:rPr>
                  <w:rStyle w:val="a4"/>
                  <w:sz w:val="20"/>
                  <w:szCs w:val="20"/>
                </w:rPr>
                <w:t>Certificate of Conversion (incorporated herein by reference to Exhibit 3.2 to the R</w:t>
              </w:r>
              <w:r>
                <w:rPr>
                  <w:rStyle w:val="a4"/>
                  <w:sz w:val="20"/>
                  <w:szCs w:val="20"/>
                </w:rPr>
                <w:t>egistrant’s Current Report on Form 8-K filed with the Commission on June 2, 2017).</w:t>
              </w:r>
            </w:hyperlink>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3.3</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12" w:history="1">
              <w:r>
                <w:rPr>
                  <w:rStyle w:val="a4"/>
                  <w:sz w:val="20"/>
                  <w:szCs w:val="20"/>
                </w:rPr>
                <w:t>Certificate of Incorporation (incorporated herein by reference t</w:t>
              </w:r>
              <w:r>
                <w:rPr>
                  <w:rStyle w:val="a4"/>
                  <w:sz w:val="20"/>
                  <w:szCs w:val="20"/>
                </w:rPr>
                <w:t>o Exhibit 3.3 to the Registrant’s Current Report on Form 8-K filed with the Commission on June 2, 2017).</w:t>
              </w:r>
            </w:hyperlink>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3.4</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13" w:history="1">
              <w:r>
                <w:rPr>
                  <w:rStyle w:val="a4"/>
                  <w:sz w:val="20"/>
                  <w:szCs w:val="20"/>
                </w:rPr>
                <w:t>Certificate of Designations of Rights, Pre</w:t>
              </w:r>
              <w:r>
                <w:rPr>
                  <w:rStyle w:val="a4"/>
                  <w:sz w:val="20"/>
                  <w:szCs w:val="20"/>
                </w:rPr>
                <w:t>ferences and Privileges of Series A Convertible Preferred Stock (incorporated herein by reference to Exhibit 3.4 to the Registrant’s Post-Effective Amendment No. 1 to the Registration Statement on Form S-3 (file no. 333-214073) filed with the Commission on</w:t>
              </w:r>
              <w:r>
                <w:rPr>
                  <w:rStyle w:val="a4"/>
                  <w:sz w:val="20"/>
                  <w:szCs w:val="20"/>
                </w:rPr>
                <w:t xml:space="preserve"> July 31, 2017).</w:t>
              </w:r>
            </w:hyperlink>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3.5</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14" w:history="1">
              <w:r>
                <w:rPr>
                  <w:rStyle w:val="a4"/>
                  <w:sz w:val="20"/>
                  <w:szCs w:val="20"/>
                </w:rPr>
                <w:t>Certificate of Designations of Rights, Preferences and Privileges of Series B Preferred Stock (incorporated herein by reference to Exhibit 3.5 to the Registrant’s Post-Effective Amendment No. 1 to the Registration Statement on Form S-3 (file no. 333-214073</w:t>
              </w:r>
              <w:r>
                <w:rPr>
                  <w:rStyle w:val="a4"/>
                  <w:sz w:val="20"/>
                  <w:szCs w:val="20"/>
                </w:rPr>
                <w:t xml:space="preserve"> incorporated by reference into file no. 333-212373) filed with the Commission on July 31, 2017).</w:t>
              </w:r>
            </w:hyperlink>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3.6</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15" w:history="1">
              <w:r>
                <w:rPr>
                  <w:rStyle w:val="a4"/>
                  <w:sz w:val="20"/>
                  <w:szCs w:val="20"/>
                </w:rPr>
                <w:t>Certificate of Amendment of Certificate of Incorp</w:t>
              </w:r>
              <w:r>
                <w:rPr>
                  <w:rStyle w:val="a4"/>
                  <w:sz w:val="20"/>
                  <w:szCs w:val="20"/>
                </w:rPr>
                <w:t>oration (incorporated herein by reference to Exhibit 3.1 to the Registrant’s Current Report on Form 8-K filed with the Commission on June 27, 2017).</w:t>
              </w:r>
            </w:hyperlink>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3.7</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16" w:history="1">
              <w:r>
                <w:rPr>
                  <w:rStyle w:val="a4"/>
                  <w:sz w:val="20"/>
                  <w:szCs w:val="20"/>
                </w:rPr>
                <w:t>Certificate of Amendment of Certificate of Incorporation (incorporated herein by reference to Exhibit 3.1 to the Registrant’s Current Report on Form 8 K filed with the Commission on June 11, 2019).</w:t>
              </w:r>
            </w:hyperlink>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3.8</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17" w:history="1">
              <w:r>
                <w:rPr>
                  <w:rStyle w:val="a4"/>
                  <w:sz w:val="20"/>
                  <w:szCs w:val="20"/>
                </w:rPr>
                <w:t>Second Amended and Restated Bylaws (incorporated herein by reference to Exhibit 3.1 to the Registrant’s Current Report on Form 8-K filed with the Commission on April 26, 2021).</w:t>
              </w:r>
            </w:hyperlink>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4.1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18" w:history="1">
              <w:r>
                <w:rPr>
                  <w:rStyle w:val="a4"/>
                  <w:sz w:val="20"/>
                  <w:szCs w:val="20"/>
                </w:rPr>
                <w:t>Specimen of Stock Certificate (incorporated herein by reference to Exhibit 4.2 to the Registrant’s Annual Report on Form 10-K filed with the Commission on</w:t>
              </w:r>
              <w:r>
                <w:rPr>
                  <w:rStyle w:val="a4"/>
                  <w:sz w:val="20"/>
                  <w:szCs w:val="20"/>
                </w:rPr>
                <w:t xml:space="preserve"> March 12, 2018).</w:t>
              </w:r>
            </w:hyperlink>
          </w:p>
        </w:tc>
      </w:tr>
      <w:tr w:rsidR="00000000">
        <w:trPr>
          <w:divId w:val="1524128748"/>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4.2</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19" w:history="1">
              <w:r>
                <w:rPr>
                  <w:rStyle w:val="a4"/>
                  <w:sz w:val="20"/>
                  <w:szCs w:val="20"/>
                </w:rPr>
                <w:t>Description of Securities (incorporated herein by reference to Exhibit 4.3 to the Registrant’s Annual Report on Form 10-K filed with the Commission on March 6, 2019).</w:t>
              </w:r>
            </w:hyperlink>
          </w:p>
        </w:tc>
      </w:tr>
      <w:tr w:rsidR="00000000">
        <w:trPr>
          <w:divId w:val="152412874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20" w:history="1">
              <w:r>
                <w:rPr>
                  <w:rStyle w:val="a4"/>
                  <w:sz w:val="20"/>
                  <w:szCs w:val="20"/>
                </w:rPr>
                <w:t>Genesis Biopharma, Inc. 2011 Equity Incentive Plan (incorporated herein by reference to Exhibit 10.3 to the Registrant’s Current Report on Form 8 K filed with the Commission on October 20, 2011).#</w:t>
              </w:r>
            </w:hyperlink>
          </w:p>
        </w:tc>
      </w:tr>
      <w:tr w:rsidR="00000000">
        <w:trPr>
          <w:divId w:val="152412874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21" w:history="1">
              <w:r>
                <w:rPr>
                  <w:rStyle w:val="a4"/>
                  <w:sz w:val="20"/>
                  <w:szCs w:val="20"/>
                </w:rPr>
                <w:t>Form of Incentive Stock Option Agreement under the Genesis Biopharma Inc. 2011 Equity Incentive Plan (incorporated herein by reference to Exhibit 10.4 to the Registrant’s Annual Report on F</w:t>
              </w:r>
              <w:r>
                <w:rPr>
                  <w:rStyle w:val="a4"/>
                  <w:sz w:val="20"/>
                  <w:szCs w:val="20"/>
                </w:rPr>
                <w:t>orm 10-K filed with the Commission on February 25, 2020).#</w:t>
              </w:r>
            </w:hyperlink>
          </w:p>
        </w:tc>
      </w:tr>
      <w:tr w:rsidR="00000000">
        <w:trPr>
          <w:divId w:val="152412874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22" w:history="1">
              <w:r>
                <w:rPr>
                  <w:rStyle w:val="a4"/>
                  <w:sz w:val="20"/>
                  <w:szCs w:val="20"/>
                </w:rPr>
                <w:t>Form of Non-Qualified Stock Option Agreement under the Genesis Biopharma Inc. 2011 Equity Inc</w:t>
              </w:r>
              <w:r>
                <w:rPr>
                  <w:rStyle w:val="a4"/>
                  <w:sz w:val="20"/>
                  <w:szCs w:val="20"/>
                </w:rPr>
                <w:t>entive Plan (incorporated herein by reference to Exhibit 10.5 to the Registrant’s Annual Report on Form 10-K filed with the Commission on February 25, 2020).#</w:t>
              </w:r>
            </w:hyperlink>
          </w:p>
        </w:tc>
      </w:tr>
      <w:tr w:rsidR="00000000">
        <w:trPr>
          <w:divId w:val="152412874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10.4</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23" w:history="1">
              <w:r>
                <w:rPr>
                  <w:rStyle w:val="a4"/>
                  <w:sz w:val="20"/>
                  <w:szCs w:val="20"/>
                </w:rPr>
                <w:t>Lion Biotechnologies, Inc. 2014 Equity Incentive Plan, as amended (incorporated herein by reference to Appendix A to the Registrant’s Definitive Proxy Sta</w:t>
              </w:r>
              <w:r>
                <w:rPr>
                  <w:rStyle w:val="a4"/>
                  <w:sz w:val="20"/>
                  <w:szCs w:val="20"/>
                </w:rPr>
                <w:t>tement on Schedule 14A filed with the Commission on July 7, 2016).#</w:t>
              </w:r>
            </w:hyperlink>
          </w:p>
        </w:tc>
      </w:tr>
      <w:tr w:rsidR="00000000">
        <w:trPr>
          <w:divId w:val="152412874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10.5</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24" w:history="1">
              <w:r>
                <w:rPr>
                  <w:rStyle w:val="a4"/>
                  <w:sz w:val="20"/>
                  <w:szCs w:val="20"/>
                </w:rPr>
                <w:t>Form of Incentive Stock Option Agreement under the Lion Biotechnologies, Inc. 2014 E</w:t>
              </w:r>
              <w:r>
                <w:rPr>
                  <w:rStyle w:val="a4"/>
                  <w:sz w:val="20"/>
                  <w:szCs w:val="20"/>
                </w:rPr>
                <w:t>quity Incentive Plan (incorporated herein by reference to Exhibit 10.7 to the Registrant’s Annual Report on Form 10-K filed with the Commission on February 25, 2020).#</w:t>
              </w:r>
            </w:hyperlink>
          </w:p>
        </w:tc>
      </w:tr>
      <w:tr w:rsidR="00000000">
        <w:trPr>
          <w:divId w:val="152412874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10.6</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25" w:history="1">
              <w:r>
                <w:rPr>
                  <w:rStyle w:val="a4"/>
                  <w:sz w:val="20"/>
                  <w:szCs w:val="20"/>
                </w:rPr>
                <w:t>Form of Non-Qualified Stock Option Agreement under the Lion Biotechnologies, Inc. 2014 Equity Incentive Plan (incorporated herein by reference to Exhibit 10.8 to the Registrant’s Annual Report on Form 10-K filed with the Commission on Febru</w:t>
              </w:r>
              <w:r>
                <w:rPr>
                  <w:rStyle w:val="a4"/>
                  <w:sz w:val="20"/>
                  <w:szCs w:val="20"/>
                </w:rPr>
                <w:t>ary 25, 2020).#</w:t>
              </w:r>
            </w:hyperlink>
          </w:p>
        </w:tc>
      </w:tr>
      <w:tr w:rsidR="00000000">
        <w:trPr>
          <w:divId w:val="152412874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10.7</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26" w:history="1">
              <w:r>
                <w:rPr>
                  <w:rStyle w:val="a4"/>
                  <w:sz w:val="20"/>
                  <w:szCs w:val="20"/>
                </w:rPr>
                <w:t>Iovance Biotherapeutics, Inc. 2018 Equity Incentive Plan, as amended (incorporated herein by reference to Exhibit 10.2 to the</w:t>
              </w:r>
              <w:r>
                <w:rPr>
                  <w:rStyle w:val="a4"/>
                  <w:sz w:val="20"/>
                  <w:szCs w:val="20"/>
                </w:rPr>
                <w:t xml:space="preserve"> Registrant’s Current Report on Form 8-K filed with the Commission on June 9, 2020).#</w:t>
              </w:r>
            </w:hyperlink>
          </w:p>
        </w:tc>
      </w:tr>
      <w:tr w:rsidR="00000000">
        <w:trPr>
          <w:divId w:val="152412874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10.8</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27" w:history="1">
              <w:r>
                <w:rPr>
                  <w:rStyle w:val="a4"/>
                  <w:sz w:val="20"/>
                  <w:szCs w:val="20"/>
                </w:rPr>
                <w:t>Form of Incentive Stock Option Agreement under the Iovance Biothe</w:t>
              </w:r>
              <w:r>
                <w:rPr>
                  <w:rStyle w:val="a4"/>
                  <w:sz w:val="20"/>
                  <w:szCs w:val="20"/>
                </w:rPr>
                <w:t>rapeutics, Inc. 2018 Equity Incentive Plan (incorporated herein by reference to Exhibit 10.10 of Registrant’s Annual Report on Form 10-K filed with the Commission on February 25, 2020).#</w:t>
              </w:r>
            </w:hyperlink>
          </w:p>
        </w:tc>
      </w:tr>
      <w:tr w:rsidR="00000000">
        <w:trPr>
          <w:divId w:val="152412874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10.9</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28" w:history="1">
              <w:r>
                <w:rPr>
                  <w:rStyle w:val="a4"/>
                  <w:sz w:val="20"/>
                  <w:szCs w:val="20"/>
                </w:rPr>
                <w:t>Form of Non-Qualified Stock Option Agreement under the Iovance Biotherapeutics, Inc. 2018 Equity Incentive Plan (incorporated herein by reference to Exhibit 10.</w:t>
              </w:r>
              <w:r>
                <w:rPr>
                  <w:rStyle w:val="a4"/>
                  <w:sz w:val="20"/>
                  <w:szCs w:val="20"/>
                </w:rPr>
                <w:t>11 of Registrant’s Annual report on Form 10-K filed with the Commission on February 25, 2020).#</w:t>
              </w:r>
            </w:hyperlink>
          </w:p>
        </w:tc>
      </w:tr>
      <w:tr w:rsidR="00000000">
        <w:trPr>
          <w:divId w:val="152412874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10.10</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29" w:history="1">
              <w:r>
                <w:rPr>
                  <w:rStyle w:val="a4"/>
                  <w:sz w:val="20"/>
                  <w:szCs w:val="20"/>
                </w:rPr>
                <w:t xml:space="preserve">Form of Stock Unit Notice and Stock Unit Agreement under the Iovance Biotherapeutics, Inc. 2018 Equity Incentive Plan, as amended (June 2021 Retention Equity Awards) (incorporated herein by reference to Exhibit 10.2 to the Registrant’s Quarterly Report on </w:t>
              </w:r>
              <w:r>
                <w:rPr>
                  <w:rStyle w:val="a4"/>
                  <w:sz w:val="20"/>
                  <w:szCs w:val="20"/>
                </w:rPr>
                <w:t>Form 10-Q filed with the Commission on August 5, 2021).#</w:t>
              </w:r>
            </w:hyperlink>
          </w:p>
        </w:tc>
      </w:tr>
    </w:tbl>
    <w:p w:rsidR="00000000" w:rsidRDefault="00F22B2C">
      <w:pPr>
        <w:pStyle w:val="a3"/>
        <w:spacing w:before="480" w:beforeAutospacing="0" w:after="0" w:afterAutospacing="0"/>
        <w:jc w:val="center"/>
        <w:divId w:val="122622684"/>
        <w:rPr>
          <w:sz w:val="20"/>
          <w:szCs w:val="20"/>
        </w:rPr>
      </w:pPr>
      <w:r>
        <w:rPr>
          <w:sz w:val="20"/>
          <w:szCs w:val="20"/>
        </w:rPr>
        <w:t>102</w:t>
      </w:r>
    </w:p>
    <w:p w:rsidR="00000000" w:rsidRDefault="00F22B2C">
      <w:pPr>
        <w:pStyle w:val="a3"/>
        <w:spacing w:before="0" w:beforeAutospacing="0" w:after="600" w:afterAutospacing="0"/>
        <w:divId w:val="185873792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53"/>
        <w:gridCol w:w="12"/>
        <w:gridCol w:w="174"/>
        <w:gridCol w:w="7467"/>
      </w:tblGrid>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10.11</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30" w:history="1">
              <w:r>
                <w:rPr>
                  <w:rStyle w:val="a4"/>
                  <w:sz w:val="20"/>
                  <w:szCs w:val="20"/>
                </w:rPr>
                <w:t>Form of Nonqualified Stock Option Award Agreement under the Iovance Biotherapeutics, Inc. 2018 Equity Incentive Plan, as amended (June 2021 Retentio</w:t>
              </w:r>
              <w:r>
                <w:rPr>
                  <w:rStyle w:val="a4"/>
                  <w:sz w:val="20"/>
                  <w:szCs w:val="20"/>
                </w:rPr>
                <w:t>n Equity Awards) (incorporated herein by reference to Exhibit 10.3 to the Registrant’s Current Report on Form 10-Q filed with the Commission on August 5, 2021).#</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10.12</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31" w:history="1">
              <w:r>
                <w:rPr>
                  <w:rStyle w:val="a4"/>
                  <w:sz w:val="20"/>
                  <w:szCs w:val="20"/>
                </w:rPr>
                <w:t>Iovance Biotherapeutics, Inc, 2020 Employee Stock Purchase Plan (incorporated herein by reference to Exhibit 10.1 to the Registrant’s Current Report o</w:t>
              </w:r>
              <w:r>
                <w:rPr>
                  <w:rStyle w:val="a4"/>
                  <w:sz w:val="20"/>
                  <w:szCs w:val="20"/>
                </w:rPr>
                <w:t>n Form 8-K filed with the Commission on June 9, 2020).#</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10.13</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32" w:history="1">
              <w:r>
                <w:rPr>
                  <w:rStyle w:val="a4"/>
                  <w:sz w:val="20"/>
                  <w:szCs w:val="20"/>
                </w:rPr>
                <w:t>Iovance Biotherapeutics, Inc. Amended and Restated 2021 Inducement Plan.#**</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10.14</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33" w:history="1">
              <w:r>
                <w:rPr>
                  <w:rStyle w:val="a4"/>
                  <w:sz w:val="20"/>
                  <w:szCs w:val="20"/>
                </w:rPr>
                <w:t>Form of Stock Option Grant Notice and Stock Option Agreement under the 2021 Inducement Plan (incorporated by reference to Exhibit 10.2 to the Registrant’s Current Report on Form 8-K filed with the Commission on</w:t>
              </w:r>
              <w:r>
                <w:rPr>
                  <w:rStyle w:val="a4"/>
                  <w:sz w:val="20"/>
                  <w:szCs w:val="20"/>
                </w:rPr>
                <w:t xml:space="preserve"> September 23, 2021).#</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10.15</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34" w:history="1">
              <w:r>
                <w:rPr>
                  <w:rStyle w:val="a4"/>
                  <w:sz w:val="20"/>
                  <w:szCs w:val="20"/>
                </w:rPr>
                <w:t>Form of Restricted Stock Unit Grant Notice and Restricted Stock Unit Agreement under the 2021 Inducement Plan (inco</w:t>
              </w:r>
              <w:r>
                <w:rPr>
                  <w:rStyle w:val="a4"/>
                  <w:sz w:val="20"/>
                  <w:szCs w:val="20"/>
                </w:rPr>
                <w:t>rporated by reference to Exhibit 10.3 to the Registrant’s Current Report on Form 8-K filed with the Commission on September 23, 2021).#</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10.16</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35" w:history="1">
              <w:r>
                <w:rPr>
                  <w:rStyle w:val="a4"/>
                  <w:sz w:val="20"/>
                  <w:szCs w:val="20"/>
                </w:rPr>
                <w:t>Patent License Agreement by and between Genesis Biopharma, Inc. and the National Institutes of Health effective October 5, 2011 (incorporated herein by re</w:t>
              </w:r>
              <w:r>
                <w:rPr>
                  <w:rStyle w:val="a4"/>
                  <w:sz w:val="20"/>
                  <w:szCs w:val="20"/>
                </w:rPr>
                <w:t>ference to Exhibit 10.1 to the Registrant’s Current Report on Form 8-K/A filed with the Commission on December 13, 2011).*</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10.17</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36" w:history="1">
              <w:r>
                <w:rPr>
                  <w:rStyle w:val="a4"/>
                  <w:sz w:val="20"/>
                  <w:szCs w:val="20"/>
                </w:rPr>
                <w:t xml:space="preserve">Cooperative Research </w:t>
              </w:r>
              <w:r>
                <w:rPr>
                  <w:rStyle w:val="a4"/>
                  <w:sz w:val="20"/>
                  <w:szCs w:val="20"/>
                </w:rPr>
                <w:t>and Development Agreement for Intramural-PHS Clinical Research, dated August 5, 2011, by and between the U.S. Department of Health and Human Services, as represented by the National Cancer Institute, and Genesis Biopharma, Inc. (incorporated herein by refe</w:t>
              </w:r>
              <w:r>
                <w:rPr>
                  <w:rStyle w:val="a4"/>
                  <w:sz w:val="20"/>
                  <w:szCs w:val="20"/>
                </w:rPr>
                <w:t>rence to Exhibit 10.1 to the Registrant’s Current Report on Form 8-K/A (Amendment No. 2) filed with the Commission on November 29, 2011).</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10.18</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37" w:history="1">
              <w:r>
                <w:rPr>
                  <w:rStyle w:val="a4"/>
                  <w:sz w:val="20"/>
                  <w:szCs w:val="20"/>
                </w:rPr>
                <w:t>Form of Directo</w:t>
              </w:r>
              <w:r>
                <w:rPr>
                  <w:rStyle w:val="a4"/>
                  <w:sz w:val="20"/>
                  <w:szCs w:val="20"/>
                </w:rPr>
                <w:t>r Stock Award Agreement (incorporated herein by reference to Exhibit 10.2 to the Registrant’s Current Report on Form 8-K filed with the Commission on July 25, 2013).#</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10.19</w:t>
            </w:r>
          </w:p>
          <w:p w:rsidR="00000000" w:rsidRDefault="00F22B2C">
            <w:pPr>
              <w:pStyle w:val="a3"/>
              <w:spacing w:before="0" w:beforeAutospacing="0" w:after="0" w:afterAutospacing="0"/>
              <w:rPr>
                <w:sz w:val="20"/>
                <w:szCs w:val="20"/>
              </w:rPr>
            </w:pPr>
            <w:r>
              <w:rPr>
                <w:sz w:val="20"/>
                <w:szCs w:val="20"/>
              </w:rPr>
              <w:t>​</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38" w:history="1">
              <w:r>
                <w:rPr>
                  <w:rStyle w:val="a4"/>
                  <w:sz w:val="20"/>
                  <w:szCs w:val="20"/>
                </w:rPr>
                <w:t>Form of Registration Rights Agreement by and among Lion Biotechnologies, Inc. and the Investors thereunder (incorporated herein by reference to Exhibit 10.2 to the Registrant’s Current Report on Form 8-K filed with the Commission on October</w:t>
              </w:r>
              <w:r>
                <w:rPr>
                  <w:rStyle w:val="a4"/>
                  <w:sz w:val="20"/>
                  <w:szCs w:val="20"/>
                </w:rPr>
                <w:t> 31, 2013).</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10.20</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39" w:history="1">
              <w:r>
                <w:rPr>
                  <w:rStyle w:val="a4"/>
                  <w:sz w:val="20"/>
                  <w:szCs w:val="20"/>
                </w:rPr>
                <w:t xml:space="preserve">Cooperative Research and Development Agreement for the Development and Evaluation of the NCI Proprietary Adoptive Cell Transfer Immunotherapy Using Tumor Infiltrating Lymphocytes in Patients with Metastatic Melanoma, Bladder, Lung, Triple-negative Breast, </w:t>
              </w:r>
              <w:r>
                <w:rPr>
                  <w:rStyle w:val="a4"/>
                  <w:sz w:val="20"/>
                  <w:szCs w:val="20"/>
                </w:rPr>
                <w:t>and HPV-associated Cancers, Utilizing Lion Biotechnologies, Inc.’s Business Development Expertise in Adoptive Cell Transfer Immunotherapy, executed by Lion Biotechnologies, Inc. on January 22, 2015 (incorporated herein by reference to Exhibit 10.1 to the R</w:t>
              </w:r>
              <w:r>
                <w:rPr>
                  <w:rStyle w:val="a4"/>
                  <w:sz w:val="20"/>
                  <w:szCs w:val="20"/>
                </w:rPr>
                <w:t>egistrant’s Current Report on Form 8-K filed with the Commission on January 27, 2015).*</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10.21</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40" w:history="1">
              <w:r>
                <w:rPr>
                  <w:rStyle w:val="a4"/>
                  <w:sz w:val="20"/>
                  <w:szCs w:val="20"/>
                </w:rPr>
                <w:t>Patent License Agreement, dated February 9, 2015, by an</w:t>
              </w:r>
              <w:r>
                <w:rPr>
                  <w:rStyle w:val="a4"/>
                  <w:sz w:val="20"/>
                  <w:szCs w:val="20"/>
                </w:rPr>
                <w:t>d between Lion Biotechnologies, Inc. and the National Institutes of Health (incorporated herein by reference to Exhibit 10.47 to the Registrant’s Annual Report on Form 10 K filed with the Commission on March 16, 2015).*</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10.22</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41" w:history="1">
              <w:r>
                <w:rPr>
                  <w:rStyle w:val="a4"/>
                  <w:sz w:val="20"/>
                  <w:szCs w:val="20"/>
                </w:rPr>
                <w:t>Patent License Agreement, dated February 10, 2015, by and between Lion Biotechnologies, Inc. and the National Institutes of Health (incorporated herein by reference to Exhibit 10.</w:t>
              </w:r>
              <w:r>
                <w:rPr>
                  <w:rStyle w:val="a4"/>
                  <w:sz w:val="20"/>
                  <w:szCs w:val="20"/>
                </w:rPr>
                <w:t>46 to the Registrant’s Annual Report on Form 10-K filed with the Commission on March 16, 2015).*</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10.23</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42" w:history="1">
              <w:r>
                <w:rPr>
                  <w:rStyle w:val="a4"/>
                  <w:sz w:val="20"/>
                  <w:szCs w:val="20"/>
                </w:rPr>
                <w:t>First Amendment to Patent License Agreement, e</w:t>
              </w:r>
              <w:r>
                <w:rPr>
                  <w:rStyle w:val="a4"/>
                  <w:sz w:val="20"/>
                  <w:szCs w:val="20"/>
                </w:rPr>
                <w:t>ffective October 2, 2015, by and between Lion Biotechnologies, Inc. and the National Institutes of Health (incorporated herein by reference to Exhibit 10.47 to the Registrant’s Quarterly Report on Form 10-Q filed with the Commission on November 6, 2015).*</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10.24</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43" w:history="1">
              <w:r>
                <w:rPr>
                  <w:rStyle w:val="a4"/>
                  <w:sz w:val="20"/>
                  <w:szCs w:val="20"/>
                </w:rPr>
                <w:t>Amended and Restated Patent License Agreement, by and between Iovance Biotherapeutics, Inc. and the National Institutes of Health (incorpo</w:t>
              </w:r>
              <w:r>
                <w:rPr>
                  <w:rStyle w:val="a4"/>
                  <w:sz w:val="20"/>
                  <w:szCs w:val="20"/>
                </w:rPr>
                <w:t>rated herein by reference to Exhibit 10.1 to the Registrant’s Quarterly Report on Form 10 Q filed with the Commission on August 5, 2021).*</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10.25</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44" w:history="1">
              <w:r>
                <w:rPr>
                  <w:rStyle w:val="a4"/>
                  <w:sz w:val="20"/>
                  <w:szCs w:val="20"/>
                </w:rPr>
                <w:t>Form of Securities Purchase Agreement, dated June 2, 2016, by and among Lion Biotechnologies, Inc. and the Investors thereunder (incorporated herein by re</w:t>
              </w:r>
              <w:r>
                <w:rPr>
                  <w:rStyle w:val="a4"/>
                  <w:sz w:val="20"/>
                  <w:szCs w:val="20"/>
                </w:rPr>
                <w:t>ference to Exhibit 10.1 to the Registrant’s Current Report on Form 8-K filed with the Commission on June 3, 2016).</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10.26</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45" w:history="1">
              <w:r>
                <w:rPr>
                  <w:rStyle w:val="a4"/>
                  <w:sz w:val="20"/>
                  <w:szCs w:val="20"/>
                </w:rPr>
                <w:t>Form of Registration Rights A</w:t>
              </w:r>
              <w:r>
                <w:rPr>
                  <w:rStyle w:val="a4"/>
                  <w:sz w:val="20"/>
                  <w:szCs w:val="20"/>
                </w:rPr>
                <w:t>greement, dated June 2, 2016, by and among Lion Biotechnologies, Inc. and the Investors thereunder (incorporated herein by reference to Exhibit 10.2 to the Registrant’s Current Report on Form 8-K filed with the Commission on June 3, 2016).</w:t>
              </w:r>
            </w:hyperlink>
          </w:p>
        </w:tc>
      </w:tr>
      <w:tr w:rsidR="00000000">
        <w:trPr>
          <w:divId w:val="1201362568"/>
        </w:trPr>
        <w:tc>
          <w:tcPr>
            <w:tcW w:w="393"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10.27</w:t>
            </w:r>
          </w:p>
        </w:tc>
        <w:tc>
          <w:tcPr>
            <w:tcW w:w="111"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46" w:history="1">
              <w:r>
                <w:rPr>
                  <w:rStyle w:val="a4"/>
                  <w:sz w:val="20"/>
                  <w:szCs w:val="20"/>
                </w:rPr>
                <w:t>Amendment #2 to the Cooperative Research and Development Agreement #02734, dated August 18, 2016, by and between the National Cancer Institute and Lion Biotechn</w:t>
              </w:r>
              <w:r>
                <w:rPr>
                  <w:rStyle w:val="a4"/>
                  <w:sz w:val="20"/>
                  <w:szCs w:val="20"/>
                </w:rPr>
                <w:t>ologies, Inc. (incorporated herein by reference to Exhibit 10.3 to Amendment No. 2 to Registrant’s Registration Statement on Form S 1 filed with the Commission on August 31, 2016).</w:t>
              </w:r>
            </w:hyperlink>
          </w:p>
        </w:tc>
      </w:tr>
      <w:tr w:rsidR="00000000">
        <w:trPr>
          <w:divId w:val="1201362568"/>
          <w:trHeight w:val="657"/>
        </w:trPr>
        <w:tc>
          <w:tcPr>
            <w:tcW w:w="400" w:type="pct"/>
            <w:gridSpan w:val="2"/>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10.28</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47" w:history="1">
              <w:r>
                <w:rPr>
                  <w:rStyle w:val="a4"/>
                  <w:sz w:val="20"/>
                  <w:szCs w:val="20"/>
                </w:rPr>
                <w:t>Manufacturing Services Agreement, dated November 23, 2015, by and between WuXi Advanced Therapies, Inc. and Lion Biotechnologies, Inc. (incorporated herein by reference to Exhibit 10.36 to the Registrant’s Annual Repor</w:t>
              </w:r>
              <w:r>
                <w:rPr>
                  <w:rStyle w:val="a4"/>
                  <w:sz w:val="20"/>
                  <w:szCs w:val="20"/>
                </w:rPr>
                <w:t>t on Form 10-K filed with the Commission on March 9, 2017).*</w:t>
              </w:r>
            </w:hyperlink>
          </w:p>
        </w:tc>
      </w:tr>
    </w:tbl>
    <w:p w:rsidR="00000000" w:rsidRDefault="00F22B2C">
      <w:pPr>
        <w:pStyle w:val="a3"/>
        <w:spacing w:before="480" w:beforeAutospacing="0" w:after="0" w:afterAutospacing="0"/>
        <w:jc w:val="center"/>
        <w:divId w:val="1049457951"/>
        <w:rPr>
          <w:sz w:val="20"/>
          <w:szCs w:val="20"/>
        </w:rPr>
      </w:pPr>
      <w:r>
        <w:rPr>
          <w:sz w:val="20"/>
          <w:szCs w:val="20"/>
        </w:rPr>
        <w:t>103</w:t>
      </w:r>
    </w:p>
    <w:p w:rsidR="00000000" w:rsidRDefault="00F22B2C">
      <w:pPr>
        <w:pStyle w:val="a3"/>
        <w:spacing w:before="0" w:beforeAutospacing="0" w:after="600" w:afterAutospacing="0"/>
        <w:divId w:val="50152117"/>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65"/>
        <w:gridCol w:w="174"/>
        <w:gridCol w:w="7467"/>
      </w:tblGrid>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10.29</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48" w:history="1">
              <w:r>
                <w:rPr>
                  <w:rStyle w:val="a4"/>
                  <w:sz w:val="20"/>
                  <w:szCs w:val="20"/>
                </w:rPr>
                <w:t>Strategic Alliance Agreement, effective as of April 17, 2017, between Lion Biotechnologies, Inc. and The University of Texas M.D. Anderson Cancer Center (</w:t>
              </w:r>
              <w:r>
                <w:rPr>
                  <w:rStyle w:val="a4"/>
                  <w:sz w:val="20"/>
                  <w:szCs w:val="20"/>
                </w:rPr>
                <w:t>incorporated herein by reference to Exhibit 10.1 to the Registrant’s Quarterly Report on Form 10 Q filed with the Commission on August 3, 2017).*</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10.30</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49" w:history="1">
              <w:r>
                <w:rPr>
                  <w:rStyle w:val="a4"/>
                  <w:sz w:val="20"/>
                  <w:szCs w:val="20"/>
                </w:rPr>
                <w:t>First Amendment to the Strategic Alliance Agreement by and between Iovance Biotherapeutics, Inc. and The University of Texas M.D. Anderson Cancer Center, effective as of August 2, 2017 (incorporated herein by reference to Exhibit 10.34 to the Registran</w:t>
              </w:r>
              <w:r>
                <w:rPr>
                  <w:rStyle w:val="a4"/>
                  <w:sz w:val="20"/>
                  <w:szCs w:val="20"/>
                </w:rPr>
                <w:t>t’s Annual Report on Form 10-K filed with the Commission on March 12, 2018).</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50" w:history="1">
              <w:r>
                <w:rPr>
                  <w:rStyle w:val="a4"/>
                  <w:sz w:val="20"/>
                  <w:szCs w:val="20"/>
                </w:rPr>
                <w:t>Second Amendment to the Strategic Alliance Agreement by and between Iovance Biotherapeutics, Inc. and The University of Texas M.D. Anderson Cancer Cente</w:t>
              </w:r>
              <w:r>
                <w:rPr>
                  <w:rStyle w:val="a4"/>
                  <w:sz w:val="20"/>
                  <w:szCs w:val="20"/>
                </w:rPr>
                <w:t>r, effective February 16, 2018 (incorporated herein by reference to Exhibit 10.35 to the Registrant’s Annual Report on Form 10-K filed with the Commission on March 12, 2018).</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10.32</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51" w:history="1">
              <w:r>
                <w:rPr>
                  <w:rStyle w:val="a4"/>
                  <w:sz w:val="20"/>
                  <w:szCs w:val="20"/>
                </w:rPr>
                <w:t>Executive Employment Agreement, effective as of June 1, 2016, by and between Maria Fardis and Lion Biotechnologies, Inc. (incorporated herein by reference to Exhibit 10.3 of the Registrant’s Quarterly Report on Form 10 Q file</w:t>
              </w:r>
              <w:r>
                <w:rPr>
                  <w:rStyle w:val="a4"/>
                  <w:sz w:val="20"/>
                  <w:szCs w:val="20"/>
                </w:rPr>
                <w:t>d with the Commission on August 9, 2016).*#</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10.33</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52" w:history="1">
              <w:r>
                <w:rPr>
                  <w:rStyle w:val="a4"/>
                  <w:sz w:val="20"/>
                  <w:szCs w:val="20"/>
                </w:rPr>
                <w:t>Severance Agreement and General Release, effective as of July 8, 2020, between Iovance Biother</w:t>
              </w:r>
              <w:r>
                <w:rPr>
                  <w:rStyle w:val="a4"/>
                  <w:sz w:val="20"/>
                  <w:szCs w:val="20"/>
                </w:rPr>
                <w:t>apeutics, Inc. and Timothy Morris (incorporated herein by reference to Exhibit 10.4 to the Registrant’s Quarterly Report on Form 10-Q filed with the Commission on August 6, 2020).*#</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10.34</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53" w:history="1">
              <w:r>
                <w:rPr>
                  <w:rStyle w:val="a4"/>
                  <w:sz w:val="20"/>
                  <w:szCs w:val="20"/>
                </w:rPr>
                <w:t>Executive Employment Agreement, effective as of September 30, 2016, by and between Frederick G. Vogt and Lion Biotechnologies, Inc. (incorporated herein by reference to Exhibit 10.32 to the Registrant’s Annual Report</w:t>
              </w:r>
              <w:r>
                <w:rPr>
                  <w:rStyle w:val="a4"/>
                  <w:sz w:val="20"/>
                  <w:szCs w:val="20"/>
                </w:rPr>
                <w:t xml:space="preserve"> on Form 10 K filed with the Commission on March 12, 2018).#</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10.35</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54" w:history="1">
              <w:r>
                <w:rPr>
                  <w:rStyle w:val="a4"/>
                  <w:sz w:val="20"/>
                  <w:szCs w:val="20"/>
                </w:rPr>
                <w:t>Executive Employment Agreement effective as of July 18, 2019, by and betw</w:t>
              </w:r>
              <w:r>
                <w:rPr>
                  <w:rStyle w:val="a4"/>
                  <w:sz w:val="20"/>
                  <w:szCs w:val="20"/>
                </w:rPr>
                <w:t>een Friedrich-Reinhard Graf Finck von Finckenstein, M.D. and Iovance Biotherapeutics, Inc. (incorporated herein by reference to Exhibit 10.1 of the Registrant’s Quarterly Report on Form 10-Q filed with the Commission on August 1, 2019).</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10.36</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55" w:history="1">
              <w:r>
                <w:rPr>
                  <w:rStyle w:val="a4"/>
                  <w:sz w:val="20"/>
                  <w:szCs w:val="20"/>
                </w:rPr>
                <w:t>Executive Employment Agreement, effective as of December 14, 2020, by and between Jean-Marc Bellemin and Iovance Biotherapeutics, Inc.#+ (incorpora</w:t>
              </w:r>
              <w:r>
                <w:rPr>
                  <w:rStyle w:val="a4"/>
                  <w:sz w:val="20"/>
                  <w:szCs w:val="20"/>
                </w:rPr>
                <w:t>ted herein by reference to Exhibit 10.30 of the Registrant’s Annual Report on Form 10-K filed with the Commission on February 25, 2021).</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10.37</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56" w:history="1">
              <w:r>
                <w:rPr>
                  <w:rStyle w:val="a4"/>
                  <w:sz w:val="20"/>
                  <w:szCs w:val="20"/>
                </w:rPr>
                <w:t>E</w:t>
              </w:r>
              <w:r>
                <w:rPr>
                  <w:rStyle w:val="a4"/>
                  <w:sz w:val="20"/>
                  <w:szCs w:val="20"/>
                </w:rPr>
                <w:t>xecutive Employment Agreement, effective as of March 15, 2021, by and between Igor Bilinsky, Ph.D. and Iovance Biotherapeutics, Inc.#+ (incorporated herein by reference to Exhibit 10.4 of the Registrant’s Current Report on Form 8-K filed with the Commissio</w:t>
              </w:r>
              <w:r>
                <w:rPr>
                  <w:rStyle w:val="a4"/>
                  <w:sz w:val="20"/>
                  <w:szCs w:val="20"/>
                </w:rPr>
                <w:t>n on May 6, 2021).</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10.38</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57" w:history="1">
              <w:r>
                <w:rPr>
                  <w:rStyle w:val="a4"/>
                  <w:sz w:val="20"/>
                  <w:szCs w:val="20"/>
                </w:rPr>
                <w:t>Office Lease, effective as of August 4, 2016, by and between Lion Biotechnologies, Inc. and Hudson Skyway Landing, LLC (incor</w:t>
              </w:r>
              <w:r>
                <w:rPr>
                  <w:rStyle w:val="a4"/>
                  <w:sz w:val="20"/>
                  <w:szCs w:val="20"/>
                </w:rPr>
                <w:t>porated herein by reference to Exhibit 10.1 of the Registrant’s Current Report on Form 8 K filed with the Commission on August 8, 2016).</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10.39</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58" w:history="1">
              <w:r>
                <w:rPr>
                  <w:rStyle w:val="a4"/>
                  <w:sz w:val="20"/>
                  <w:szCs w:val="20"/>
                </w:rPr>
                <w:t>Office Lease, effective as of October 19, 2018, by and between Iovance Biotechnologies, Inc. and Hudson Skyway Landing, LLC (incorporated herein by refer</w:t>
              </w:r>
              <w:r>
                <w:rPr>
                  <w:rStyle w:val="a4"/>
                  <w:sz w:val="20"/>
                  <w:szCs w:val="20"/>
                </w:rPr>
                <w:t>ence to Exhibit 10.1 to the Registrant’s Current Report on Form 8 K filed with the Commission on October 25, 2018).</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10.40</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59" w:history="1">
              <w:r>
                <w:rPr>
                  <w:rStyle w:val="a4"/>
                  <w:sz w:val="20"/>
                  <w:szCs w:val="20"/>
                </w:rPr>
                <w:t xml:space="preserve">First Amendment to the Office Lease, effective as of June 19, 2019, between Iovance Biotherapeutics, Inc. and Hudson Skyway Landing, LLC (incorporated herein by </w:t>
              </w:r>
              <w:r>
                <w:rPr>
                  <w:rStyle w:val="a4"/>
                  <w:sz w:val="20"/>
                  <w:szCs w:val="20"/>
                </w:rPr>
                <w:t>reference to Exhibit 10.1 of the Registrant’s Quarterly Report on Form 10-Q filed with the Commission on November 4, 2019).</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10.41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60" w:history="1">
              <w:r>
                <w:rPr>
                  <w:rStyle w:val="a4"/>
                  <w:sz w:val="20"/>
                  <w:szCs w:val="20"/>
                </w:rPr>
                <w:t xml:space="preserve">Second Amendment </w:t>
              </w:r>
              <w:r>
                <w:rPr>
                  <w:rStyle w:val="a4"/>
                  <w:sz w:val="20"/>
                  <w:szCs w:val="20"/>
                </w:rPr>
                <w:t>to the Office Lease, effective as of February 8, 2021, by and between Iovance Biotherapeutics, Inc. and Hudson Skyway Landing, LLC (incorporated herein by reference to Exhibit 10.2 of the Registrant’s Current Report on Form 8-K filed with the Commission on</w:t>
              </w:r>
              <w:r>
                <w:rPr>
                  <w:rStyle w:val="a4"/>
                  <w:sz w:val="20"/>
                  <w:szCs w:val="20"/>
                </w:rPr>
                <w:t xml:space="preserve"> February 9, 2021).</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10.42</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61" w:history="1">
              <w:r>
                <w:rPr>
                  <w:rStyle w:val="a4"/>
                  <w:sz w:val="20"/>
                  <w:szCs w:val="20"/>
                </w:rPr>
                <w:t>First Amendment to the Office Lease, effective as of February 8, 2021, by and between Iovance Biotherapeutics, Inc. and H</w:t>
              </w:r>
              <w:r>
                <w:rPr>
                  <w:rStyle w:val="a4"/>
                  <w:sz w:val="20"/>
                  <w:szCs w:val="20"/>
                </w:rPr>
                <w:t>udson Skyway Landing, LLC (incorporated herein by reference to Exhibit 10.3 of the Registrant’s Current Report on Form 8-K filed with the Commission on February 9, 2021).</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10.43</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62" w:history="1">
              <w:r>
                <w:rPr>
                  <w:rStyle w:val="a4"/>
                  <w:sz w:val="20"/>
                  <w:szCs w:val="20"/>
                </w:rPr>
                <w:t>Lease Agreement, effective as of May 28, 2019, by and between Iovance Biotherapeutics, Inc. and 300 Rouse Boulevard, LLC (incorporated herein by reference to Exhibit 10.1 of the Registrant’s Current Report on Form 8-K filed with</w:t>
              </w:r>
              <w:r>
                <w:rPr>
                  <w:rStyle w:val="a4"/>
                  <w:sz w:val="20"/>
                  <w:szCs w:val="20"/>
                </w:rPr>
                <w:t xml:space="preserve"> the Commission on June 3, 2019).</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10.44</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63" w:history="1">
              <w:r>
                <w:rPr>
                  <w:rStyle w:val="a4"/>
                  <w:sz w:val="20"/>
                  <w:szCs w:val="20"/>
                </w:rPr>
                <w:t>First Amendment to the Lease Agreement, effective as of August 20, 2019, between Iovance Biotherapeutics, Inc. and 30</w:t>
              </w:r>
              <w:r>
                <w:rPr>
                  <w:rStyle w:val="a4"/>
                  <w:sz w:val="20"/>
                  <w:szCs w:val="20"/>
                </w:rPr>
                <w:t>0 Rouse Boulevard, LLC (incorporated herein by reference to Exhibit 10.2 of the Registrant’s Quarterly Report on Form 10-Q filed with the Commission on November 4, 2019).</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10.45</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64" w:history="1">
              <w:r>
                <w:rPr>
                  <w:rStyle w:val="a4"/>
                  <w:sz w:val="20"/>
                  <w:szCs w:val="20"/>
                </w:rPr>
                <w:t>Second Amendment to the Lease Agreement, effective as of June 30, 2020, between Iovance Biotherapeutics, Inc. and 300 Rouse Boulevard, LLC (incorpor</w:t>
              </w:r>
              <w:r>
                <w:rPr>
                  <w:rStyle w:val="a4"/>
                  <w:sz w:val="20"/>
                  <w:szCs w:val="20"/>
                </w:rPr>
                <w:t>ated herein by reference to Exhibit 10.3 of the Registrant’s Quarterly Report on Form 10-Q filed with the Commission on August 6, 2020).</w:t>
              </w:r>
            </w:hyperlink>
          </w:p>
        </w:tc>
      </w:tr>
      <w:tr w:rsidR="00000000">
        <w:trPr>
          <w:divId w:val="1700741711"/>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10.46</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65" w:history="1">
              <w:r>
                <w:rPr>
                  <w:rStyle w:val="a4"/>
                  <w:sz w:val="20"/>
                  <w:szCs w:val="20"/>
                </w:rPr>
                <w:t>Third Amendment to the Lease Agreement, effective as of November 1,</w:t>
              </w:r>
              <w:r>
                <w:rPr>
                  <w:rStyle w:val="a4"/>
                  <w:sz w:val="20"/>
                  <w:szCs w:val="20"/>
                </w:rPr>
                <w:t xml:space="preserve"> 2021, between Iovance Biotherapeutics, Inc. and 300 Rouse Boulevard, LLC.**</w:t>
              </w:r>
            </w:hyperlink>
          </w:p>
        </w:tc>
      </w:tr>
    </w:tbl>
    <w:p w:rsidR="00000000" w:rsidRDefault="00F22B2C">
      <w:pPr>
        <w:pStyle w:val="a3"/>
        <w:spacing w:before="480" w:beforeAutospacing="0" w:after="0" w:afterAutospacing="0"/>
        <w:jc w:val="center"/>
        <w:divId w:val="1561595603"/>
        <w:rPr>
          <w:sz w:val="20"/>
          <w:szCs w:val="20"/>
        </w:rPr>
      </w:pPr>
      <w:r>
        <w:rPr>
          <w:sz w:val="20"/>
          <w:szCs w:val="20"/>
        </w:rPr>
        <w:t>104</w:t>
      </w:r>
    </w:p>
    <w:p w:rsidR="00000000" w:rsidRDefault="00F22B2C">
      <w:pPr>
        <w:pStyle w:val="a3"/>
        <w:spacing w:before="0" w:beforeAutospacing="0" w:after="600" w:afterAutospacing="0"/>
        <w:divId w:val="131067135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65"/>
        <w:gridCol w:w="174"/>
        <w:gridCol w:w="7467"/>
      </w:tblGrid>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10.47</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66" w:history="1">
              <w:r>
                <w:rPr>
                  <w:rStyle w:val="a4"/>
                  <w:sz w:val="20"/>
                  <w:szCs w:val="20"/>
                </w:rPr>
                <w:t xml:space="preserve">Lease Agreement, effective as of February 8, 2021, by and between Iovance Biotherapeutics, Inc. and ARE-San Francisco No. 63, LLC (incorporated herein </w:t>
              </w:r>
              <w:r>
                <w:rPr>
                  <w:rStyle w:val="a4"/>
                  <w:sz w:val="20"/>
                  <w:szCs w:val="20"/>
                </w:rPr>
                <w:t>by reference to Exhibit 10.1 of the Registrant’s Current Report on Form 8-K filed with the Commission on February 9, 2021).</w:t>
              </w:r>
            </w:hyperlink>
          </w:p>
        </w:tc>
      </w:tr>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21.1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67" w:history="1">
              <w:r>
                <w:rPr>
                  <w:rStyle w:val="a4"/>
                  <w:sz w:val="20"/>
                  <w:szCs w:val="20"/>
                </w:rPr>
                <w:t xml:space="preserve">Subsidiaries of the Company.** </w:t>
              </w:r>
            </w:hyperlink>
          </w:p>
        </w:tc>
      </w:tr>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23.1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68" w:history="1">
              <w:r>
                <w:rPr>
                  <w:rStyle w:val="a4"/>
                  <w:sz w:val="20"/>
                  <w:szCs w:val="20"/>
                </w:rPr>
                <w:t>Consent of Ernst &amp; Young LLP, Independent Registered Public Accounting Firm.</w:t>
              </w:r>
            </w:hyperlink>
            <w:r>
              <w:rPr>
                <w:sz w:val="20"/>
                <w:szCs w:val="20"/>
              </w:rPr>
              <w:t>**</w:t>
            </w:r>
          </w:p>
        </w:tc>
      </w:tr>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23.2</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69" w:history="1">
              <w:r>
                <w:rPr>
                  <w:rStyle w:val="a4"/>
                  <w:sz w:val="20"/>
                  <w:szCs w:val="20"/>
                </w:rPr>
                <w:t>Consent of Marcum, LLP, Independent Registered Public Accounting Firm**</w:t>
              </w:r>
            </w:hyperlink>
          </w:p>
        </w:tc>
      </w:tr>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24.1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w:anchor="POWEROFATTORNEY_218578" w:history="1">
              <w:r>
                <w:rPr>
                  <w:rStyle w:val="a4"/>
                  <w:sz w:val="20"/>
                  <w:szCs w:val="20"/>
                </w:rPr>
                <w:t>Power of Attorney (included on the signature page of this Annual Report).</w:t>
              </w:r>
            </w:hyperlink>
          </w:p>
        </w:tc>
      </w:tr>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31.1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70" w:history="1">
              <w:r>
                <w:rPr>
                  <w:rStyle w:val="a4"/>
                  <w:sz w:val="20"/>
                  <w:szCs w:val="20"/>
                </w:rPr>
                <w:t>Rule 13a-14(a)/15d-14(a) </w:t>
              </w:r>
              <w:r>
                <w:rPr>
                  <w:rStyle w:val="a4"/>
                  <w:sz w:val="20"/>
                  <w:szCs w:val="20"/>
                </w:rPr>
                <w:t>Certification of Chief Executive Officer.</w:t>
              </w:r>
            </w:hyperlink>
            <w:r>
              <w:rPr>
                <w:sz w:val="20"/>
                <w:szCs w:val="20"/>
              </w:rPr>
              <w:t>**</w:t>
            </w:r>
          </w:p>
        </w:tc>
      </w:tr>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31.2</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71" w:history="1">
              <w:r>
                <w:rPr>
                  <w:rStyle w:val="a4"/>
                  <w:sz w:val="20"/>
                  <w:szCs w:val="20"/>
                </w:rPr>
                <w:t>Rule 13a-14(a)/15d-14(a) Certification of Chief Financial Officer.</w:t>
              </w:r>
            </w:hyperlink>
            <w:r>
              <w:rPr>
                <w:sz w:val="20"/>
                <w:szCs w:val="20"/>
              </w:rPr>
              <w:t>**</w:t>
            </w:r>
          </w:p>
        </w:tc>
      </w:tr>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32.1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72" w:history="1">
              <w:r>
                <w:rPr>
                  <w:rStyle w:val="a4"/>
                  <w:sz w:val="20"/>
                  <w:szCs w:val="20"/>
                </w:rPr>
                <w:t>Section 1350 Certification of Chief Executi</w:t>
              </w:r>
              <w:r>
                <w:rPr>
                  <w:rStyle w:val="a4"/>
                  <w:sz w:val="20"/>
                  <w:szCs w:val="20"/>
                </w:rPr>
                <w:t>ve Officer (furnished herewith).</w:t>
              </w:r>
            </w:hyperlink>
            <w:r>
              <w:rPr>
                <w:sz w:val="20"/>
                <w:szCs w:val="20"/>
              </w:rPr>
              <w:t>**</w:t>
            </w:r>
          </w:p>
        </w:tc>
      </w:tr>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32.2</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hyperlink r:id="rId73" w:history="1">
              <w:r>
                <w:rPr>
                  <w:rStyle w:val="a4"/>
                  <w:sz w:val="20"/>
                  <w:szCs w:val="20"/>
                </w:rPr>
                <w:t>Section 1350 Certification of Chief Financial Officer (furnished herewith).</w:t>
              </w:r>
            </w:hyperlink>
            <w:r>
              <w:rPr>
                <w:sz w:val="20"/>
                <w:szCs w:val="20"/>
              </w:rPr>
              <w:t>**</w:t>
            </w:r>
          </w:p>
        </w:tc>
      </w:tr>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101</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The following financial information from the Annual Report on Form 10-K of Iovance Bi</w:t>
            </w:r>
            <w:r>
              <w:rPr>
                <w:sz w:val="20"/>
                <w:szCs w:val="20"/>
              </w:rPr>
              <w:t>otherapeutics, Inc. for the year ended December 31, 2021, formatted in XBRL (eXtensible Business Reporting Language): (1) Balance Sheets as of December 31, 2021 and 2020 (2) Statements of Income for the years ended December 31, 2021 and 2020; (3) Statement</w:t>
            </w:r>
            <w:r>
              <w:rPr>
                <w:sz w:val="20"/>
                <w:szCs w:val="20"/>
              </w:rPr>
              <w:t>s of Shareholders’ Equity for the years ended December 31, 2021 and 2020; (4) Statements of Cash Flows for the years ended December 31, 2021 and 2020; and (5) Notes to Financial Statements.</w:t>
            </w:r>
          </w:p>
        </w:tc>
      </w:tr>
      <w:tr w:rsidR="00000000">
        <w:trPr>
          <w:divId w:val="758719920"/>
        </w:trPr>
        <w:tc>
          <w:tcPr>
            <w:tcW w:w="400"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104</w:t>
            </w:r>
          </w:p>
        </w:tc>
        <w:tc>
          <w:tcPr>
            <w:tcW w:w="105"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F22B2C">
            <w:pPr>
              <w:pStyle w:val="a3"/>
              <w:spacing w:before="0" w:beforeAutospacing="0" w:after="0" w:afterAutospacing="0"/>
              <w:rPr>
                <w:sz w:val="20"/>
                <w:szCs w:val="20"/>
              </w:rPr>
            </w:pPr>
            <w:r>
              <w:rPr>
                <w:sz w:val="20"/>
                <w:szCs w:val="20"/>
              </w:rPr>
              <w:t>Cover Page Interactive Data File – the cover page interactive date file does not appear in the Interactive Date File because its XBRL tags are embedded within the Inline XBRL document.</w:t>
            </w:r>
          </w:p>
        </w:tc>
      </w:tr>
    </w:tbl>
    <w:p w:rsidR="00000000" w:rsidRDefault="00F22B2C">
      <w:pPr>
        <w:pStyle w:val="a3"/>
        <w:spacing w:before="0" w:beforeAutospacing="0" w:after="0" w:afterAutospacing="0"/>
        <w:divId w:val="758719920"/>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8719920"/>
        </w:trPr>
        <w:tc>
          <w:tcPr>
            <w:tcW w:w="360" w:type="dxa"/>
            <w:noWrap/>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22B2C">
            <w:pPr>
              <w:pStyle w:val="a3"/>
              <w:spacing w:before="0" w:beforeAutospacing="0" w:after="0" w:afterAutospacing="0"/>
              <w:rPr>
                <w:sz w:val="20"/>
                <w:szCs w:val="20"/>
              </w:rPr>
            </w:pPr>
            <w:r>
              <w:rPr>
                <w:sz w:val="20"/>
                <w:szCs w:val="20"/>
              </w:rPr>
              <w:t>Certain portions of the Exhibit have been omitted based upon a request for confidential treatment filed by us with the Commission. The omitted portions of the Exhibit have been separately filed by us with the Commission.</w:t>
            </w:r>
          </w:p>
        </w:tc>
      </w:tr>
    </w:tbl>
    <w:p w:rsidR="00000000" w:rsidRDefault="00F22B2C">
      <w:pPr>
        <w:pStyle w:val="a3"/>
        <w:spacing w:before="0" w:beforeAutospacing="0" w:after="0" w:afterAutospacing="0"/>
        <w:ind w:hanging="360"/>
        <w:divId w:val="758719920"/>
        <w:rPr>
          <w:sz w:val="20"/>
          <w:szCs w:val="20"/>
        </w:rPr>
      </w:pPr>
      <w:r>
        <w:rPr>
          <w:sz w:val="20"/>
          <w:szCs w:val="20"/>
        </w:rPr>
        <w:t>** Filed herewith</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5726"/>
      </w:tblGrid>
      <w:tr w:rsidR="00000000">
        <w:trPr>
          <w:divId w:val="758719920"/>
        </w:trPr>
        <w:tc>
          <w:tcPr>
            <w:tcW w:w="360" w:type="dxa"/>
            <w:noWrap/>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22B2C">
            <w:pPr>
              <w:pStyle w:val="a3"/>
              <w:spacing w:before="0" w:beforeAutospacing="0" w:after="0" w:afterAutospacing="0"/>
              <w:rPr>
                <w:sz w:val="20"/>
                <w:szCs w:val="20"/>
              </w:rPr>
            </w:pPr>
            <w:r>
              <w:rPr>
                <w:sz w:val="20"/>
                <w:szCs w:val="20"/>
              </w:rPr>
              <w:t>Indicates a m</w:t>
            </w:r>
            <w:r>
              <w:rPr>
                <w:sz w:val="20"/>
                <w:szCs w:val="20"/>
              </w:rPr>
              <w:t>anagement contract or compensatory plan or arrangement.</w:t>
            </w:r>
          </w:p>
        </w:tc>
      </w:tr>
    </w:tbl>
    <w:p w:rsidR="00000000" w:rsidRDefault="00F22B2C">
      <w:pPr>
        <w:pStyle w:val="a3"/>
        <w:spacing w:before="0" w:beforeAutospacing="0" w:after="0" w:afterAutospacing="0"/>
        <w:ind w:hanging="360"/>
        <w:divId w:val="758719920"/>
        <w:rPr>
          <w:sz w:val="20"/>
          <w:szCs w:val="20"/>
        </w:rPr>
      </w:pPr>
      <w:r>
        <w:rPr>
          <w:sz w:val="20"/>
          <w:szCs w:val="20"/>
        </w:rPr>
        <w:t>+ Certain portions of the Exhibit have been redacted pursuant to Item 601(b)(10)(iv) of Regulation S-K</w:t>
      </w:r>
      <w:r>
        <w:rPr>
          <w:sz w:val="20"/>
          <w:szCs w:val="20"/>
        </w:rPr>
        <w:t>.</w:t>
      </w:r>
    </w:p>
    <w:p w:rsidR="00000000" w:rsidRDefault="00F22B2C">
      <w:pPr>
        <w:pStyle w:val="a3"/>
        <w:spacing w:before="0" w:beforeAutospacing="0" w:after="0" w:afterAutospacing="0"/>
        <w:ind w:hanging="360"/>
        <w:divId w:val="758719920"/>
        <w:rPr>
          <w:sz w:val="20"/>
          <w:szCs w:val="20"/>
        </w:rPr>
      </w:pPr>
      <w:r>
        <w:rPr>
          <w:sz w:val="20"/>
          <w:szCs w:val="20"/>
        </w:rPr>
        <w:t>​</w:t>
      </w:r>
    </w:p>
    <w:p w:rsidR="00000000" w:rsidRDefault="00F22B2C">
      <w:pPr>
        <w:pStyle w:val="a3"/>
        <w:spacing w:before="0" w:beforeAutospacing="0" w:after="240" w:afterAutospacing="0"/>
        <w:divId w:val="758719920"/>
        <w:rPr>
          <w:sz w:val="20"/>
          <w:szCs w:val="20"/>
        </w:rPr>
      </w:pPr>
      <w:r>
        <w:rPr>
          <w:b/>
          <w:bCs/>
          <w:sz w:val="20"/>
          <w:szCs w:val="20"/>
        </w:rPr>
        <w:t>Item 16.          Form 10-K Summary</w:t>
      </w:r>
    </w:p>
    <w:p w:rsidR="00000000" w:rsidRDefault="00F22B2C">
      <w:pPr>
        <w:pStyle w:val="a3"/>
        <w:spacing w:before="0" w:beforeAutospacing="0" w:after="0" w:afterAutospacing="0"/>
        <w:ind w:firstLine="547"/>
        <w:divId w:val="758719920"/>
        <w:rPr>
          <w:sz w:val="20"/>
          <w:szCs w:val="20"/>
        </w:rPr>
      </w:pPr>
      <w:r>
        <w:rPr>
          <w:sz w:val="20"/>
          <w:szCs w:val="20"/>
        </w:rPr>
        <w:t>We may voluntarily include a summary of information requi</w:t>
      </w:r>
      <w:r>
        <w:rPr>
          <w:sz w:val="20"/>
          <w:szCs w:val="20"/>
        </w:rPr>
        <w:t>red by Form 10-K under this Item 16. We have elected not to include such summary information.</w:t>
      </w:r>
    </w:p>
    <w:p w:rsidR="00000000" w:rsidRDefault="00F22B2C">
      <w:pPr>
        <w:pStyle w:val="a3"/>
        <w:spacing w:before="0" w:beforeAutospacing="0" w:after="0" w:afterAutospacing="0"/>
        <w:divId w:val="758719920"/>
        <w:rPr>
          <w:sz w:val="20"/>
          <w:szCs w:val="20"/>
        </w:rPr>
      </w:pPr>
      <w:r>
        <w:rPr>
          <w:sz w:val="20"/>
          <w:szCs w:val="20"/>
        </w:rPr>
        <w:t>​</w:t>
      </w:r>
    </w:p>
    <w:p w:rsidR="00000000" w:rsidRDefault="00F22B2C">
      <w:pPr>
        <w:pStyle w:val="a3"/>
        <w:spacing w:before="480" w:beforeAutospacing="0" w:after="0" w:afterAutospacing="0"/>
        <w:jc w:val="center"/>
        <w:divId w:val="1364015636"/>
        <w:rPr>
          <w:sz w:val="20"/>
          <w:szCs w:val="20"/>
        </w:rPr>
      </w:pPr>
      <w:r>
        <w:rPr>
          <w:sz w:val="20"/>
          <w:szCs w:val="20"/>
        </w:rPr>
        <w:t>105</w:t>
      </w:r>
    </w:p>
    <w:p w:rsidR="00000000" w:rsidRDefault="00F22B2C">
      <w:pPr>
        <w:pStyle w:val="a3"/>
        <w:spacing w:before="0" w:beforeAutospacing="0" w:after="600" w:afterAutospacing="0"/>
        <w:divId w:val="1186672237"/>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jc w:val="center"/>
        <w:divId w:val="484518981"/>
        <w:rPr>
          <w:sz w:val="20"/>
          <w:szCs w:val="20"/>
        </w:rPr>
      </w:pPr>
      <w:r>
        <w:rPr>
          <w:b/>
          <w:bCs/>
          <w:sz w:val="20"/>
          <w:szCs w:val="20"/>
        </w:rPr>
        <w:t>SIGNATURES</w:t>
      </w:r>
    </w:p>
    <w:p w:rsidR="00000000" w:rsidRDefault="00F22B2C">
      <w:pPr>
        <w:pStyle w:val="a3"/>
        <w:spacing w:before="0" w:beforeAutospacing="0" w:after="0" w:afterAutospacing="0"/>
        <w:ind w:firstLine="547"/>
        <w:divId w:val="484518981"/>
        <w:rPr>
          <w:sz w:val="20"/>
          <w:szCs w:val="20"/>
        </w:rPr>
      </w:pPr>
      <w:r>
        <w:rPr>
          <w:sz w:val="20"/>
          <w:szCs w:val="20"/>
        </w:rPr>
        <w:t>Pursuant to the requirements of Section 13 or 15(d) </w:t>
      </w:r>
      <w:r>
        <w:rPr>
          <w:sz w:val="20"/>
          <w:szCs w:val="20"/>
        </w:rPr>
        <w:t>of the Securities Exchange Act of 1934, the registrant has duly caused this report to be signed on its behalf by the undersigned, thereunto duly authorized.</w:t>
      </w:r>
    </w:p>
    <w:p w:rsidR="00000000" w:rsidRDefault="00F22B2C">
      <w:pPr>
        <w:pStyle w:val="a3"/>
        <w:spacing w:before="0" w:beforeAutospacing="0" w:after="0" w:afterAutospacing="0"/>
        <w:ind w:firstLine="360"/>
        <w:divId w:val="48451898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941"/>
        <w:gridCol w:w="339"/>
        <w:gridCol w:w="584"/>
        <w:gridCol w:w="3442"/>
      </w:tblGrid>
      <w:tr w:rsidR="00000000">
        <w:trPr>
          <w:divId w:val="484518981"/>
          <w:trHeight w:val="20"/>
        </w:trPr>
        <w:tc>
          <w:tcPr>
            <w:tcW w:w="2412" w:type="pct"/>
            <w:tcMar>
              <w:top w:w="0" w:type="dxa"/>
              <w:left w:w="0" w:type="dxa"/>
              <w:bottom w:w="0" w:type="dxa"/>
              <w:right w:w="0" w:type="dxa"/>
            </w:tcMar>
            <w:hideMark/>
          </w:tcPr>
          <w:p w:rsidR="00000000" w:rsidRDefault="00F22B2C">
            <w:pPr>
              <w:rPr>
                <w:sz w:val="20"/>
                <w:szCs w:val="20"/>
              </w:rPr>
            </w:pPr>
          </w:p>
        </w:tc>
        <w:tc>
          <w:tcPr>
            <w:tcW w:w="175" w:type="pct"/>
            <w:tcMar>
              <w:top w:w="0" w:type="dxa"/>
              <w:left w:w="0" w:type="dxa"/>
              <w:bottom w:w="0" w:type="dxa"/>
              <w:right w:w="0" w:type="dxa"/>
            </w:tcMar>
            <w:hideMark/>
          </w:tcPr>
          <w:p w:rsidR="00000000" w:rsidRDefault="00F22B2C">
            <w:pPr>
              <w:rPr>
                <w:rFonts w:eastAsia="Times New Roman"/>
                <w:sz w:val="20"/>
                <w:szCs w:val="20"/>
              </w:rPr>
            </w:pPr>
          </w:p>
        </w:tc>
        <w:tc>
          <w:tcPr>
            <w:tcW w:w="300" w:type="pct"/>
            <w:tcMar>
              <w:top w:w="0" w:type="dxa"/>
              <w:left w:w="0" w:type="dxa"/>
              <w:bottom w:w="0" w:type="dxa"/>
              <w:right w:w="0" w:type="dxa"/>
            </w:tcMar>
            <w:hideMark/>
          </w:tcPr>
          <w:p w:rsidR="00000000" w:rsidRDefault="00F22B2C">
            <w:pPr>
              <w:rPr>
                <w:rFonts w:eastAsia="Times New Roman"/>
                <w:sz w:val="20"/>
                <w:szCs w:val="20"/>
              </w:rPr>
            </w:pPr>
          </w:p>
        </w:tc>
        <w:tc>
          <w:tcPr>
            <w:tcW w:w="2112" w:type="pct"/>
            <w:tcMar>
              <w:top w:w="0" w:type="dxa"/>
              <w:left w:w="0" w:type="dxa"/>
              <w:bottom w:w="0" w:type="dxa"/>
              <w:right w:w="0" w:type="dxa"/>
            </w:tcMar>
            <w:hideMark/>
          </w:tcPr>
          <w:p w:rsidR="00000000" w:rsidRDefault="00F22B2C">
            <w:pPr>
              <w:rPr>
                <w:rFonts w:eastAsia="Times New Roman"/>
                <w:sz w:val="20"/>
                <w:szCs w:val="20"/>
              </w:rPr>
            </w:pPr>
          </w:p>
        </w:tc>
      </w:tr>
      <w:tr w:rsidR="00000000">
        <w:trPr>
          <w:divId w:val="484518981"/>
        </w:trPr>
        <w:tc>
          <w:tcPr>
            <w:tcW w:w="2412"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2587" w:type="pct"/>
            <w:gridSpan w:val="3"/>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b/>
                <w:bCs/>
                <w:sz w:val="20"/>
                <w:szCs w:val="20"/>
              </w:rPr>
              <w:t>IOVANCE BIOTHERAPEUTICS, INC.</w:t>
            </w:r>
          </w:p>
        </w:tc>
      </w:tr>
      <w:tr w:rsidR="00000000">
        <w:trPr>
          <w:divId w:val="484518981"/>
        </w:trPr>
        <w:tc>
          <w:tcPr>
            <w:tcW w:w="2412"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F22B2C">
            <w:pPr>
              <w:rPr>
                <w:sz w:val="20"/>
                <w:szCs w:val="20"/>
              </w:rPr>
            </w:pPr>
          </w:p>
        </w:tc>
        <w:tc>
          <w:tcPr>
            <w:tcW w:w="2412" w:type="pct"/>
            <w:gridSpan w:val="2"/>
            <w:tcMar>
              <w:top w:w="0" w:type="dxa"/>
              <w:left w:w="0" w:type="dxa"/>
              <w:bottom w:w="0" w:type="dxa"/>
              <w:right w:w="0" w:type="dxa"/>
            </w:tcMar>
            <w:hideMark/>
          </w:tcPr>
          <w:p w:rsidR="00000000" w:rsidRDefault="00F22B2C">
            <w:pPr>
              <w:rPr>
                <w:rFonts w:eastAsia="Times New Roman"/>
                <w:sz w:val="20"/>
                <w:szCs w:val="20"/>
              </w:rPr>
            </w:pPr>
          </w:p>
        </w:tc>
      </w:tr>
      <w:tr w:rsidR="00000000">
        <w:trPr>
          <w:divId w:val="484518981"/>
        </w:trPr>
        <w:tc>
          <w:tcPr>
            <w:tcW w:w="2412"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Date: February 24, 2022</w:t>
            </w:r>
          </w:p>
        </w:tc>
        <w:tc>
          <w:tcPr>
            <w:tcW w:w="175"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By: </w:t>
            </w:r>
          </w:p>
        </w:tc>
        <w:tc>
          <w:tcPr>
            <w:tcW w:w="2412" w:type="pct"/>
            <w:gridSpan w:val="2"/>
            <w:tcBorders>
              <w:bottom w:val="single" w:sz="8"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 Frederick G. Vogt</w:t>
            </w:r>
          </w:p>
        </w:tc>
      </w:tr>
      <w:tr w:rsidR="00000000">
        <w:trPr>
          <w:divId w:val="484518981"/>
        </w:trPr>
        <w:tc>
          <w:tcPr>
            <w:tcW w:w="2412"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F22B2C">
            <w:pPr>
              <w:rPr>
                <w:sz w:val="20"/>
                <w:szCs w:val="20"/>
              </w:rPr>
            </w:pPr>
          </w:p>
        </w:tc>
        <w:tc>
          <w:tcPr>
            <w:tcW w:w="3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Name: </w:t>
            </w:r>
          </w:p>
        </w:tc>
        <w:tc>
          <w:tcPr>
            <w:tcW w:w="2112"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Frederick G. Vogt, Ph.D., J.D.</w:t>
            </w:r>
          </w:p>
        </w:tc>
      </w:tr>
      <w:tr w:rsidR="00000000">
        <w:trPr>
          <w:divId w:val="484518981"/>
        </w:trPr>
        <w:tc>
          <w:tcPr>
            <w:tcW w:w="2412"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F22B2C">
            <w:pPr>
              <w:rPr>
                <w:sz w:val="20"/>
                <w:szCs w:val="20"/>
              </w:rPr>
            </w:pPr>
          </w:p>
        </w:tc>
        <w:tc>
          <w:tcPr>
            <w:tcW w:w="3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Title:</w:t>
            </w:r>
          </w:p>
        </w:tc>
        <w:tc>
          <w:tcPr>
            <w:tcW w:w="2112"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Interim Chief Executive Officer and President, and General Counsel</w:t>
            </w:r>
          </w:p>
        </w:tc>
      </w:tr>
    </w:tbl>
    <w:p w:rsidR="00000000" w:rsidRDefault="00F22B2C">
      <w:pPr>
        <w:pStyle w:val="a3"/>
        <w:spacing w:before="0" w:beforeAutospacing="0" w:after="0" w:afterAutospacing="0"/>
        <w:divId w:val="484518981"/>
        <w:rPr>
          <w:sz w:val="20"/>
          <w:szCs w:val="20"/>
        </w:rPr>
      </w:pPr>
      <w:r>
        <w:rPr>
          <w:sz w:val="20"/>
          <w:szCs w:val="20"/>
        </w:rPr>
        <w:t>​</w:t>
      </w:r>
    </w:p>
    <w:p w:rsidR="00000000" w:rsidRDefault="00F22B2C">
      <w:pPr>
        <w:pStyle w:val="a3"/>
        <w:spacing w:before="0" w:beforeAutospacing="0" w:after="240" w:afterAutospacing="0"/>
        <w:jc w:val="center"/>
        <w:divId w:val="484518981"/>
        <w:rPr>
          <w:sz w:val="20"/>
          <w:szCs w:val="20"/>
        </w:rPr>
      </w:pPr>
      <w:r>
        <w:rPr>
          <w:b/>
          <w:bCs/>
          <w:sz w:val="20"/>
          <w:szCs w:val="20"/>
        </w:rPr>
        <w:t>POWER OF ATTORNEY</w:t>
      </w:r>
    </w:p>
    <w:p w:rsidR="00000000" w:rsidRDefault="00F22B2C">
      <w:pPr>
        <w:pStyle w:val="a3"/>
        <w:spacing w:before="0" w:beforeAutospacing="0" w:after="240" w:afterAutospacing="0"/>
        <w:ind w:firstLine="547"/>
        <w:divId w:val="484518981"/>
        <w:rPr>
          <w:sz w:val="20"/>
          <w:szCs w:val="20"/>
        </w:rPr>
      </w:pPr>
      <w:r>
        <w:rPr>
          <w:sz w:val="20"/>
          <w:szCs w:val="20"/>
        </w:rPr>
        <w:t>Know all persons by these presents, that each person whose signature appears below constitutes and appoints Frederick G. Vogt, and Jean-Marc Bellemin, and each of them, as his or her true and lawful attorneys-in-fact and agents, with full power of substitu</w:t>
      </w:r>
      <w:r>
        <w:rPr>
          <w:sz w:val="20"/>
          <w:szCs w:val="20"/>
        </w:rPr>
        <w:t>tion and resubstitution, for him or her and in his or her name, place, and stead, in any and all capacities, to sign any and all amendments to this Annual Report, and to file the same, with all exhibits thereto, and other documents in connection therewith,</w:t>
      </w:r>
      <w:r>
        <w:rPr>
          <w:sz w:val="20"/>
          <w:szCs w:val="20"/>
        </w:rPr>
        <w:t xml:space="preserve"> with the Securities and Exchange Commission, granting unto said attorneys-in-fact and agents, and each of them, full power and authority to do and perform each and every act and thing requisite and necessary to be done in connection therewith, as fully to</w:t>
      </w:r>
      <w:r>
        <w:rPr>
          <w:sz w:val="20"/>
          <w:szCs w:val="20"/>
        </w:rPr>
        <w:t xml:space="preserve"> all intents and purposes as he might or could do in person, hereby ratifying and confirming that all said attorneys-in-fact and agents, or any of them or their or his or her substitute or substituted, may lawfully do or cause to be done by virtue thereof.</w:t>
      </w:r>
    </w:p>
    <w:p w:rsidR="00000000" w:rsidRDefault="00F22B2C">
      <w:pPr>
        <w:pStyle w:val="a3"/>
        <w:spacing w:before="0" w:beforeAutospacing="0" w:after="0" w:afterAutospacing="0"/>
        <w:ind w:firstLine="547"/>
        <w:divId w:val="484518981"/>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F22B2C">
      <w:pPr>
        <w:pStyle w:val="a3"/>
        <w:spacing w:before="0" w:beforeAutospacing="0" w:after="0" w:afterAutospacing="0"/>
        <w:ind w:firstLine="360"/>
        <w:divId w:val="48451898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38"/>
        <w:gridCol w:w="200"/>
        <w:gridCol w:w="3300"/>
        <w:gridCol w:w="200"/>
        <w:gridCol w:w="1968"/>
      </w:tblGrid>
      <w:tr w:rsidR="00000000">
        <w:trPr>
          <w:divId w:val="484518981"/>
        </w:trPr>
        <w:tc>
          <w:tcPr>
            <w:tcW w:w="1601" w:type="pct"/>
            <w:tcBorders>
              <w:bottom w:val="single" w:sz="8"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Signature</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2000" w:type="pct"/>
            <w:tcBorders>
              <w:bottom w:val="single" w:sz="8"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Title</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198" w:type="pct"/>
            <w:tcBorders>
              <w:bottom w:val="single" w:sz="8"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Date</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Borders>
              <w:bottom w:val="single" w:sz="8" w:space="0" w:color="000000"/>
            </w:tcBorders>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/s/ F</w:t>
            </w:r>
            <w:r>
              <w:rPr>
                <w:sz w:val="20"/>
                <w:szCs w:val="20"/>
              </w:rPr>
              <w:t>rederick G. Vogt</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Interim Chief Executive Officer and President, and</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February 24, 2022</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Frederick G. Vogt, Ph.D., J.D.</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General Counsel (Principal Executive Officer)</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Borders>
              <w:bottom w:val="single" w:sz="8"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 Jean-Marc Bellemin</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Chief Financial Officer and Treasurer</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February 24, 2022</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Jean-Marc Bellemin</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(Principal Financial Officer and Accounting Officer)</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Borders>
              <w:bottom w:val="single" w:sz="8"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 Merrill A. McPeak</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February 24, 2022</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Merrill A. McPeak</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Borders>
              <w:bottom w:val="single" w:sz="8"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 Michael Weiser</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February 24, 2022</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Michael Weiser, M.D., Ph.D.</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Borders>
              <w:bottom w:val="single" w:sz="8"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 Ryan D. Maynard</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February 24, 2022</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Ryan D. Maynard</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Borders>
              <w:bottom w:val="single" w:sz="8"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 Iain Dukes</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February 24, 2022</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Iain Dukes, D.Phil.</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Borders>
              <w:bottom w:val="single" w:sz="8"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 Wayne Rothbaum</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February 24, 2022</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Wayne Rothbaum</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r>
      <w:tr w:rsidR="00000000">
        <w:trPr>
          <w:divId w:val="484518981"/>
        </w:trPr>
        <w:tc>
          <w:tcPr>
            <w:tcW w:w="160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r>
      <w:tr w:rsidR="00000000">
        <w:trPr>
          <w:divId w:val="484518981"/>
        </w:trPr>
        <w:tc>
          <w:tcPr>
            <w:tcW w:w="1601" w:type="pct"/>
            <w:tcBorders>
              <w:bottom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 Athena Countouriotis</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February 24, 2022</w:t>
            </w:r>
          </w:p>
        </w:tc>
      </w:tr>
      <w:tr w:rsidR="00000000">
        <w:trPr>
          <w:divId w:val="484518981"/>
        </w:trPr>
        <w:tc>
          <w:tcPr>
            <w:tcW w:w="1601" w:type="pct"/>
            <w:tcBorders>
              <w:top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Athena Countouriotis, M.D.</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484518981"/>
        <w:rPr>
          <w:sz w:val="20"/>
          <w:szCs w:val="20"/>
        </w:rPr>
      </w:pPr>
      <w:r>
        <w:rPr>
          <w:sz w:val="2"/>
          <w:szCs w:val="2"/>
        </w:rPr>
        <w:t>​</w:t>
      </w:r>
    </w:p>
    <w:p w:rsidR="00000000" w:rsidRDefault="00F22B2C">
      <w:pPr>
        <w:pStyle w:val="a3"/>
        <w:spacing w:before="0" w:beforeAutospacing="0" w:after="0" w:afterAutospacing="0"/>
        <w:divId w:val="484518981"/>
        <w:rPr>
          <w:sz w:val="20"/>
          <w:szCs w:val="20"/>
        </w:rPr>
      </w:pPr>
      <w:r>
        <w:rPr>
          <w:sz w:val="20"/>
          <w:szCs w:val="20"/>
        </w:rPr>
        <w:t>​</w:t>
      </w:r>
    </w:p>
    <w:p w:rsidR="00000000" w:rsidRDefault="00F22B2C">
      <w:pPr>
        <w:pStyle w:val="a3"/>
        <w:spacing w:before="0" w:beforeAutospacing="0" w:after="0" w:afterAutospacing="0" w:line="0" w:lineRule="atLeast"/>
        <w:jc w:val="center"/>
        <w:divId w:val="484518981"/>
        <w:rPr>
          <w:vanish/>
        </w:rPr>
      </w:pPr>
      <w:r>
        <w:rPr>
          <w:b/>
          <w:bCs/>
          <w:vanish/>
          <w:sz w:val="2"/>
          <w:szCs w:val="2"/>
        </w:rPr>
        <w:t>​</w:t>
      </w:r>
    </w:p>
    <w:p w:rsidR="00000000" w:rsidRDefault="00F22B2C">
      <w:pPr>
        <w:pStyle w:val="a3"/>
        <w:spacing w:before="480" w:beforeAutospacing="0" w:after="0" w:afterAutospacing="0"/>
        <w:jc w:val="center"/>
        <w:divId w:val="2058893997"/>
        <w:rPr>
          <w:sz w:val="20"/>
          <w:szCs w:val="20"/>
        </w:rPr>
      </w:pPr>
      <w:r>
        <w:rPr>
          <w:sz w:val="20"/>
          <w:szCs w:val="20"/>
        </w:rPr>
        <w:t>106</w:t>
      </w:r>
    </w:p>
    <w:p w:rsidR="00000000" w:rsidRDefault="00F22B2C">
      <w:pPr>
        <w:pStyle w:val="a3"/>
        <w:spacing w:before="0" w:beforeAutospacing="0" w:after="600" w:afterAutospacing="0"/>
        <w:divId w:val="312221626"/>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547113282"/>
        <w:rPr>
          <w:sz w:val="20"/>
          <w:szCs w:val="20"/>
        </w:rPr>
      </w:pPr>
      <w:r>
        <w:rPr>
          <w:b/>
          <w:bCs/>
          <w:sz w:val="20"/>
          <w:szCs w:val="20"/>
        </w:rPr>
        <w:t>IOVANCE BIOTHERAPEUTICS, INC.</w:t>
      </w:r>
    </w:p>
    <w:p w:rsidR="00000000" w:rsidRDefault="00F22B2C">
      <w:pPr>
        <w:pStyle w:val="a3"/>
        <w:spacing w:before="0" w:beforeAutospacing="0" w:after="240" w:afterAutospacing="0"/>
        <w:jc w:val="center"/>
        <w:divId w:val="547113282"/>
        <w:rPr>
          <w:sz w:val="20"/>
          <w:szCs w:val="20"/>
        </w:rPr>
      </w:pPr>
      <w:r>
        <w:rPr>
          <w:b/>
          <w:bCs/>
          <w:sz w:val="20"/>
          <w:szCs w:val="20"/>
        </w:rPr>
        <w:t>Index to Financial Statements</w:t>
      </w:r>
    </w:p>
    <w:p w:rsidR="00000000" w:rsidRDefault="00F22B2C">
      <w:pPr>
        <w:pStyle w:val="a3"/>
        <w:spacing w:before="0" w:beforeAutospacing="0" w:after="240" w:afterAutospacing="0"/>
        <w:jc w:val="center"/>
        <w:divId w:val="547113282"/>
        <w:rPr>
          <w:sz w:val="20"/>
          <w:szCs w:val="20"/>
        </w:rPr>
      </w:pPr>
      <w:r>
        <w:rPr>
          <w:b/>
          <w:bCs/>
          <w:sz w:val="20"/>
          <w:szCs w:val="20"/>
        </w:rPr>
        <w:t>Contents</w:t>
      </w:r>
    </w:p>
    <w:tbl>
      <w:tblPr>
        <w:tblW w:w="5000" w:type="pct"/>
        <w:tblCellMar>
          <w:top w:w="15" w:type="dxa"/>
          <w:left w:w="0" w:type="dxa"/>
          <w:bottom w:w="15" w:type="dxa"/>
          <w:right w:w="0" w:type="dxa"/>
        </w:tblCellMar>
        <w:tblLook w:val="04A0" w:firstRow="1" w:lastRow="0" w:firstColumn="1" w:lastColumn="0" w:noHBand="0" w:noVBand="1"/>
      </w:tblPr>
      <w:tblGrid>
        <w:gridCol w:w="7475"/>
        <w:gridCol w:w="831"/>
      </w:tblGrid>
      <w:tr w:rsidR="00000000">
        <w:trPr>
          <w:divId w:val="547113282"/>
          <w:trHeight w:val="20"/>
        </w:trPr>
        <w:tc>
          <w:tcPr>
            <w:tcW w:w="4500" w:type="pct"/>
            <w:tcMar>
              <w:top w:w="0" w:type="dxa"/>
              <w:left w:w="0" w:type="dxa"/>
              <w:bottom w:w="0" w:type="dxa"/>
              <w:right w:w="0" w:type="dxa"/>
            </w:tcMar>
            <w:hideMark/>
          </w:tcPr>
          <w:p w:rsidR="00000000" w:rsidRDefault="00F22B2C">
            <w:pPr>
              <w:rPr>
                <w:sz w:val="20"/>
                <w:szCs w:val="20"/>
              </w:rPr>
            </w:pPr>
          </w:p>
        </w:tc>
        <w:tc>
          <w:tcPr>
            <w:tcW w:w="500" w:type="pct"/>
            <w:tcMar>
              <w:top w:w="0" w:type="dxa"/>
              <w:left w:w="0" w:type="dxa"/>
              <w:bottom w:w="0" w:type="dxa"/>
              <w:right w:w="0" w:type="dxa"/>
            </w:tcMar>
            <w:vAlign w:val="bottom"/>
            <w:hideMark/>
          </w:tcPr>
          <w:p w:rsidR="00000000" w:rsidRDefault="00F22B2C">
            <w:pPr>
              <w:rPr>
                <w:rFonts w:eastAsia="Times New Roman"/>
                <w:sz w:val="20"/>
                <w:szCs w:val="20"/>
              </w:rPr>
            </w:pPr>
          </w:p>
        </w:tc>
      </w:tr>
      <w:tr w:rsidR="00000000">
        <w:trPr>
          <w:divId w:val="547113282"/>
        </w:trPr>
        <w:tc>
          <w:tcPr>
            <w:tcW w:w="4500" w:type="pct"/>
            <w:tcMar>
              <w:top w:w="0" w:type="dxa"/>
              <w:left w:w="0" w:type="dxa"/>
              <w:bottom w:w="0" w:type="dxa"/>
              <w:right w:w="0" w:type="dxa"/>
            </w:tcMar>
            <w:hideMark/>
          </w:tcPr>
          <w:p w:rsidR="00000000" w:rsidRDefault="00F22B2C">
            <w:pPr>
              <w:pStyle w:val="a3"/>
              <w:spacing w:before="0" w:beforeAutospacing="0" w:after="0" w:afterAutospacing="0"/>
              <w:jc w:val="center"/>
              <w:rPr>
                <w:sz w:val="20"/>
                <w:szCs w:val="20"/>
              </w:rPr>
            </w:pPr>
            <w:r>
              <w:rPr>
                <w:sz w:val="20"/>
                <w:szCs w:val="20"/>
              </w:rPr>
              <w:t> </w:t>
            </w:r>
          </w:p>
        </w:tc>
        <w:tc>
          <w:tcPr>
            <w:tcW w:w="500" w:type="pct"/>
            <w:tcBorders>
              <w:bottom w:val="single" w:sz="8" w:space="0" w:color="000000"/>
            </w:tcBorders>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20"/>
                <w:szCs w:val="20"/>
              </w:rPr>
              <w:t>Page</w:t>
            </w:r>
          </w:p>
        </w:tc>
      </w:tr>
      <w:tr w:rsidR="00000000">
        <w:trPr>
          <w:divId w:val="547113282"/>
        </w:trPr>
        <w:tc>
          <w:tcPr>
            <w:tcW w:w="4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 </w:t>
            </w:r>
          </w:p>
        </w:tc>
      </w:tr>
      <w:tr w:rsidR="00000000">
        <w:trPr>
          <w:divId w:val="547113282"/>
        </w:trPr>
        <w:tc>
          <w:tcPr>
            <w:tcW w:w="4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REPORTOFINDEPENDENT_296141" w:history="1">
              <w:r>
                <w:rPr>
                  <w:rStyle w:val="a4"/>
                  <w:sz w:val="20"/>
                  <w:szCs w:val="20"/>
                </w:rPr>
                <w:t xml:space="preserve">Report of Ernst &amp; </w:t>
              </w:r>
              <w:r>
                <w:rPr>
                  <w:rStyle w:val="a4"/>
                  <w:sz w:val="20"/>
                  <w:szCs w:val="20"/>
                </w:rPr>
                <w:t>Young LLP, Independent Registered Public Accounting Firm</w:t>
              </w:r>
            </w:hyperlink>
            <w:r>
              <w:rPr>
                <w:sz w:val="20"/>
                <w:szCs w:val="20"/>
              </w:rPr>
              <w:t xml:space="preserve"> (PCAOB ID: 42)</w:t>
            </w:r>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F-1</w:t>
            </w:r>
          </w:p>
        </w:tc>
      </w:tr>
      <w:tr w:rsidR="00000000">
        <w:trPr>
          <w:divId w:val="547113282"/>
        </w:trPr>
        <w:tc>
          <w:tcPr>
            <w:tcW w:w="4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 </w:t>
            </w:r>
          </w:p>
        </w:tc>
      </w:tr>
      <w:tr w:rsidR="00000000">
        <w:trPr>
          <w:divId w:val="547113282"/>
        </w:trPr>
        <w:tc>
          <w:tcPr>
            <w:tcW w:w="4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REPORTOFINDEPENDENTREGISTEREDPUBLICACCO" w:history="1">
              <w:r>
                <w:rPr>
                  <w:rStyle w:val="a4"/>
                  <w:sz w:val="20"/>
                  <w:szCs w:val="20"/>
                </w:rPr>
                <w:t>Report of Ernst &amp; Young LLP, Independent Registered Public Accounting Firm</w:t>
              </w:r>
            </w:hyperlink>
            <w:r>
              <w:rPr>
                <w:sz w:val="20"/>
                <w:szCs w:val="20"/>
              </w:rPr>
              <w:t xml:space="preserve"> (PCAOB ID: 42)</w:t>
            </w:r>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F-3</w:t>
            </w:r>
          </w:p>
        </w:tc>
      </w:tr>
      <w:tr w:rsidR="00000000">
        <w:trPr>
          <w:divId w:val="547113282"/>
        </w:trPr>
        <w:tc>
          <w:tcPr>
            <w:tcW w:w="4500" w:type="pct"/>
            <w:tcMar>
              <w:top w:w="0" w:type="dxa"/>
              <w:left w:w="0" w:type="dxa"/>
              <w:bottom w:w="0" w:type="dxa"/>
              <w:right w:w="0" w:type="dxa"/>
            </w:tcMar>
            <w:hideMark/>
          </w:tcPr>
          <w:p w:rsidR="00000000" w:rsidRDefault="00F22B2C">
            <w:pPr>
              <w:rPr>
                <w:sz w:val="20"/>
                <w:szCs w:val="20"/>
              </w:rPr>
            </w:pP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 </w:t>
            </w:r>
          </w:p>
        </w:tc>
      </w:tr>
      <w:tr w:rsidR="00000000">
        <w:trPr>
          <w:divId w:val="547113282"/>
        </w:trPr>
        <w:tc>
          <w:tcPr>
            <w:tcW w:w="4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hyperlink w:anchor="ReportofPYAuditor" w:history="1">
              <w:r>
                <w:rPr>
                  <w:rStyle w:val="a4"/>
                  <w:sz w:val="20"/>
                  <w:szCs w:val="20"/>
                </w:rPr>
                <w:t>Report of Marcum LLP, Independent Registered Public Accounting Firm</w:t>
              </w:r>
            </w:hyperlink>
            <w:r>
              <w:rPr>
                <w:sz w:val="20"/>
                <w:szCs w:val="20"/>
              </w:rPr>
              <w:t xml:space="preserve"> (PCAOB ID: 688)</w:t>
            </w:r>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F-5</w:t>
            </w:r>
          </w:p>
        </w:tc>
      </w:tr>
      <w:tr w:rsidR="00000000">
        <w:trPr>
          <w:divId w:val="547113282"/>
        </w:trPr>
        <w:tc>
          <w:tcPr>
            <w:tcW w:w="4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w:t>
            </w:r>
          </w:p>
        </w:tc>
      </w:tr>
      <w:tr w:rsidR="00000000">
        <w:trPr>
          <w:divId w:val="547113282"/>
        </w:trPr>
        <w:tc>
          <w:tcPr>
            <w:tcW w:w="4500"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Financial Statements</w:t>
            </w:r>
          </w:p>
        </w:tc>
        <w:tc>
          <w:tcPr>
            <w:tcW w:w="500" w:type="pct"/>
            <w:shd w:val="clear" w:color="auto" w:fill="CCEEFF"/>
            <w:tcMar>
              <w:top w:w="0" w:type="dxa"/>
              <w:left w:w="0" w:type="dxa"/>
              <w:bottom w:w="0" w:type="dxa"/>
              <w:right w:w="0" w:type="dxa"/>
            </w:tcMar>
            <w:vAlign w:val="bottom"/>
            <w:hideMark/>
          </w:tcPr>
          <w:p w:rsidR="00000000" w:rsidRDefault="00F22B2C">
            <w:pPr>
              <w:rPr>
                <w:sz w:val="20"/>
                <w:szCs w:val="20"/>
              </w:rPr>
            </w:pPr>
          </w:p>
        </w:tc>
      </w:tr>
      <w:tr w:rsidR="00000000">
        <w:trPr>
          <w:divId w:val="547113282"/>
        </w:trPr>
        <w:tc>
          <w:tcPr>
            <w:tcW w:w="4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 </w:t>
            </w:r>
          </w:p>
        </w:tc>
      </w:tr>
      <w:tr w:rsidR="00000000">
        <w:trPr>
          <w:divId w:val="547113282"/>
        </w:trPr>
        <w:tc>
          <w:tcPr>
            <w:tcW w:w="4500" w:type="pct"/>
            <w:shd w:val="clear" w:color="auto" w:fill="CCEEFF"/>
            <w:tcMar>
              <w:top w:w="0" w:type="dxa"/>
              <w:left w:w="200" w:type="dxa"/>
              <w:bottom w:w="0" w:type="dxa"/>
              <w:right w:w="0" w:type="dxa"/>
            </w:tcMar>
            <w:hideMark/>
          </w:tcPr>
          <w:p w:rsidR="00000000" w:rsidRDefault="00F22B2C">
            <w:pPr>
              <w:pStyle w:val="a3"/>
              <w:spacing w:before="0" w:beforeAutospacing="0" w:after="0" w:afterAutospacing="0"/>
              <w:rPr>
                <w:sz w:val="20"/>
                <w:szCs w:val="20"/>
              </w:rPr>
            </w:pPr>
            <w:hyperlink w:anchor="ConsolidatedBalanceSheets_811659" w:history="1">
              <w:r>
                <w:rPr>
                  <w:rStyle w:val="a4"/>
                  <w:sz w:val="20"/>
                  <w:szCs w:val="20"/>
                </w:rPr>
                <w:t>Consolidated Balance Sheets</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F-7</w:t>
            </w:r>
          </w:p>
        </w:tc>
      </w:tr>
      <w:tr w:rsidR="00000000">
        <w:trPr>
          <w:divId w:val="547113282"/>
        </w:trPr>
        <w:tc>
          <w:tcPr>
            <w:tcW w:w="4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 </w:t>
            </w:r>
          </w:p>
        </w:tc>
      </w:tr>
      <w:tr w:rsidR="00000000">
        <w:trPr>
          <w:divId w:val="547113282"/>
        </w:trPr>
        <w:tc>
          <w:tcPr>
            <w:tcW w:w="4500" w:type="pct"/>
            <w:shd w:val="clear" w:color="auto" w:fill="CCEEFF"/>
            <w:tcMar>
              <w:top w:w="0" w:type="dxa"/>
              <w:left w:w="200" w:type="dxa"/>
              <w:bottom w:w="0" w:type="dxa"/>
              <w:right w:w="0" w:type="dxa"/>
            </w:tcMar>
            <w:hideMark/>
          </w:tcPr>
          <w:p w:rsidR="00000000" w:rsidRDefault="00F22B2C">
            <w:pPr>
              <w:pStyle w:val="a3"/>
              <w:spacing w:before="0" w:beforeAutospacing="0" w:after="0" w:afterAutospacing="0"/>
              <w:rPr>
                <w:sz w:val="20"/>
                <w:szCs w:val="20"/>
              </w:rPr>
            </w:pPr>
            <w:hyperlink w:anchor="ConsolidatedStatementsofOperations_3061" w:history="1">
              <w:r>
                <w:rPr>
                  <w:rStyle w:val="a4"/>
                  <w:sz w:val="20"/>
                  <w:szCs w:val="20"/>
                </w:rPr>
                <w:t>Consolidated Statements of Operations</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F-8</w:t>
            </w:r>
          </w:p>
        </w:tc>
      </w:tr>
      <w:tr w:rsidR="00000000">
        <w:trPr>
          <w:divId w:val="547113282"/>
        </w:trPr>
        <w:tc>
          <w:tcPr>
            <w:tcW w:w="4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 </w:t>
            </w:r>
          </w:p>
        </w:tc>
      </w:tr>
      <w:tr w:rsidR="00000000">
        <w:trPr>
          <w:divId w:val="547113282"/>
        </w:trPr>
        <w:tc>
          <w:tcPr>
            <w:tcW w:w="4500" w:type="pct"/>
            <w:shd w:val="clear" w:color="auto" w:fill="CCEEFF"/>
            <w:tcMar>
              <w:top w:w="0" w:type="dxa"/>
              <w:left w:w="200" w:type="dxa"/>
              <w:bottom w:w="0" w:type="dxa"/>
              <w:right w:w="0" w:type="dxa"/>
            </w:tcMar>
            <w:hideMark/>
          </w:tcPr>
          <w:p w:rsidR="00000000" w:rsidRDefault="00F22B2C">
            <w:pPr>
              <w:pStyle w:val="a3"/>
              <w:spacing w:before="0" w:beforeAutospacing="0" w:after="0" w:afterAutospacing="0"/>
              <w:rPr>
                <w:sz w:val="20"/>
                <w:szCs w:val="20"/>
              </w:rPr>
            </w:pPr>
            <w:hyperlink w:anchor="ConsolidatedStatementsofComprehensiveLo" w:history="1">
              <w:r>
                <w:rPr>
                  <w:rStyle w:val="a4"/>
                  <w:sz w:val="20"/>
                  <w:szCs w:val="20"/>
                </w:rPr>
                <w:t>Consolidated Statements of Comprehensive Loss</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F-9</w:t>
            </w:r>
          </w:p>
        </w:tc>
      </w:tr>
      <w:tr w:rsidR="00000000">
        <w:trPr>
          <w:divId w:val="547113282"/>
        </w:trPr>
        <w:tc>
          <w:tcPr>
            <w:tcW w:w="4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 </w:t>
            </w:r>
          </w:p>
        </w:tc>
      </w:tr>
      <w:tr w:rsidR="00000000">
        <w:trPr>
          <w:divId w:val="547113282"/>
        </w:trPr>
        <w:tc>
          <w:tcPr>
            <w:tcW w:w="4500" w:type="pct"/>
            <w:shd w:val="clear" w:color="auto" w:fill="CCEEFF"/>
            <w:tcMar>
              <w:top w:w="0" w:type="dxa"/>
              <w:left w:w="200" w:type="dxa"/>
              <w:bottom w:w="0" w:type="dxa"/>
              <w:right w:w="0" w:type="dxa"/>
            </w:tcMar>
            <w:hideMark/>
          </w:tcPr>
          <w:p w:rsidR="00000000" w:rsidRDefault="00F22B2C">
            <w:pPr>
              <w:pStyle w:val="a3"/>
              <w:spacing w:before="0" w:beforeAutospacing="0" w:after="0" w:afterAutospacing="0"/>
              <w:rPr>
                <w:sz w:val="20"/>
                <w:szCs w:val="20"/>
              </w:rPr>
            </w:pPr>
            <w:hyperlink w:anchor="ConsolidatedStatementsofStockholdersEqu" w:history="1">
              <w:r>
                <w:rPr>
                  <w:rStyle w:val="a4"/>
                  <w:sz w:val="20"/>
                  <w:szCs w:val="20"/>
                </w:rPr>
                <w:t>Consolidated Statements of Stockholders’ Equity</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F-10</w:t>
            </w:r>
          </w:p>
        </w:tc>
      </w:tr>
      <w:tr w:rsidR="00000000">
        <w:trPr>
          <w:divId w:val="547113282"/>
        </w:trPr>
        <w:tc>
          <w:tcPr>
            <w:tcW w:w="4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 </w:t>
            </w:r>
          </w:p>
        </w:tc>
      </w:tr>
      <w:tr w:rsidR="00000000">
        <w:trPr>
          <w:divId w:val="547113282"/>
        </w:trPr>
        <w:tc>
          <w:tcPr>
            <w:tcW w:w="4500" w:type="pct"/>
            <w:shd w:val="clear" w:color="auto" w:fill="CCEEFF"/>
            <w:tcMar>
              <w:top w:w="0" w:type="dxa"/>
              <w:left w:w="200" w:type="dxa"/>
              <w:bottom w:w="0" w:type="dxa"/>
              <w:right w:w="0" w:type="dxa"/>
            </w:tcMar>
            <w:hideMark/>
          </w:tcPr>
          <w:p w:rsidR="00000000" w:rsidRDefault="00F22B2C">
            <w:pPr>
              <w:pStyle w:val="a3"/>
              <w:spacing w:before="0" w:beforeAutospacing="0" w:after="0" w:afterAutospacing="0"/>
              <w:rPr>
                <w:sz w:val="20"/>
                <w:szCs w:val="20"/>
              </w:rPr>
            </w:pPr>
            <w:hyperlink w:anchor="ConsolidatedStatementsofCashFlows_98758" w:history="1">
              <w:r>
                <w:rPr>
                  <w:rStyle w:val="a4"/>
                  <w:sz w:val="20"/>
                  <w:szCs w:val="20"/>
                </w:rPr>
                <w:t>Consolidated Statements of Cash Flows</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F-11</w:t>
            </w:r>
          </w:p>
        </w:tc>
      </w:tr>
      <w:tr w:rsidR="00000000">
        <w:trPr>
          <w:divId w:val="547113282"/>
        </w:trPr>
        <w:tc>
          <w:tcPr>
            <w:tcW w:w="45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 </w:t>
            </w:r>
          </w:p>
        </w:tc>
      </w:tr>
      <w:tr w:rsidR="00000000">
        <w:trPr>
          <w:divId w:val="547113282"/>
        </w:trPr>
        <w:tc>
          <w:tcPr>
            <w:tcW w:w="4500" w:type="pct"/>
            <w:shd w:val="clear" w:color="auto" w:fill="CCEEFF"/>
            <w:tcMar>
              <w:top w:w="0" w:type="dxa"/>
              <w:left w:w="200" w:type="dxa"/>
              <w:bottom w:w="0" w:type="dxa"/>
              <w:right w:w="0" w:type="dxa"/>
            </w:tcMar>
            <w:hideMark/>
          </w:tcPr>
          <w:p w:rsidR="00000000" w:rsidRDefault="00F22B2C">
            <w:pPr>
              <w:pStyle w:val="a3"/>
              <w:spacing w:before="0" w:beforeAutospacing="0" w:after="0" w:afterAutospacing="0"/>
              <w:rPr>
                <w:sz w:val="20"/>
                <w:szCs w:val="20"/>
              </w:rPr>
            </w:pPr>
            <w:hyperlink w:anchor="NOTE1GENERALORGANIZATIONBUSINESSANDLIQU" w:history="1">
              <w:r>
                <w:rPr>
                  <w:rStyle w:val="a4"/>
                  <w:sz w:val="20"/>
                  <w:szCs w:val="20"/>
                </w:rPr>
                <w:t>Notes to Consolidated Financial Statements</w:t>
              </w:r>
            </w:hyperlink>
          </w:p>
        </w:tc>
        <w:tc>
          <w:tcPr>
            <w:tcW w:w="50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sz w:val="20"/>
                <w:szCs w:val="20"/>
              </w:rPr>
              <w:t>F-12</w:t>
            </w:r>
          </w:p>
        </w:tc>
      </w:tr>
    </w:tbl>
    <w:p w:rsidR="00000000" w:rsidRDefault="00F22B2C">
      <w:pPr>
        <w:pStyle w:val="a3"/>
        <w:spacing w:before="0" w:beforeAutospacing="0" w:after="0" w:afterAutospacing="0"/>
        <w:divId w:val="547113282"/>
        <w:rPr>
          <w:sz w:val="20"/>
          <w:szCs w:val="20"/>
        </w:rPr>
      </w:pPr>
      <w:r>
        <w:rPr>
          <w:sz w:val="2"/>
          <w:szCs w:val="2"/>
        </w:rPr>
        <w:t>​</w:t>
      </w:r>
    </w:p>
    <w:p w:rsidR="00000000" w:rsidRDefault="00F22B2C">
      <w:pPr>
        <w:pStyle w:val="a3"/>
        <w:spacing w:before="0" w:beforeAutospacing="0" w:after="0" w:afterAutospacing="0"/>
        <w:divId w:val="547113282"/>
        <w:rPr>
          <w:sz w:val="20"/>
          <w:szCs w:val="20"/>
        </w:rPr>
      </w:pPr>
      <w:r>
        <w:rPr>
          <w:sz w:val="20"/>
          <w:szCs w:val="20"/>
        </w:rPr>
        <w:t>​</w:t>
      </w:r>
    </w:p>
    <w:p w:rsidR="00000000" w:rsidRDefault="00F22B2C">
      <w:pPr>
        <w:pStyle w:val="a3"/>
        <w:spacing w:before="0" w:beforeAutospacing="0" w:after="0" w:afterAutospacing="0" w:line="0" w:lineRule="atLeast"/>
        <w:divId w:val="547113282"/>
        <w:rPr>
          <w:vanish/>
        </w:rPr>
      </w:pPr>
      <w:r>
        <w:rPr>
          <w:vanish/>
          <w:sz w:val="2"/>
          <w:szCs w:val="2"/>
        </w:rPr>
        <w:t>​</w:t>
      </w:r>
    </w:p>
    <w:p w:rsidR="00000000" w:rsidRDefault="00F22B2C">
      <w:pPr>
        <w:pStyle w:val="a3"/>
        <w:spacing w:before="480" w:beforeAutospacing="0" w:after="600" w:afterAutospacing="0"/>
        <w:jc w:val="center"/>
        <w:divId w:val="2037004068"/>
        <w:rPr>
          <w:sz w:val="20"/>
          <w:szCs w:val="20"/>
        </w:rPr>
      </w:pPr>
      <w:r>
        <w:rPr>
          <w:sz w:val="20"/>
          <w:szCs w:val="20"/>
        </w:rPr>
        <w:t>​</w:t>
      </w:r>
    </w:p>
    <w:p w:rsidR="00000000" w:rsidRDefault="00F22B2C">
      <w:pPr>
        <w:pStyle w:val="a3"/>
        <w:spacing w:before="0" w:beforeAutospacing="0" w:after="600" w:afterAutospacing="0"/>
        <w:divId w:val="1120879709"/>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jc w:val="center"/>
        <w:divId w:val="1349024270"/>
        <w:rPr>
          <w:sz w:val="20"/>
          <w:szCs w:val="20"/>
        </w:rPr>
      </w:pPr>
      <w:r>
        <w:rPr>
          <w:sz w:val="20"/>
          <w:szCs w:val="20"/>
        </w:rPr>
        <w:t>REPORT OF ERNST &amp; YOUNG LLP, INDEPENDENT REGISTERED PUBLIC ACCOUNTING FIR</w:t>
      </w:r>
      <w:r>
        <w:rPr>
          <w:sz w:val="20"/>
          <w:szCs w:val="20"/>
        </w:rPr>
        <w:t>M</w:t>
      </w:r>
    </w:p>
    <w:p w:rsidR="00000000" w:rsidRDefault="00F22B2C">
      <w:pPr>
        <w:pStyle w:val="a3"/>
        <w:spacing w:before="0" w:beforeAutospacing="0" w:after="0" w:afterAutospacing="0"/>
        <w:divId w:val="1349024270"/>
        <w:rPr>
          <w:sz w:val="20"/>
          <w:szCs w:val="20"/>
        </w:rPr>
      </w:pPr>
      <w:r>
        <w:rPr>
          <w:sz w:val="20"/>
          <w:szCs w:val="20"/>
        </w:rPr>
        <w:t>To the Stockholder</w:t>
      </w:r>
      <w:r>
        <w:rPr>
          <w:sz w:val="20"/>
          <w:szCs w:val="20"/>
        </w:rPr>
        <w:t>s and the Board of Directors of Iovance Biotherapeutics, Inc.</w:t>
      </w:r>
    </w:p>
    <w:p w:rsidR="00000000" w:rsidRDefault="00F22B2C">
      <w:pPr>
        <w:pStyle w:val="a3"/>
        <w:spacing w:before="0" w:beforeAutospacing="0" w:after="0" w:afterAutospacing="0"/>
        <w:divId w:val="1349024270"/>
        <w:rPr>
          <w:sz w:val="20"/>
          <w:szCs w:val="20"/>
        </w:rPr>
      </w:pPr>
      <w:r>
        <w:rPr>
          <w:sz w:val="20"/>
          <w:szCs w:val="20"/>
        </w:rPr>
        <w:t>​</w:t>
      </w:r>
    </w:p>
    <w:p w:rsidR="00000000" w:rsidRDefault="00F22B2C">
      <w:pPr>
        <w:pStyle w:val="a3"/>
        <w:spacing w:before="0" w:beforeAutospacing="0" w:after="240" w:afterAutospacing="0"/>
        <w:divId w:val="1349024270"/>
        <w:rPr>
          <w:sz w:val="20"/>
          <w:szCs w:val="20"/>
        </w:rPr>
      </w:pPr>
      <w:r>
        <w:rPr>
          <w:b/>
          <w:bCs/>
          <w:sz w:val="20"/>
          <w:szCs w:val="20"/>
        </w:rPr>
        <w:t>Opinion on the Financial Statements</w:t>
      </w:r>
    </w:p>
    <w:p w:rsidR="00000000" w:rsidRDefault="00F22B2C">
      <w:pPr>
        <w:pStyle w:val="a3"/>
        <w:spacing w:before="0" w:beforeAutospacing="0" w:after="240" w:afterAutospacing="0"/>
        <w:ind w:firstLine="360"/>
        <w:divId w:val="1349024270"/>
        <w:rPr>
          <w:sz w:val="20"/>
          <w:szCs w:val="20"/>
        </w:rPr>
      </w:pPr>
      <w:r>
        <w:rPr>
          <w:sz w:val="20"/>
          <w:szCs w:val="20"/>
        </w:rPr>
        <w:t>We have audited the accompanying consolidated balance sheet of Iovance Biotherapeutics, Inc. (the “Company”) as of December 31, 2021, the related consolidat</w:t>
      </w:r>
      <w:r>
        <w:rPr>
          <w:sz w:val="20"/>
          <w:szCs w:val="20"/>
        </w:rPr>
        <w:t>ed statements of operations, comprehensive loss, stockholders’ equity and cash flows for the year ended December 31, 2021, and the related notes (collectively referred to as the “consolidated financial statements”). In our opinion, the consolidated financi</w:t>
      </w:r>
      <w:r>
        <w:rPr>
          <w:sz w:val="20"/>
          <w:szCs w:val="20"/>
        </w:rPr>
        <w:t>al statements present fairly, in all material respects, the financial position of the Company as of December 31, 2021 and the results of its operations and its cash flows for the year then ended, in conformity with U.S. generally accepted accounting princi</w:t>
      </w:r>
      <w:r>
        <w:rPr>
          <w:sz w:val="20"/>
          <w:szCs w:val="20"/>
        </w:rPr>
        <w:t>ples.</w:t>
      </w:r>
    </w:p>
    <w:p w:rsidR="00000000" w:rsidRDefault="00F22B2C">
      <w:pPr>
        <w:pStyle w:val="a3"/>
        <w:spacing w:before="0" w:beforeAutospacing="0" w:after="240" w:afterAutospacing="0"/>
        <w:ind w:firstLine="360"/>
        <w:divId w:val="1349024270"/>
        <w:rPr>
          <w:sz w:val="20"/>
          <w:szCs w:val="20"/>
        </w:rPr>
      </w:pPr>
      <w:r>
        <w:rPr>
          <w:sz w:val="20"/>
          <w:szCs w:val="20"/>
        </w:rPr>
        <w:t>We also have audited, in accordance with the standards of the Public Company Accounting Oversight Board (United States) (PCAOB), the Company’s internal control over financial reporting as of December 31, 2021, based on criteria established in Interna</w:t>
      </w:r>
      <w:r>
        <w:rPr>
          <w:sz w:val="20"/>
          <w:szCs w:val="20"/>
        </w:rPr>
        <w:t>l Control—Integrated Framework issued by the Committee of Sponsoring Organizations of the Treadway Commission (2013 framework) and our report dated February 24, 2022 expressed an unqualified opinion thereon.</w:t>
      </w:r>
    </w:p>
    <w:p w:rsidR="00000000" w:rsidRDefault="00F22B2C">
      <w:pPr>
        <w:pStyle w:val="a3"/>
        <w:spacing w:before="0" w:beforeAutospacing="0" w:after="240" w:afterAutospacing="0"/>
        <w:divId w:val="1349024270"/>
        <w:rPr>
          <w:sz w:val="20"/>
          <w:szCs w:val="20"/>
        </w:rPr>
      </w:pPr>
      <w:r>
        <w:rPr>
          <w:b/>
          <w:bCs/>
          <w:sz w:val="20"/>
          <w:szCs w:val="20"/>
        </w:rPr>
        <w:t>Basis for Opinion</w:t>
      </w:r>
    </w:p>
    <w:p w:rsidR="00000000" w:rsidRDefault="00F22B2C">
      <w:pPr>
        <w:pStyle w:val="a3"/>
        <w:spacing w:before="0" w:beforeAutospacing="0" w:after="240" w:afterAutospacing="0"/>
        <w:ind w:firstLine="360"/>
        <w:divId w:val="1349024270"/>
        <w:rPr>
          <w:sz w:val="20"/>
          <w:szCs w:val="20"/>
        </w:rPr>
      </w:pPr>
      <w:r>
        <w:rPr>
          <w:sz w:val="20"/>
          <w:szCs w:val="20"/>
        </w:rPr>
        <w:t xml:space="preserve">These financial statements are the responsibility of the Company's management. Our responsibility is to express an opinion on the Company’s financial statements based on our audit. We are a public accounting firm registered with the PCAOB and are required </w:t>
      </w:r>
      <w:r>
        <w:rPr>
          <w:sz w:val="20"/>
          <w:szCs w:val="20"/>
        </w:rPr>
        <w:t>to be independent with respect to the Company in accordance with the U.S. federal securities laws and the applicable rules and regulations of the Securities and Exchange Commission and the PCAOB.</w:t>
      </w:r>
    </w:p>
    <w:p w:rsidR="00000000" w:rsidRDefault="00F22B2C">
      <w:pPr>
        <w:pStyle w:val="a3"/>
        <w:spacing w:before="0" w:beforeAutospacing="0" w:after="240" w:afterAutospacing="0"/>
        <w:ind w:firstLine="360"/>
        <w:divId w:val="1349024270"/>
        <w:rPr>
          <w:sz w:val="20"/>
          <w:szCs w:val="20"/>
        </w:rPr>
      </w:pPr>
      <w:r>
        <w:rPr>
          <w:sz w:val="20"/>
          <w:szCs w:val="20"/>
        </w:rPr>
        <w:t>We conducted our audit in accordance with the standards of t</w:t>
      </w:r>
      <w:r>
        <w:rPr>
          <w:sz w:val="20"/>
          <w:szCs w:val="20"/>
        </w:rPr>
        <w:t xml:space="preserve">he PCAOB. Those standards require that we plan and perform the audit to obtain reasonable assurance about whether the financial statements are free of material misstatement, whether due to error or fraud. Our audit included performing procedures to assess </w:t>
      </w:r>
      <w:r>
        <w:rPr>
          <w:sz w:val="20"/>
          <w:szCs w:val="20"/>
        </w:rPr>
        <w:t>the risks of material misstatement of the financial statements, whether due to error or fraud, and performing procedures that respond to those risks. Such procedures included examining, on a test basis, evidence regarding the amounts and disclosures in the</w:t>
      </w:r>
      <w:r>
        <w:rPr>
          <w:sz w:val="20"/>
          <w:szCs w:val="20"/>
        </w:rPr>
        <w:t xml:space="preserve"> financial statements. Our audit also included evaluating the accounting principles used and significant estimates made by management, as well as evaluating the overall presentation of the financial statements. We believe that our audit provides a reasonab</w:t>
      </w:r>
      <w:r>
        <w:rPr>
          <w:sz w:val="20"/>
          <w:szCs w:val="20"/>
        </w:rPr>
        <w:t>le basis for our opinion.</w:t>
      </w:r>
    </w:p>
    <w:p w:rsidR="00000000" w:rsidRDefault="00F22B2C">
      <w:pPr>
        <w:pStyle w:val="a3"/>
        <w:spacing w:before="0" w:beforeAutospacing="0" w:after="240" w:afterAutospacing="0"/>
        <w:divId w:val="1349024270"/>
        <w:rPr>
          <w:sz w:val="20"/>
          <w:szCs w:val="20"/>
        </w:rPr>
      </w:pPr>
      <w:r>
        <w:rPr>
          <w:b/>
          <w:bCs/>
          <w:sz w:val="20"/>
          <w:szCs w:val="20"/>
        </w:rPr>
        <w:t>Critical Audit Matter</w:t>
      </w:r>
    </w:p>
    <w:p w:rsidR="00000000" w:rsidRDefault="00F22B2C">
      <w:pPr>
        <w:pStyle w:val="a3"/>
        <w:spacing w:before="0" w:beforeAutospacing="0" w:after="0" w:afterAutospacing="0"/>
        <w:ind w:firstLine="720"/>
        <w:divId w:val="1349024270"/>
        <w:rPr>
          <w:sz w:val="20"/>
          <w:szCs w:val="20"/>
        </w:rPr>
      </w:pPr>
      <w:r>
        <w:rPr>
          <w:sz w:val="20"/>
          <w:szCs w:val="20"/>
        </w:rPr>
        <w:t>The critical audit matter communicated below is a matter arising from the current period audit of the financial statements that was communicated or required to be communicated to the audit committee and that:</w:t>
      </w:r>
      <w:r>
        <w:rPr>
          <w:sz w:val="20"/>
          <w:szCs w:val="20"/>
        </w:rPr>
        <w:t xml:space="preserve"> (1) relates to accounts or disclosures that are material to the financial statements and (2) involved our especially challenging, subjective or complex judgments. The communication of the critical audit matter does not alter in any way our opinion on the </w:t>
      </w:r>
      <w:r>
        <w:rPr>
          <w:sz w:val="20"/>
          <w:szCs w:val="20"/>
        </w:rPr>
        <w:t>consolidated financial statements, taken as a whole, and we are not, by communicating the critical audit matter below, providing a separate opinion on the critical audit matter or on the accounts or disclosures to which it relates.</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0" w:beforeAutospacing="0" w:after="0" w:afterAutospacing="0"/>
        <w:ind w:firstLine="720"/>
        <w:divId w:val="1349024270"/>
        <w:rPr>
          <w:sz w:val="20"/>
          <w:szCs w:val="20"/>
        </w:rPr>
      </w:pPr>
      <w:r>
        <w:rPr>
          <w:sz w:val="20"/>
          <w:szCs w:val="20"/>
        </w:rPr>
        <w:t>​</w:t>
      </w:r>
    </w:p>
    <w:p w:rsidR="00000000" w:rsidRDefault="00F22B2C">
      <w:pPr>
        <w:pStyle w:val="a3"/>
        <w:spacing w:before="480" w:beforeAutospacing="0" w:after="0" w:afterAutospacing="0"/>
        <w:jc w:val="center"/>
        <w:divId w:val="271206107"/>
        <w:rPr>
          <w:sz w:val="20"/>
          <w:szCs w:val="20"/>
        </w:rPr>
      </w:pPr>
      <w:r>
        <w:rPr>
          <w:sz w:val="20"/>
          <w:szCs w:val="20"/>
        </w:rPr>
        <w:t>F-1</w:t>
      </w:r>
    </w:p>
    <w:p w:rsidR="00000000" w:rsidRDefault="00F22B2C">
      <w:pPr>
        <w:pStyle w:val="a3"/>
        <w:spacing w:before="0" w:beforeAutospacing="0" w:after="600" w:afterAutospacing="0"/>
        <w:divId w:val="437256379"/>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ind w:right="10"/>
        <w:divId w:val="1143738771"/>
        <w:rPr>
          <w:sz w:val="20"/>
          <w:szCs w:val="20"/>
        </w:rPr>
      </w:pPr>
      <w:r>
        <w:rPr>
          <w:b/>
          <w:bCs/>
          <w:sz w:val="20"/>
          <w:szCs w:val="20"/>
        </w:rPr>
        <w:t>Accrued clinical development costs</w:t>
      </w:r>
    </w:p>
    <w:p w:rsidR="00000000" w:rsidRDefault="00F22B2C">
      <w:pPr>
        <w:pStyle w:val="a3"/>
        <w:spacing w:before="0" w:beforeAutospacing="0" w:after="0" w:afterAutospacing="0"/>
        <w:divId w:val="1143738771"/>
        <w:rPr>
          <w:sz w:val="20"/>
          <w:szCs w:val="20"/>
        </w:rPr>
      </w:pPr>
      <w:r>
        <w:rPr>
          <w:sz w:val="20"/>
          <w:szCs w:val="20"/>
          <w:shd w:val="clear" w:color="auto" w:fill="FFFF00"/>
        </w:rPr>
        <w:t>​</w:t>
      </w:r>
    </w:p>
    <w:tbl>
      <w:tblPr>
        <w:tblW w:w="4628" w:type="pct"/>
        <w:tblCellMar>
          <w:top w:w="15" w:type="dxa"/>
          <w:left w:w="15" w:type="dxa"/>
          <w:bottom w:w="15" w:type="dxa"/>
          <w:right w:w="15" w:type="dxa"/>
        </w:tblCellMar>
        <w:tblLook w:val="04A0" w:firstRow="1" w:lastRow="0" w:firstColumn="1" w:lastColumn="0" w:noHBand="0" w:noVBand="1"/>
      </w:tblPr>
      <w:tblGrid>
        <w:gridCol w:w="1333"/>
        <w:gridCol w:w="6355"/>
      </w:tblGrid>
      <w:tr w:rsidR="00000000">
        <w:trPr>
          <w:divId w:val="2060739632"/>
          <w:trHeight w:val="20"/>
        </w:trPr>
        <w:tc>
          <w:tcPr>
            <w:tcW w:w="867" w:type="pct"/>
            <w:tcMar>
              <w:top w:w="0" w:type="dxa"/>
              <w:left w:w="108" w:type="dxa"/>
              <w:bottom w:w="0" w:type="dxa"/>
              <w:right w:w="108" w:type="dxa"/>
            </w:tcMar>
            <w:hideMark/>
          </w:tcPr>
          <w:p w:rsidR="00000000" w:rsidRDefault="00F22B2C">
            <w:pPr>
              <w:rPr>
                <w:sz w:val="20"/>
                <w:szCs w:val="20"/>
              </w:rPr>
            </w:pPr>
          </w:p>
        </w:tc>
        <w:tc>
          <w:tcPr>
            <w:tcW w:w="4132" w:type="pct"/>
            <w:tcMar>
              <w:top w:w="0" w:type="dxa"/>
              <w:left w:w="108" w:type="dxa"/>
              <w:bottom w:w="0" w:type="dxa"/>
              <w:right w:w="108" w:type="dxa"/>
            </w:tcMar>
            <w:hideMark/>
          </w:tcPr>
          <w:p w:rsidR="00000000" w:rsidRDefault="00F22B2C">
            <w:pPr>
              <w:pStyle w:val="a3"/>
              <w:spacing w:before="0" w:beforeAutospacing="0" w:after="0" w:afterAutospacing="0"/>
              <w:divId w:val="466556928"/>
              <w:rPr>
                <w:sz w:val="20"/>
                <w:szCs w:val="20"/>
              </w:rPr>
            </w:pPr>
            <w:r>
              <w:rPr>
                <w:rFonts w:ascii="Arial" w:hAnsi="Arial" w:cs="Arial"/>
                <w:sz w:val="22"/>
                <w:szCs w:val="22"/>
              </w:rPr>
              <w:t>​</w:t>
            </w:r>
          </w:p>
          <w:p w:rsidR="00000000" w:rsidRDefault="00F22B2C">
            <w:pPr>
              <w:pStyle w:val="a3"/>
              <w:spacing w:before="280" w:beforeAutospacing="0" w:after="0" w:afterAutospacing="0"/>
              <w:divId w:val="466556928"/>
              <w:rPr>
                <w:sz w:val="20"/>
                <w:szCs w:val="20"/>
              </w:rPr>
            </w:pPr>
            <w:r>
              <w:rPr>
                <w:sz w:val="2"/>
                <w:szCs w:val="2"/>
              </w:rPr>
              <w:t>​</w:t>
            </w:r>
          </w:p>
        </w:tc>
      </w:tr>
      <w:tr w:rsidR="00000000">
        <w:trPr>
          <w:divId w:val="2060739632"/>
        </w:trPr>
        <w:tc>
          <w:tcPr>
            <w:tcW w:w="867"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i/>
                <w:iCs/>
                <w:sz w:val="20"/>
                <w:szCs w:val="20"/>
              </w:rPr>
              <w:t>Description of the Matter</w:t>
            </w:r>
          </w:p>
        </w:tc>
        <w:tc>
          <w:tcPr>
            <w:tcW w:w="4132"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sz w:val="20"/>
                <w:szCs w:val="20"/>
              </w:rPr>
              <w:t>During 2021, the Company incurred $38.7 million of research and development expenses and accrued $18.0 million of clinical development costs as of December 31, 2021. As described in Note 2 to the Financial Statements, the Company determines accruals for cl</w:t>
            </w:r>
            <w:r>
              <w:rPr>
                <w:sz w:val="20"/>
                <w:szCs w:val="20"/>
              </w:rPr>
              <w:t>inical development costs based on the various clinical trial activities performed pursuant to contracts with third-party contract research organizations (“CROs”), which comprise a significant component of the Company’s research and development expenses. Cl</w:t>
            </w:r>
            <w:r>
              <w:rPr>
                <w:sz w:val="20"/>
                <w:szCs w:val="20"/>
              </w:rPr>
              <w:t>inical development costs are accrued and expensed based on the percentage of work completed in accordance with agreements established with CROs. The timing and amount of payments required under each individual arrangement are often different from the patte</w:t>
            </w:r>
            <w:r>
              <w:rPr>
                <w:sz w:val="20"/>
                <w:szCs w:val="20"/>
              </w:rPr>
              <w:t>rn of costs actually incurred. The Company accrues clinical development costs under its contracts with third-party service providers based on the progress or stage of completion of trials or services completed by vendors over the life of the individual tri</w:t>
            </w:r>
            <w:r>
              <w:rPr>
                <w:sz w:val="20"/>
                <w:szCs w:val="20"/>
              </w:rPr>
              <w:t xml:space="preserve">al, number of subjects enrolled, and number of sites activated. </w:t>
            </w:r>
          </w:p>
          <w:p w:rsidR="00000000" w:rsidRDefault="00F22B2C">
            <w:pPr>
              <w:pStyle w:val="a3"/>
              <w:spacing w:before="280" w:beforeAutospacing="0" w:after="0" w:afterAutospacing="0"/>
              <w:rPr>
                <w:sz w:val="20"/>
                <w:szCs w:val="20"/>
              </w:rPr>
            </w:pPr>
            <w:r>
              <w:rPr>
                <w:sz w:val="20"/>
                <w:szCs w:val="20"/>
              </w:rPr>
              <w:t>Auditing management’s accounting for accrued clinical development costs is especially challenging because the evaluation is dependent on a high volume of data exchanged between third-party se</w:t>
            </w:r>
            <w:r>
              <w:rPr>
                <w:sz w:val="20"/>
                <w:szCs w:val="20"/>
              </w:rPr>
              <w:t>rvice providers, internal clinical personnel, and the Company’s finance team. Determining accrued amounts is based on an evaluation of the unique terms and conditions set in each respective CRO agreement. Additionally, due to the duration of clinical trial</w:t>
            </w:r>
            <w:r>
              <w:rPr>
                <w:sz w:val="20"/>
                <w:szCs w:val="20"/>
              </w:rPr>
              <w:t xml:space="preserve"> activities and the timing of invoices received from third parties, the determination of the accrual for services incurred requires management to ensure they have complete and accurate information from vendors.</w:t>
            </w:r>
          </w:p>
        </w:tc>
      </w:tr>
      <w:tr w:rsidR="00000000">
        <w:trPr>
          <w:divId w:val="2060739632"/>
        </w:trPr>
        <w:tc>
          <w:tcPr>
            <w:tcW w:w="867"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rFonts w:ascii="Arial" w:hAnsi="Arial" w:cs="Arial"/>
                <w:i/>
                <w:iCs/>
                <w:sz w:val="20"/>
                <w:szCs w:val="20"/>
              </w:rPr>
              <w:t>​</w:t>
            </w:r>
          </w:p>
        </w:tc>
        <w:tc>
          <w:tcPr>
            <w:tcW w:w="4132"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rFonts w:ascii="Arial" w:hAnsi="Arial" w:cs="Arial"/>
                <w:sz w:val="20"/>
                <w:szCs w:val="20"/>
              </w:rPr>
              <w:t>​</w:t>
            </w:r>
          </w:p>
        </w:tc>
      </w:tr>
      <w:tr w:rsidR="00000000">
        <w:trPr>
          <w:divId w:val="2060739632"/>
        </w:trPr>
        <w:tc>
          <w:tcPr>
            <w:tcW w:w="867"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i/>
                <w:iCs/>
                <w:sz w:val="20"/>
                <w:szCs w:val="20"/>
              </w:rPr>
              <w:t>How We Addressed the Matter in Our Audi</w:t>
            </w:r>
            <w:r>
              <w:rPr>
                <w:i/>
                <w:iCs/>
                <w:sz w:val="20"/>
                <w:szCs w:val="20"/>
              </w:rPr>
              <w:t>t</w:t>
            </w:r>
          </w:p>
        </w:tc>
        <w:tc>
          <w:tcPr>
            <w:tcW w:w="4132"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sz w:val="20"/>
                <w:szCs w:val="20"/>
              </w:rPr>
              <w:t>To test accrued clinical development costs, our audit procedures included, among others, testing the accuracy and completeness of the inputs used in management’s analysis to determine costs incurred. We also inspected terms and conditions for selected CR</w:t>
            </w:r>
            <w:r>
              <w:rPr>
                <w:sz w:val="20"/>
                <w:szCs w:val="20"/>
              </w:rPr>
              <w:t>O contracts and change orders and compared these to the cost models management used in tracking the progress of service agreements. We met with internal clinical personnel to understand the status of significant clinical activities. We evaluated services p</w:t>
            </w:r>
            <w:r>
              <w:rPr>
                <w:sz w:val="20"/>
                <w:szCs w:val="20"/>
              </w:rPr>
              <w:t>rovided by third parties by understanding the terms and timeline of significant projects, evaluated management’s determination of work performed, subjects enrolled, sites activated and costs incurred, and obtained external confirmation of contracts and cha</w:t>
            </w:r>
            <w:r>
              <w:rPr>
                <w:sz w:val="20"/>
                <w:szCs w:val="20"/>
              </w:rPr>
              <w:t xml:space="preserve">nge orders executed by the Company for a sample of CROs as well as key terms and conditions of those contracts. Further, we inspected selected invoices received from third parties after the balance sheet date and evaluated whether services performed prior </w:t>
            </w:r>
            <w:r>
              <w:rPr>
                <w:sz w:val="20"/>
                <w:szCs w:val="20"/>
              </w:rPr>
              <w:t>to the balance sheet date had been properly included in costs accrued.</w:t>
            </w:r>
          </w:p>
          <w:p w:rsidR="00000000" w:rsidRDefault="00F22B2C">
            <w:pPr>
              <w:pStyle w:val="a3"/>
              <w:spacing w:before="0" w:beforeAutospacing="0" w:after="0" w:afterAutospacing="0"/>
              <w:rPr>
                <w:sz w:val="20"/>
                <w:szCs w:val="20"/>
              </w:rPr>
            </w:pPr>
            <w:r>
              <w:rPr>
                <w:rFonts w:ascii="Arial" w:hAnsi="Arial" w:cs="Arial"/>
                <w:sz w:val="20"/>
                <w:szCs w:val="20"/>
              </w:rPr>
              <w:t>​</w:t>
            </w:r>
          </w:p>
        </w:tc>
      </w:tr>
    </w:tbl>
    <w:p w:rsidR="00000000" w:rsidRDefault="00F22B2C">
      <w:pPr>
        <w:pStyle w:val="a3"/>
        <w:spacing w:before="0" w:beforeAutospacing="0" w:after="0" w:afterAutospacing="0"/>
        <w:divId w:val="1143738771"/>
        <w:rPr>
          <w:sz w:val="20"/>
          <w:szCs w:val="20"/>
        </w:rPr>
      </w:pPr>
      <w:r>
        <w:rPr>
          <w:sz w:val="20"/>
          <w:szCs w:val="20"/>
        </w:rPr>
        <w:t>​</w:t>
      </w:r>
    </w:p>
    <w:p w:rsidR="00000000" w:rsidRDefault="00F22B2C">
      <w:pPr>
        <w:pStyle w:val="a3"/>
        <w:spacing w:before="0" w:beforeAutospacing="0" w:after="0" w:afterAutospacing="0"/>
        <w:divId w:val="1143738771"/>
        <w:rPr>
          <w:sz w:val="20"/>
          <w:szCs w:val="20"/>
        </w:rPr>
      </w:pPr>
      <w:r>
        <w:rPr>
          <w:sz w:val="20"/>
          <w:szCs w:val="20"/>
          <w:shd w:val="clear" w:color="auto" w:fill="FFFF00"/>
        </w:rPr>
        <w:t>​</w:t>
      </w:r>
    </w:p>
    <w:tbl>
      <w:tblPr>
        <w:tblW w:w="5000" w:type="pct"/>
        <w:tblCellMar>
          <w:top w:w="15" w:type="dxa"/>
          <w:left w:w="15" w:type="dxa"/>
          <w:bottom w:w="15" w:type="dxa"/>
          <w:right w:w="15" w:type="dxa"/>
        </w:tblCellMar>
        <w:tblLook w:val="04A0" w:firstRow="1" w:lastRow="0" w:firstColumn="1" w:lastColumn="0" w:noHBand="0" w:noVBand="1"/>
      </w:tblPr>
      <w:tblGrid>
        <w:gridCol w:w="4050"/>
        <w:gridCol w:w="238"/>
        <w:gridCol w:w="4018"/>
      </w:tblGrid>
      <w:tr w:rsidR="00000000">
        <w:trPr>
          <w:divId w:val="1143738771"/>
        </w:trPr>
        <w:tc>
          <w:tcPr>
            <w:tcW w:w="2437" w:type="pct"/>
            <w:tcBorders>
              <w:bottom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 Ernst &amp; Young LLP</w:t>
            </w:r>
          </w:p>
        </w:tc>
        <w:tc>
          <w:tcPr>
            <w:tcW w:w="143"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2418"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sz w:val="20"/>
                <w:szCs w:val="20"/>
              </w:rPr>
              <w:t>​</w:t>
            </w:r>
          </w:p>
        </w:tc>
      </w:tr>
      <w:tr w:rsidR="00000000">
        <w:trPr>
          <w:divId w:val="1143738771"/>
        </w:trPr>
        <w:tc>
          <w:tcPr>
            <w:tcW w:w="2437" w:type="pct"/>
            <w:tcBorders>
              <w:top w:val="single" w:sz="6" w:space="0" w:color="000000"/>
            </w:tcBorders>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sz w:val="20"/>
                <w:szCs w:val="20"/>
              </w:rPr>
              <w:t>​</w:t>
            </w:r>
          </w:p>
        </w:tc>
        <w:tc>
          <w:tcPr>
            <w:tcW w:w="143"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sz w:val="20"/>
                <w:szCs w:val="20"/>
              </w:rPr>
              <w:t>​</w:t>
            </w:r>
          </w:p>
        </w:tc>
      </w:tr>
      <w:tr w:rsidR="00000000">
        <w:trPr>
          <w:divId w:val="1143738771"/>
          <w:trHeight w:val="243"/>
        </w:trPr>
        <w:tc>
          <w:tcPr>
            <w:tcW w:w="243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We have served as the Company’s auditor since 2021.</w:t>
            </w:r>
          </w:p>
        </w:tc>
        <w:tc>
          <w:tcPr>
            <w:tcW w:w="143"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sz w:val="20"/>
                <w:szCs w:val="20"/>
              </w:rPr>
              <w:t>​</w:t>
            </w:r>
          </w:p>
        </w:tc>
      </w:tr>
      <w:tr w:rsidR="00000000">
        <w:trPr>
          <w:divId w:val="1143738771"/>
        </w:trPr>
        <w:tc>
          <w:tcPr>
            <w:tcW w:w="243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Redwood City, California</w:t>
            </w:r>
          </w:p>
        </w:tc>
        <w:tc>
          <w:tcPr>
            <w:tcW w:w="143"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sz w:val="20"/>
                <w:szCs w:val="20"/>
              </w:rPr>
              <w:t>​</w:t>
            </w:r>
          </w:p>
        </w:tc>
      </w:tr>
      <w:tr w:rsidR="00000000">
        <w:trPr>
          <w:divId w:val="1143738771"/>
        </w:trPr>
        <w:tc>
          <w:tcPr>
            <w:tcW w:w="243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February 24, 2022</w:t>
            </w:r>
          </w:p>
        </w:tc>
        <w:tc>
          <w:tcPr>
            <w:tcW w:w="143"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1143738771"/>
        <w:rPr>
          <w:sz w:val="20"/>
          <w:szCs w:val="20"/>
        </w:rPr>
      </w:pPr>
      <w:r>
        <w:rPr>
          <w:sz w:val="2"/>
          <w:szCs w:val="2"/>
        </w:rPr>
        <w:t>​</w:t>
      </w:r>
    </w:p>
    <w:p w:rsidR="00000000" w:rsidRDefault="00F22B2C">
      <w:pPr>
        <w:pStyle w:val="a3"/>
        <w:spacing w:before="0" w:beforeAutospacing="0" w:after="0" w:afterAutospacing="0"/>
        <w:divId w:val="1143738771"/>
        <w:rPr>
          <w:sz w:val="20"/>
          <w:szCs w:val="20"/>
        </w:rPr>
      </w:pPr>
      <w:r>
        <w:rPr>
          <w:sz w:val="20"/>
          <w:szCs w:val="20"/>
        </w:rPr>
        <w:t>​</w:t>
      </w:r>
    </w:p>
    <w:p w:rsidR="00000000" w:rsidRDefault="00F22B2C">
      <w:pPr>
        <w:pStyle w:val="a3"/>
        <w:spacing w:before="0" w:beforeAutospacing="0" w:after="0" w:afterAutospacing="0"/>
        <w:divId w:val="1143738771"/>
        <w:rPr>
          <w:sz w:val="20"/>
          <w:szCs w:val="20"/>
        </w:rPr>
      </w:pPr>
      <w:r>
        <w:rPr>
          <w:sz w:val="20"/>
          <w:szCs w:val="20"/>
        </w:rPr>
        <w:t>​</w:t>
      </w:r>
    </w:p>
    <w:p w:rsidR="00000000" w:rsidRDefault="00F22B2C">
      <w:pPr>
        <w:pStyle w:val="a3"/>
        <w:spacing w:before="480" w:beforeAutospacing="0" w:after="0" w:afterAutospacing="0"/>
        <w:jc w:val="center"/>
        <w:divId w:val="1078214362"/>
        <w:rPr>
          <w:sz w:val="20"/>
          <w:szCs w:val="20"/>
        </w:rPr>
      </w:pPr>
      <w:r>
        <w:rPr>
          <w:sz w:val="20"/>
          <w:szCs w:val="20"/>
        </w:rPr>
        <w:t>F-2</w:t>
      </w:r>
    </w:p>
    <w:p w:rsidR="00000000" w:rsidRDefault="00F22B2C">
      <w:pPr>
        <w:pStyle w:val="a3"/>
        <w:spacing w:before="0" w:beforeAutospacing="0" w:after="600" w:afterAutospacing="0"/>
        <w:divId w:val="794328449"/>
        <w:rPr>
          <w:sz w:val="20"/>
          <w:szCs w:val="20"/>
        </w:rPr>
      </w:pPr>
      <w:hyperlink w:anchor="TOC" w:history="1">
        <w:r>
          <w:rPr>
            <w:rStyle w:val="a4"/>
            <w:sz w:val="20"/>
            <w:szCs w:val="20"/>
          </w:rPr>
          <w:t>Table of Contents</w:t>
        </w:r>
      </w:hyperlink>
    </w:p>
    <w:p w:rsidR="00000000" w:rsidRDefault="00F22B2C">
      <w:pPr>
        <w:pStyle w:val="a3"/>
        <w:spacing w:before="0" w:beforeAutospacing="0" w:after="240" w:afterAutospacing="0"/>
        <w:jc w:val="center"/>
        <w:divId w:val="876817997"/>
        <w:rPr>
          <w:sz w:val="20"/>
          <w:szCs w:val="20"/>
        </w:rPr>
      </w:pPr>
      <w:r>
        <w:rPr>
          <w:sz w:val="20"/>
          <w:szCs w:val="20"/>
        </w:rPr>
        <w:t>REPORT OF ERNST &amp; YOUNG LLP, INDEPENDENT REGISTERED PUBLIC ACCOUNTING FIR</w:t>
      </w:r>
      <w:r>
        <w:rPr>
          <w:sz w:val="20"/>
          <w:szCs w:val="20"/>
        </w:rPr>
        <w:t>M</w:t>
      </w:r>
    </w:p>
    <w:p w:rsidR="00000000" w:rsidRDefault="00F22B2C">
      <w:pPr>
        <w:pStyle w:val="a3"/>
        <w:spacing w:before="0" w:beforeAutospacing="0" w:after="0" w:afterAutospacing="0"/>
        <w:divId w:val="876817997"/>
        <w:rPr>
          <w:sz w:val="20"/>
          <w:szCs w:val="20"/>
        </w:rPr>
      </w:pPr>
      <w:r>
        <w:rPr>
          <w:sz w:val="20"/>
          <w:szCs w:val="20"/>
        </w:rPr>
        <w:t>To the Stockholders and the Board of Directors of Iovance Biotherapeutics, Inc.</w:t>
      </w:r>
    </w:p>
    <w:p w:rsidR="00000000" w:rsidRDefault="00F22B2C">
      <w:pPr>
        <w:pStyle w:val="a3"/>
        <w:spacing w:before="0" w:beforeAutospacing="0" w:after="0" w:afterAutospacing="0"/>
        <w:divId w:val="876817997"/>
        <w:rPr>
          <w:sz w:val="20"/>
          <w:szCs w:val="20"/>
        </w:rPr>
      </w:pPr>
      <w:r>
        <w:rPr>
          <w:sz w:val="20"/>
          <w:szCs w:val="20"/>
        </w:rPr>
        <w:t>​</w:t>
      </w:r>
    </w:p>
    <w:p w:rsidR="00000000" w:rsidRDefault="00F22B2C">
      <w:pPr>
        <w:pStyle w:val="a3"/>
        <w:spacing w:before="0" w:beforeAutospacing="0" w:after="240" w:afterAutospacing="0"/>
        <w:divId w:val="876817997"/>
        <w:rPr>
          <w:sz w:val="20"/>
          <w:szCs w:val="20"/>
        </w:rPr>
      </w:pPr>
      <w:r>
        <w:rPr>
          <w:b/>
          <w:bCs/>
          <w:sz w:val="20"/>
          <w:szCs w:val="20"/>
        </w:rPr>
        <w:t>Opinion on Internal Control over Financial Reporting</w:t>
      </w:r>
    </w:p>
    <w:p w:rsidR="00000000" w:rsidRDefault="00F22B2C">
      <w:pPr>
        <w:pStyle w:val="a3"/>
        <w:spacing w:before="0" w:beforeAutospacing="0" w:after="240" w:afterAutospacing="0"/>
        <w:ind w:firstLine="360"/>
        <w:divId w:val="876817997"/>
        <w:rPr>
          <w:sz w:val="20"/>
          <w:szCs w:val="20"/>
        </w:rPr>
      </w:pPr>
      <w:r>
        <w:rPr>
          <w:sz w:val="20"/>
          <w:szCs w:val="20"/>
        </w:rPr>
        <w:t>We</w:t>
      </w:r>
      <w:r>
        <w:rPr>
          <w:sz w:val="20"/>
          <w:szCs w:val="20"/>
        </w:rPr>
        <w:t xml:space="preserve"> have audited Iovance Biotherapeutics, Inc.’s internal control over financial reporting as of December 31, 2021, based on criteria established in Internal Control—Integrated Framework issued by the Committee of Sponsoring Organizations of the Treadway Comm</w:t>
      </w:r>
      <w:r>
        <w:rPr>
          <w:sz w:val="20"/>
          <w:szCs w:val="20"/>
        </w:rPr>
        <w:t xml:space="preserve">ission (2013 framework) (the COSO criteria). In our opinion, Iovance Biotherapeutics, Inc. (the Company) maintained, in all material respects, effective internal control over financial reporting as of December 31, 2021, based on the COSO criteria. </w:t>
      </w:r>
    </w:p>
    <w:p w:rsidR="00000000" w:rsidRDefault="00F22B2C">
      <w:pPr>
        <w:pStyle w:val="a3"/>
        <w:spacing w:before="0" w:beforeAutospacing="0" w:after="240" w:afterAutospacing="0"/>
        <w:ind w:firstLine="360"/>
        <w:divId w:val="876817997"/>
        <w:rPr>
          <w:sz w:val="20"/>
          <w:szCs w:val="20"/>
        </w:rPr>
      </w:pPr>
      <w:r>
        <w:rPr>
          <w:sz w:val="20"/>
          <w:szCs w:val="20"/>
        </w:rPr>
        <w:t>We also</w:t>
      </w:r>
      <w:r>
        <w:rPr>
          <w:sz w:val="20"/>
          <w:szCs w:val="20"/>
        </w:rPr>
        <w:t xml:space="preserve"> have audited, in accordance with the standards of the Public Company Accounting Oversight Board (United States) (PCAOB), the balance sheet of the Company as of December 31, 2021 the related statements of operations, comprehensive loss, stockholders’ equit</w:t>
      </w:r>
      <w:r>
        <w:rPr>
          <w:sz w:val="20"/>
          <w:szCs w:val="20"/>
        </w:rPr>
        <w:t xml:space="preserve">y and cash flows for the year ended December 31, 2021, and the related notes, and our report dated February 24, 2022 expressed an unqualified opinion thereon. </w:t>
      </w:r>
    </w:p>
    <w:p w:rsidR="00000000" w:rsidRDefault="00F22B2C">
      <w:pPr>
        <w:pStyle w:val="a3"/>
        <w:spacing w:before="0" w:beforeAutospacing="0" w:after="240" w:afterAutospacing="0"/>
        <w:divId w:val="876817997"/>
        <w:rPr>
          <w:sz w:val="20"/>
          <w:szCs w:val="20"/>
        </w:rPr>
      </w:pPr>
      <w:r>
        <w:rPr>
          <w:b/>
          <w:bCs/>
          <w:sz w:val="20"/>
          <w:szCs w:val="20"/>
        </w:rPr>
        <w:t>Basis for Opinion</w:t>
      </w:r>
    </w:p>
    <w:p w:rsidR="00000000" w:rsidRDefault="00F22B2C">
      <w:pPr>
        <w:pStyle w:val="a3"/>
        <w:spacing w:before="0" w:beforeAutospacing="0" w:after="240" w:afterAutospacing="0"/>
        <w:ind w:firstLine="360"/>
        <w:divId w:val="876817997"/>
        <w:rPr>
          <w:sz w:val="20"/>
          <w:szCs w:val="20"/>
        </w:rPr>
      </w:pPr>
      <w:r>
        <w:rPr>
          <w:sz w:val="20"/>
          <w:szCs w:val="20"/>
        </w:rPr>
        <w:t>The Company’s management is responsible for maintaining effective internal con</w:t>
      </w:r>
      <w:r>
        <w:rPr>
          <w:sz w:val="20"/>
          <w:szCs w:val="20"/>
        </w:rPr>
        <w:t>trol over financial reporting and for its assessment of the effectiveness of internal control over financial reporting included in the accompanying Management’s Annual Report on Internal Control Over Financial Reporting. Our responsibility is to express an</w:t>
      </w:r>
      <w:r>
        <w:rPr>
          <w:sz w:val="20"/>
          <w:szCs w:val="20"/>
        </w:rPr>
        <w:t xml:space="preserve"> opinion on the Company’s internal control over financial reporting based on our audit. We are a public accounting firm registered with the PCAOB and are required to be independent with respect to the Company in accordance with the U.S. federal securities </w:t>
      </w:r>
      <w:r>
        <w:rPr>
          <w:sz w:val="20"/>
          <w:szCs w:val="20"/>
        </w:rPr>
        <w:t>laws and the applicable rules and regulations of the Securities and Exchange Commission and the PCAOB.</w:t>
      </w:r>
      <w:r>
        <w:rPr>
          <w:sz w:val="20"/>
          <w:szCs w:val="20"/>
        </w:rPr>
        <w:t xml:space="preserve"> </w:t>
      </w:r>
    </w:p>
    <w:p w:rsidR="00000000" w:rsidRDefault="00F22B2C">
      <w:pPr>
        <w:pStyle w:val="a3"/>
        <w:spacing w:before="0" w:beforeAutospacing="0" w:after="240" w:afterAutospacing="0"/>
        <w:ind w:firstLine="360"/>
        <w:divId w:val="876817997"/>
        <w:rPr>
          <w:sz w:val="20"/>
          <w:szCs w:val="20"/>
        </w:rPr>
      </w:pPr>
      <w:r>
        <w:rPr>
          <w:sz w:val="20"/>
          <w:szCs w:val="20"/>
        </w:rPr>
        <w:t>We conducted our audit in accordance with the standards of the PCAOB. Those standards require that we plan and perform the audit to obtain reasonable as</w:t>
      </w:r>
      <w:r>
        <w:rPr>
          <w:sz w:val="20"/>
          <w:szCs w:val="20"/>
        </w:rPr>
        <w:t xml:space="preserve">surance about whether effective internal control over financial reporting was maintained in all material respects. </w:t>
      </w:r>
    </w:p>
    <w:p w:rsidR="00000000" w:rsidRDefault="00F22B2C">
      <w:pPr>
        <w:pStyle w:val="a3"/>
        <w:spacing w:before="0" w:beforeAutospacing="0" w:after="240" w:afterAutospacing="0"/>
        <w:ind w:firstLine="360"/>
        <w:divId w:val="876817997"/>
        <w:rPr>
          <w:sz w:val="20"/>
          <w:szCs w:val="20"/>
        </w:rPr>
      </w:pPr>
      <w:r>
        <w:rPr>
          <w:sz w:val="20"/>
          <w:szCs w:val="20"/>
        </w:rPr>
        <w:t>Our audit included obtaining an understanding of internal control over financial reporting, assessing the risk that a material weakness exis</w:t>
      </w:r>
      <w:r>
        <w:rPr>
          <w:sz w:val="20"/>
          <w:szCs w:val="20"/>
        </w:rPr>
        <w:t>ts, testing and evaluating the design and operating effectiveness of internal control based on the assessed risk, and performing such other procedures as we considered necessary in the circumstances. We believe that our audit provides a reasonable basis fo</w:t>
      </w:r>
      <w:r>
        <w:rPr>
          <w:sz w:val="20"/>
          <w:szCs w:val="20"/>
        </w:rPr>
        <w:t>r our opinion.</w:t>
      </w:r>
    </w:p>
    <w:p w:rsidR="00000000" w:rsidRDefault="00F22B2C">
      <w:pPr>
        <w:pStyle w:val="a3"/>
        <w:spacing w:before="0" w:beforeAutospacing="0" w:after="240" w:afterAutospacing="0"/>
        <w:divId w:val="876817997"/>
        <w:rPr>
          <w:sz w:val="20"/>
          <w:szCs w:val="20"/>
        </w:rPr>
      </w:pPr>
      <w:r>
        <w:rPr>
          <w:b/>
          <w:bCs/>
          <w:sz w:val="20"/>
          <w:szCs w:val="20"/>
        </w:rPr>
        <w:t>Definition and Limitations of Internal Control Over Financial Reporting</w:t>
      </w:r>
    </w:p>
    <w:p w:rsidR="00000000" w:rsidRDefault="00F22B2C">
      <w:pPr>
        <w:pStyle w:val="a3"/>
        <w:spacing w:before="0" w:beforeAutospacing="0" w:after="240" w:afterAutospacing="0"/>
        <w:ind w:firstLine="360"/>
        <w:divId w:val="876817997"/>
        <w:rPr>
          <w:sz w:val="20"/>
          <w:szCs w:val="20"/>
        </w:rPr>
      </w:pPr>
      <w:r>
        <w:rPr>
          <w:sz w:val="20"/>
          <w:szCs w:val="20"/>
        </w:rPr>
        <w:t>A company’s internal control over financial reporting is a process designed to provide reasonable assurance regarding the reliability of financial reporting and the prep</w:t>
      </w:r>
      <w:r>
        <w:rPr>
          <w:sz w:val="20"/>
          <w:szCs w:val="20"/>
        </w:rPr>
        <w:t>aration of financial statements for external purposes in accordance with generally accepted accounting principles. A company’s internal control over financial reporting includes those policies and procedures that (1) pertain to the maintenance of records t</w:t>
      </w:r>
      <w:r>
        <w:rPr>
          <w:sz w:val="20"/>
          <w:szCs w:val="20"/>
        </w:rPr>
        <w:t>hat, in reasonable detail, accurately and fairly reflect the transactions and dispositions of the assets of the company; (2) provide reasonable assurance that transactions are recorded as necessary to permit preparation of financial statements in accordanc</w:t>
      </w:r>
      <w:r>
        <w:rPr>
          <w:sz w:val="20"/>
          <w:szCs w:val="20"/>
        </w:rPr>
        <w:t>e with generally accepted accounting principles, and that receipts and expenditures of the company are being made only in accordance with authorizations of management and directors of the company; and (3) provide reasonable assurance regarding prevention o</w:t>
      </w:r>
      <w:r>
        <w:rPr>
          <w:sz w:val="20"/>
          <w:szCs w:val="20"/>
        </w:rPr>
        <w:t>r timely detection of unauthorized acquisition, use, or disposition of the company’s assets that could have a material effect on the financial statements.</w:t>
      </w:r>
    </w:p>
    <w:p w:rsidR="00000000" w:rsidRDefault="00F22B2C">
      <w:pPr>
        <w:pStyle w:val="a3"/>
        <w:spacing w:before="0" w:beforeAutospacing="0" w:after="0" w:afterAutospacing="0"/>
        <w:divId w:val="876817997"/>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w:t>
      </w:r>
      <w:r>
        <w:rPr>
          <w:sz w:val="20"/>
          <w:szCs w:val="20"/>
        </w:rPr>
        <w:t>se of changes in conditions, or that the degree of compliance with the policies or procedures may deteriorate.</w:t>
      </w:r>
    </w:p>
    <w:p w:rsidR="00000000" w:rsidRDefault="00F22B2C">
      <w:pPr>
        <w:pStyle w:val="a3"/>
        <w:spacing w:before="0" w:beforeAutospacing="0" w:after="0" w:afterAutospacing="0"/>
        <w:divId w:val="87681799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988"/>
        <w:gridCol w:w="235"/>
        <w:gridCol w:w="4083"/>
      </w:tblGrid>
      <w:tr w:rsidR="00000000">
        <w:trPr>
          <w:divId w:val="876817997"/>
          <w:trHeight w:val="20"/>
        </w:trPr>
        <w:tc>
          <w:tcPr>
            <w:tcW w:w="2400" w:type="pct"/>
            <w:tcMar>
              <w:top w:w="0" w:type="dxa"/>
              <w:left w:w="0" w:type="dxa"/>
              <w:bottom w:w="0" w:type="dxa"/>
              <w:right w:w="0" w:type="dxa"/>
            </w:tcMar>
            <w:hideMark/>
          </w:tcPr>
          <w:p w:rsidR="00000000" w:rsidRDefault="00F22B2C">
            <w:pPr>
              <w:pStyle w:val="a3"/>
              <w:spacing w:before="0" w:beforeAutospacing="0" w:after="0" w:afterAutospacing="0"/>
              <w:divId w:val="1729986124"/>
              <w:rPr>
                <w:sz w:val="20"/>
                <w:szCs w:val="20"/>
              </w:rPr>
            </w:pPr>
            <w:r>
              <w:rPr>
                <w:sz w:val="2"/>
                <w:szCs w:val="2"/>
              </w:rPr>
              <w:t>​</w:t>
            </w:r>
          </w:p>
        </w:tc>
        <w:tc>
          <w:tcPr>
            <w:tcW w:w="141" w:type="pct"/>
            <w:tcMar>
              <w:top w:w="0" w:type="dxa"/>
              <w:left w:w="0" w:type="dxa"/>
              <w:bottom w:w="0" w:type="dxa"/>
              <w:right w:w="0" w:type="dxa"/>
            </w:tcMar>
            <w:hideMark/>
          </w:tcPr>
          <w:p w:rsidR="00000000" w:rsidRDefault="00F22B2C">
            <w:pPr>
              <w:pStyle w:val="a3"/>
              <w:spacing w:before="0" w:beforeAutospacing="0" w:after="0" w:afterAutospacing="0"/>
              <w:divId w:val="1549417103"/>
              <w:rPr>
                <w:sz w:val="20"/>
                <w:szCs w:val="20"/>
              </w:rPr>
            </w:pPr>
            <w:r>
              <w:rPr>
                <w:sz w:val="2"/>
                <w:szCs w:val="2"/>
              </w:rPr>
              <w:t>​</w:t>
            </w:r>
          </w:p>
        </w:tc>
        <w:tc>
          <w:tcPr>
            <w:tcW w:w="2458" w:type="pct"/>
            <w:tcMar>
              <w:top w:w="0" w:type="dxa"/>
              <w:left w:w="0" w:type="dxa"/>
              <w:bottom w:w="0" w:type="dxa"/>
              <w:right w:w="0" w:type="dxa"/>
            </w:tcMar>
            <w:hideMark/>
          </w:tcPr>
          <w:p w:rsidR="00000000" w:rsidRDefault="00F22B2C">
            <w:pPr>
              <w:pStyle w:val="a3"/>
              <w:spacing w:before="0" w:beforeAutospacing="0" w:after="0" w:afterAutospacing="0"/>
              <w:divId w:val="1611156250"/>
              <w:rPr>
                <w:sz w:val="20"/>
                <w:szCs w:val="20"/>
              </w:rPr>
            </w:pPr>
            <w:r>
              <w:rPr>
                <w:sz w:val="2"/>
                <w:szCs w:val="2"/>
              </w:rPr>
              <w:t>​</w:t>
            </w:r>
          </w:p>
        </w:tc>
      </w:tr>
      <w:tr w:rsidR="00000000">
        <w:trPr>
          <w:divId w:val="876817997"/>
        </w:trPr>
        <w:tc>
          <w:tcPr>
            <w:tcW w:w="2400" w:type="pct"/>
            <w:tcBorders>
              <w:bottom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/s/ Ernst &amp; Young LLP</w:t>
            </w:r>
          </w:p>
        </w:tc>
        <w:tc>
          <w:tcPr>
            <w:tcW w:w="14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p>
        </w:tc>
        <w:tc>
          <w:tcPr>
            <w:tcW w:w="245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r>
      <w:tr w:rsidR="00000000">
        <w:trPr>
          <w:divId w:val="876817997"/>
        </w:trPr>
        <w:tc>
          <w:tcPr>
            <w:tcW w:w="2400" w:type="pct"/>
            <w:tcBorders>
              <w:top w:val="single" w:sz="6" w:space="0" w:color="000000"/>
            </w:tcBorders>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14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r>
      <w:tr w:rsidR="00000000">
        <w:trPr>
          <w:divId w:val="876817997"/>
        </w:trPr>
        <w:tc>
          <w:tcPr>
            <w:tcW w:w="24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Redwood City, California</w:t>
            </w:r>
          </w:p>
        </w:tc>
        <w:tc>
          <w:tcPr>
            <w:tcW w:w="14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r>
      <w:tr w:rsidR="00000000">
        <w:trPr>
          <w:divId w:val="876817997"/>
          <w:trHeight w:val="270"/>
        </w:trPr>
        <w:tc>
          <w:tcPr>
            <w:tcW w:w="2400"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February 24, 2022</w:t>
            </w:r>
          </w:p>
        </w:tc>
        <w:tc>
          <w:tcPr>
            <w:tcW w:w="141"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r>
    </w:tbl>
    <w:p w:rsidR="00000000" w:rsidRDefault="00F22B2C">
      <w:pPr>
        <w:pStyle w:val="a3"/>
        <w:spacing w:before="0" w:beforeAutospacing="0" w:after="0" w:afterAutospacing="0"/>
        <w:divId w:val="876817997"/>
        <w:rPr>
          <w:sz w:val="20"/>
          <w:szCs w:val="20"/>
        </w:rPr>
      </w:pPr>
      <w:r>
        <w:rPr>
          <w:sz w:val="2"/>
          <w:szCs w:val="2"/>
        </w:rPr>
        <w:t>​</w:t>
      </w:r>
    </w:p>
    <w:p w:rsidR="00000000" w:rsidRDefault="00F22B2C">
      <w:pPr>
        <w:pStyle w:val="a3"/>
        <w:spacing w:before="0" w:beforeAutospacing="0" w:after="0" w:afterAutospacing="0" w:line="0" w:lineRule="atLeast"/>
        <w:divId w:val="876817997"/>
        <w:rPr>
          <w:vanish/>
        </w:rPr>
      </w:pPr>
      <w:r>
        <w:rPr>
          <w:b/>
          <w:bCs/>
          <w:vanish/>
          <w:sz w:val="2"/>
          <w:szCs w:val="2"/>
        </w:rPr>
        <w:t>​</w:t>
      </w:r>
    </w:p>
    <w:p w:rsidR="00000000" w:rsidRDefault="00F22B2C">
      <w:pPr>
        <w:pStyle w:val="a3"/>
        <w:spacing w:before="480" w:beforeAutospacing="0" w:after="0" w:afterAutospacing="0"/>
        <w:jc w:val="center"/>
        <w:divId w:val="1656454304"/>
        <w:rPr>
          <w:sz w:val="20"/>
          <w:szCs w:val="20"/>
        </w:rPr>
      </w:pPr>
      <w:r>
        <w:rPr>
          <w:sz w:val="20"/>
          <w:szCs w:val="20"/>
        </w:rPr>
        <w:t>F-3</w:t>
      </w:r>
    </w:p>
    <w:p w:rsidR="00000000" w:rsidRDefault="00F22B2C">
      <w:pPr>
        <w:pStyle w:val="a3"/>
        <w:spacing w:before="0" w:beforeAutospacing="0" w:after="600" w:afterAutospacing="0"/>
        <w:divId w:val="706562072"/>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jc w:val="center"/>
        <w:divId w:val="1564100167"/>
        <w:rPr>
          <w:b/>
          <w:bCs/>
          <w:sz w:val="20"/>
          <w:szCs w:val="20"/>
        </w:rPr>
      </w:pPr>
      <w:r>
        <w:rPr>
          <w:sz w:val="20"/>
          <w:szCs w:val="20"/>
        </w:rPr>
        <w:t>REPORT OF INDEPENDENT REGISTERED PUBLIC ACCOUNTING FIR</w:t>
      </w:r>
      <w:r>
        <w:rPr>
          <w:sz w:val="20"/>
          <w:szCs w:val="20"/>
        </w:rPr>
        <w:t>M</w:t>
      </w:r>
    </w:p>
    <w:p w:rsidR="00000000" w:rsidRDefault="00F22B2C">
      <w:pPr>
        <w:pStyle w:val="a3"/>
        <w:spacing w:before="0" w:beforeAutospacing="0" w:after="200" w:afterAutospacing="0"/>
        <w:divId w:val="1564100167"/>
        <w:rPr>
          <w:b/>
          <w:bCs/>
          <w:sz w:val="20"/>
          <w:szCs w:val="20"/>
        </w:rPr>
      </w:pPr>
      <w:r>
        <w:rPr>
          <w:sz w:val="20"/>
          <w:szCs w:val="20"/>
        </w:rPr>
        <w:t xml:space="preserve">To the Shareholders and Board of Directors of </w:t>
      </w:r>
      <w:r>
        <w:rPr>
          <w:sz w:val="20"/>
          <w:szCs w:val="20"/>
        </w:rPr>
        <w:br/>
        <w:t>Iovance Biotherapeutics, Inc.</w:t>
      </w:r>
    </w:p>
    <w:p w:rsidR="00000000" w:rsidRDefault="00F22B2C">
      <w:pPr>
        <w:pStyle w:val="a3"/>
        <w:spacing w:before="0" w:beforeAutospacing="0" w:after="200" w:afterAutospacing="0"/>
        <w:divId w:val="1564100167"/>
        <w:rPr>
          <w:b/>
          <w:bCs/>
          <w:sz w:val="20"/>
          <w:szCs w:val="20"/>
        </w:rPr>
      </w:pPr>
      <w:r>
        <w:rPr>
          <w:b/>
          <w:bCs/>
          <w:sz w:val="20"/>
          <w:szCs w:val="20"/>
        </w:rPr>
        <w:t>Opinion on the Financial Statements</w:t>
      </w:r>
    </w:p>
    <w:p w:rsidR="00000000" w:rsidRDefault="00F22B2C">
      <w:pPr>
        <w:pStyle w:val="a3"/>
        <w:spacing w:before="0" w:beforeAutospacing="0" w:after="200" w:afterAutospacing="0"/>
        <w:ind w:firstLine="720"/>
        <w:divId w:val="1564100167"/>
        <w:rPr>
          <w:b/>
          <w:bCs/>
          <w:sz w:val="20"/>
          <w:szCs w:val="20"/>
        </w:rPr>
      </w:pPr>
      <w:r>
        <w:rPr>
          <w:sz w:val="20"/>
          <w:szCs w:val="20"/>
        </w:rPr>
        <w:t>We have audited the accompanying consolidat</w:t>
      </w:r>
      <w:r>
        <w:rPr>
          <w:sz w:val="20"/>
          <w:szCs w:val="20"/>
        </w:rPr>
        <w:t>ed balance sheet of Iovance Biotherapeutics, Inc. (the “Company”) as of December 31, 2020, the related consolidated statements of operations, comprehensive loss, stockholders’ equity and cash flows for each of the two years in the period ended December 31,</w:t>
      </w:r>
      <w:r>
        <w:rPr>
          <w:sz w:val="20"/>
          <w:szCs w:val="20"/>
        </w:rPr>
        <w:t xml:space="preserve"> 2020, and the related notes (collectively referred to as the “financial statements”). In our opinion, the financial statements present fairly, in all material respects, the financial position of the Company as of December 31, 2020, and the results of its </w:t>
      </w:r>
      <w:r>
        <w:rPr>
          <w:sz w:val="20"/>
          <w:szCs w:val="20"/>
        </w:rPr>
        <w:t>operations and its cash flows for each of the two years in the period ended December 31, 2020, in conformity with accounting principles generally accepted in the United States of America</w:t>
      </w:r>
      <w:r>
        <w:rPr>
          <w:sz w:val="20"/>
          <w:szCs w:val="20"/>
        </w:rPr>
        <w:t>.</w:t>
      </w:r>
    </w:p>
    <w:p w:rsidR="00000000" w:rsidRDefault="00F22B2C">
      <w:pPr>
        <w:pStyle w:val="a3"/>
        <w:spacing w:before="0" w:beforeAutospacing="0" w:after="200" w:afterAutospacing="0"/>
        <w:divId w:val="1564100167"/>
        <w:rPr>
          <w:b/>
          <w:bCs/>
          <w:sz w:val="20"/>
          <w:szCs w:val="20"/>
        </w:rPr>
      </w:pPr>
      <w:r>
        <w:rPr>
          <w:b/>
          <w:bCs/>
          <w:sz w:val="20"/>
          <w:szCs w:val="20"/>
        </w:rPr>
        <w:t>Basis for Opinion</w:t>
      </w:r>
    </w:p>
    <w:p w:rsidR="00000000" w:rsidRDefault="00F22B2C">
      <w:pPr>
        <w:pStyle w:val="a3"/>
        <w:spacing w:before="0" w:beforeAutospacing="0" w:after="200" w:afterAutospacing="0"/>
        <w:ind w:firstLine="720"/>
        <w:divId w:val="1564100167"/>
        <w:rPr>
          <w:b/>
          <w:bCs/>
          <w:sz w:val="20"/>
          <w:szCs w:val="20"/>
        </w:rPr>
      </w:pPr>
      <w:r>
        <w:rPr>
          <w:sz w:val="20"/>
          <w:szCs w:val="20"/>
        </w:rPr>
        <w:t xml:space="preserve">These financial statements are the responsibility </w:t>
      </w:r>
      <w:r>
        <w:rPr>
          <w:sz w:val="20"/>
          <w:szCs w:val="20"/>
        </w:rPr>
        <w:t xml:space="preserve">of the Company's management. Our responsibility is to express an opinion on the Company's financial statements based on our audits. We are a public accounting firm registered with the PCAOB and are required to be independent with respect to the Company in </w:t>
      </w:r>
      <w:r>
        <w:rPr>
          <w:sz w:val="20"/>
          <w:szCs w:val="20"/>
        </w:rPr>
        <w:t>accordance with the U.S. federal securities laws and the applicable rules and regulations of the Securities and Exchange Commission and the PCAOB.</w:t>
      </w:r>
    </w:p>
    <w:p w:rsidR="00000000" w:rsidRDefault="00F22B2C">
      <w:pPr>
        <w:pStyle w:val="a3"/>
        <w:spacing w:before="0" w:beforeAutospacing="0" w:after="200" w:afterAutospacing="0"/>
        <w:ind w:firstLine="720"/>
        <w:divId w:val="1564100167"/>
        <w:rPr>
          <w:b/>
          <w:bCs/>
          <w:sz w:val="20"/>
          <w:szCs w:val="20"/>
        </w:rPr>
      </w:pPr>
      <w:r>
        <w:rPr>
          <w:sz w:val="20"/>
          <w:szCs w:val="20"/>
        </w:rPr>
        <w:t>We conducted our audits in accordance with the standards of the PCAOB. Those standards require that we plan a</w:t>
      </w:r>
      <w:r>
        <w:rPr>
          <w:sz w:val="20"/>
          <w:szCs w:val="20"/>
        </w:rPr>
        <w:t>nd perform the audits to obtain reasonable assurance about whether the financial statements are free of material misstatement, whether due to error or fraud. Our audits included performing procedures to assess the risks of material misstatement of the fina</w:t>
      </w:r>
      <w:r>
        <w:rPr>
          <w:sz w:val="20"/>
          <w:szCs w:val="20"/>
        </w:rPr>
        <w:t>ncial statements, whether due to error or fraud, and performing procedures that respond to those risks. Such procedures included examining, on a test basis, evidence regarding the amounts and disclosures in the financial statements. Our audits also include</w:t>
      </w:r>
      <w:r>
        <w:rPr>
          <w:sz w:val="20"/>
          <w:szCs w:val="20"/>
        </w:rPr>
        <w:t>d evaluating the accounting principles used and significant estimates made by management, as well as evaluating the overall presentation of the financial statements. We believe that our audits provide a reasonable basis for our opinion.</w:t>
      </w:r>
    </w:p>
    <w:p w:rsidR="00000000" w:rsidRDefault="00F22B2C">
      <w:pPr>
        <w:pStyle w:val="a3"/>
        <w:spacing w:before="0" w:beforeAutospacing="0" w:after="200" w:afterAutospacing="0"/>
        <w:divId w:val="1564100167"/>
        <w:rPr>
          <w:b/>
          <w:bCs/>
          <w:sz w:val="20"/>
          <w:szCs w:val="20"/>
        </w:rPr>
      </w:pPr>
      <w:r>
        <w:rPr>
          <w:b/>
          <w:bCs/>
          <w:sz w:val="20"/>
          <w:szCs w:val="20"/>
        </w:rPr>
        <w:t>Critical Audit Matt</w:t>
      </w:r>
      <w:r>
        <w:rPr>
          <w:b/>
          <w:bCs/>
          <w:sz w:val="20"/>
          <w:szCs w:val="20"/>
        </w:rPr>
        <w:t>ers</w:t>
      </w:r>
    </w:p>
    <w:p w:rsidR="00000000" w:rsidRDefault="00F22B2C">
      <w:pPr>
        <w:pStyle w:val="a3"/>
        <w:spacing w:before="0" w:beforeAutospacing="0" w:after="200" w:afterAutospacing="0"/>
        <w:ind w:firstLine="720"/>
        <w:divId w:val="1564100167"/>
        <w:rPr>
          <w:b/>
          <w:bCs/>
          <w:sz w:val="20"/>
          <w:szCs w:val="20"/>
        </w:rPr>
      </w:pPr>
      <w:r>
        <w:rPr>
          <w:sz w:val="20"/>
          <w:szCs w:val="20"/>
        </w:rPr>
        <w:t>The critical audit matter communicated below is a matter arising from the current period audit of the financial statements that was communicated or required to be communicated to the audit committee and that: (1) relates to accounts or disclosures that</w:t>
      </w:r>
      <w:r>
        <w:rPr>
          <w:sz w:val="20"/>
          <w:szCs w:val="20"/>
        </w:rPr>
        <w:t xml:space="preserve"> are material to the financial statements and (2) involved our especially challenging, subjective, or complex judgments. The communication of critical audit matters does not alter in any way our opinion on the consolidated financial statements, taken as a </w:t>
      </w:r>
      <w:r>
        <w:rPr>
          <w:sz w:val="20"/>
          <w:szCs w:val="20"/>
        </w:rPr>
        <w:t>whole, and we are not, by communicating the critical audit matter below, providing a separate opinion on the critical audit matter or on the accounts or disclosures to which it relates.</w:t>
      </w:r>
    </w:p>
    <w:p w:rsidR="00000000" w:rsidRDefault="00F22B2C">
      <w:pPr>
        <w:pStyle w:val="a3"/>
        <w:spacing w:before="0" w:beforeAutospacing="0" w:after="200" w:afterAutospacing="0"/>
        <w:divId w:val="1564100167"/>
        <w:rPr>
          <w:b/>
          <w:bCs/>
          <w:sz w:val="20"/>
          <w:szCs w:val="20"/>
        </w:rPr>
      </w:pPr>
      <w:r>
        <w:rPr>
          <w:b/>
          <w:bCs/>
          <w:sz w:val="20"/>
          <w:szCs w:val="20"/>
        </w:rPr>
        <w:t>Incremental Borrowing Rate (Leases)</w:t>
      </w:r>
    </w:p>
    <w:p w:rsidR="00000000" w:rsidRDefault="00F22B2C">
      <w:pPr>
        <w:pStyle w:val="a3"/>
        <w:spacing w:before="0" w:beforeAutospacing="0" w:after="200" w:afterAutospacing="0"/>
        <w:divId w:val="1564100167"/>
        <w:rPr>
          <w:b/>
          <w:bCs/>
          <w:sz w:val="20"/>
          <w:szCs w:val="20"/>
        </w:rPr>
      </w:pPr>
      <w:r>
        <w:rPr>
          <w:i/>
          <w:iCs/>
          <w:sz w:val="20"/>
          <w:szCs w:val="20"/>
        </w:rPr>
        <w:t>Description of the Matter</w:t>
      </w:r>
    </w:p>
    <w:p w:rsidR="00000000" w:rsidRDefault="00F22B2C">
      <w:pPr>
        <w:pStyle w:val="a3"/>
        <w:spacing w:before="0" w:beforeAutospacing="0" w:after="200" w:afterAutospacing="0"/>
        <w:ind w:firstLine="547"/>
        <w:divId w:val="1564100167"/>
        <w:rPr>
          <w:b/>
          <w:bCs/>
          <w:sz w:val="20"/>
          <w:szCs w:val="20"/>
        </w:rPr>
      </w:pPr>
      <w:r>
        <w:rPr>
          <w:sz w:val="20"/>
          <w:szCs w:val="20"/>
        </w:rPr>
        <w:t>As discussed in Note 10 to the consolidated financial statements, the Company’s reported right-of-use assets, current lease liabilities and long-term lease liabilities, utilize discount rates to calculate the estimated present val</w:t>
      </w:r>
      <w:r>
        <w:rPr>
          <w:sz w:val="20"/>
          <w:szCs w:val="20"/>
        </w:rPr>
        <w:t>ue of future lease payments. Since the Company’s leases do not provide an implicit rate, management utilized a third-party valuation specialist to assist in estimating the incremental borrowing rates used in its present value calculation, which required su</w:t>
      </w:r>
      <w:r>
        <w:rPr>
          <w:sz w:val="20"/>
          <w:szCs w:val="20"/>
        </w:rPr>
        <w:t>bjectivity. The incremental borrowing rate is the rate of interest that a lessee would have to pay to borrow on a collateralized basis over a similar term an amount equal to the lease payments in a similar economic environment. As of December 31, 2020, the</w:t>
      </w:r>
      <w:r>
        <w:rPr>
          <w:sz w:val="20"/>
          <w:szCs w:val="20"/>
        </w:rPr>
        <w:t xml:space="preserve"> weighted average incremental borrowing rate used to determine the operating lease liability is 8.3%</w:t>
      </w:r>
      <w:r>
        <w:rPr>
          <w:sz w:val="20"/>
          <w:szCs w:val="20"/>
        </w:rPr>
        <w:t>.</w:t>
      </w:r>
    </w:p>
    <w:p w:rsidR="00000000" w:rsidRDefault="00F22B2C">
      <w:pPr>
        <w:pStyle w:val="a3"/>
        <w:spacing w:before="480" w:beforeAutospacing="0" w:after="0" w:afterAutospacing="0"/>
        <w:jc w:val="center"/>
        <w:divId w:val="578633714"/>
        <w:rPr>
          <w:sz w:val="20"/>
          <w:szCs w:val="20"/>
        </w:rPr>
      </w:pPr>
      <w:r>
        <w:rPr>
          <w:sz w:val="20"/>
          <w:szCs w:val="20"/>
        </w:rPr>
        <w:t>F-5</w:t>
      </w:r>
    </w:p>
    <w:p w:rsidR="00000000" w:rsidRDefault="00F22B2C">
      <w:pPr>
        <w:pStyle w:val="a3"/>
        <w:spacing w:before="0" w:beforeAutospacing="0" w:after="600" w:afterAutospacing="0"/>
        <w:divId w:val="928005393"/>
        <w:rPr>
          <w:sz w:val="20"/>
          <w:szCs w:val="20"/>
        </w:rPr>
      </w:pPr>
      <w:hyperlink w:anchor="TOC" w:history="1">
        <w:r>
          <w:rPr>
            <w:rStyle w:val="a4"/>
            <w:sz w:val="20"/>
            <w:szCs w:val="20"/>
          </w:rPr>
          <w:t>Table of Contents</w:t>
        </w:r>
      </w:hyperlink>
    </w:p>
    <w:p w:rsidR="00000000" w:rsidRDefault="00F22B2C">
      <w:pPr>
        <w:pStyle w:val="a3"/>
        <w:spacing w:before="0" w:beforeAutospacing="0" w:after="200" w:afterAutospacing="0"/>
        <w:ind w:firstLine="547"/>
        <w:divId w:val="2073457981"/>
        <w:rPr>
          <w:b/>
          <w:bCs/>
          <w:sz w:val="20"/>
          <w:szCs w:val="20"/>
        </w:rPr>
      </w:pPr>
      <w:r>
        <w:rPr>
          <w:sz w:val="20"/>
          <w:szCs w:val="20"/>
        </w:rPr>
        <w:t xml:space="preserve">Auditing management’s assessment of its incremental borrowing rate is highly subjective and judgmental as </w:t>
      </w:r>
      <w:r>
        <w:rPr>
          <w:sz w:val="20"/>
          <w:szCs w:val="20"/>
        </w:rPr>
        <w:t>the Company has no outstanding debt nor committed credit facilities, secured or otherwise, that would have comparable collateral or similar terms as their underlying leases. Further, changes in the incremental borrowing rate may have a material impact on t</w:t>
      </w:r>
      <w:r>
        <w:rPr>
          <w:sz w:val="20"/>
          <w:szCs w:val="20"/>
        </w:rPr>
        <w:t>he measurement of the Company’s right-of-use assets, current lease liabilities and long-term lease liabilities. Based on the level of management judgment, we have determined the incremental borrowing rate to be a critical audit matter. This required a high</w:t>
      </w:r>
      <w:r>
        <w:rPr>
          <w:sz w:val="20"/>
          <w:szCs w:val="20"/>
        </w:rPr>
        <w:t xml:space="preserve"> degree of auditor judgment and an increased extent of effort, including the need to involve our valuation specialists, when performing audit procedures to evaluate the reasonableness of management’s estimation of the incremental borrowing rate</w:t>
      </w:r>
      <w:r>
        <w:rPr>
          <w:sz w:val="20"/>
          <w:szCs w:val="20"/>
        </w:rPr>
        <w:t>.</w:t>
      </w:r>
    </w:p>
    <w:p w:rsidR="00000000" w:rsidRDefault="00F22B2C">
      <w:pPr>
        <w:pStyle w:val="a3"/>
        <w:spacing w:before="0" w:beforeAutospacing="0" w:after="200" w:afterAutospacing="0"/>
        <w:divId w:val="2073457981"/>
        <w:rPr>
          <w:b/>
          <w:bCs/>
          <w:sz w:val="20"/>
          <w:szCs w:val="20"/>
        </w:rPr>
      </w:pPr>
      <w:r>
        <w:rPr>
          <w:i/>
          <w:iCs/>
          <w:sz w:val="20"/>
          <w:szCs w:val="20"/>
        </w:rPr>
        <w:t>How We Add</w:t>
      </w:r>
      <w:r>
        <w:rPr>
          <w:i/>
          <w:iCs/>
          <w:sz w:val="20"/>
          <w:szCs w:val="20"/>
        </w:rPr>
        <w:t>ressed the Matter in Our Audit</w:t>
      </w:r>
      <w:r>
        <w:rPr>
          <w:i/>
          <w:iCs/>
          <w:sz w:val="20"/>
          <w:szCs w:val="20"/>
        </w:rPr>
        <w:br/>
      </w:r>
      <w:r>
        <w:rPr>
          <w:b/>
          <w:bCs/>
          <w:sz w:val="20"/>
          <w:szCs w:val="20"/>
        </w:rPr>
        <w:br/>
      </w:r>
      <w:r>
        <w:rPr>
          <w:sz w:val="20"/>
          <w:szCs w:val="20"/>
        </w:rPr>
        <w:t>Our audit procedures included, amongst others: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73457981"/>
        </w:trPr>
        <w:tc>
          <w:tcPr>
            <w:tcW w:w="360" w:type="dxa"/>
            <w:vAlign w:val="center"/>
            <w:hideMark/>
          </w:tcPr>
          <w:p w:rsidR="00000000" w:rsidRDefault="00F22B2C">
            <w:pPr>
              <w:rPr>
                <w:b/>
                <w:bCs/>
                <w:sz w:val="20"/>
                <w:szCs w:val="20"/>
              </w:rPr>
            </w:pPr>
          </w:p>
        </w:tc>
        <w:tc>
          <w:tcPr>
            <w:tcW w:w="36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sz w:val="20"/>
                <w:szCs w:val="20"/>
              </w:rPr>
              <w:t>We obtained an understanding, evaluated the design, and tested the operating effectiveness of management’s controls with</w:t>
            </w:r>
            <w:r>
              <w:rPr>
                <w:rFonts w:eastAsia="Times New Roman"/>
                <w:sz w:val="20"/>
                <w:szCs w:val="20"/>
              </w:rPr>
              <w:br/>
              <w:t>regards to the methodology, inputs, and assumptions u</w:t>
            </w:r>
            <w:r>
              <w:rPr>
                <w:rFonts w:eastAsia="Times New Roman"/>
                <w:sz w:val="20"/>
                <w:szCs w:val="20"/>
              </w:rPr>
              <w:t>sed to determine the incremental borrowing rate, including those over management’s review of its third-party specialist valuation report.</w:t>
            </w:r>
          </w:p>
        </w:tc>
      </w:tr>
    </w:tbl>
    <w:p w:rsidR="00000000" w:rsidRDefault="00F22B2C">
      <w:pPr>
        <w:divId w:val="20734579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73457981"/>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sz w:val="20"/>
                <w:szCs w:val="20"/>
              </w:rPr>
              <w:t>We obtained an understanding of the factors considered and assumptions made by management and the valuation speci</w:t>
            </w:r>
            <w:r>
              <w:rPr>
                <w:rFonts w:eastAsia="Times New Roman"/>
                <w:sz w:val="20"/>
                <w:szCs w:val="20"/>
              </w:rPr>
              <w:t>alists in developing the estimate of the incremental borrowing rate, the sources of data relevant to these factors and assumptions and the procedures used to obtain the data, and the methods used to calculate the estimate.</w:t>
            </w:r>
          </w:p>
        </w:tc>
      </w:tr>
    </w:tbl>
    <w:p w:rsidR="00000000" w:rsidRDefault="00F22B2C">
      <w:pPr>
        <w:divId w:val="20734579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73457981"/>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sz w:val="20"/>
                <w:szCs w:val="20"/>
              </w:rPr>
              <w:t>We reviewed the contractual terms of the lease agreements to ensure the commencement dates, any lease term extensions and/or early termination clauses were properly considered in determining the appropriate lease term for calculating the incremental borrow</w:t>
            </w:r>
            <w:r>
              <w:rPr>
                <w:rFonts w:eastAsia="Times New Roman"/>
                <w:sz w:val="20"/>
                <w:szCs w:val="20"/>
              </w:rPr>
              <w:t>ing rates.</w:t>
            </w:r>
          </w:p>
        </w:tc>
      </w:tr>
    </w:tbl>
    <w:p w:rsidR="00000000" w:rsidRDefault="00F22B2C">
      <w:pPr>
        <w:divId w:val="20734579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73457981"/>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sz w:val="20"/>
                <w:szCs w:val="20"/>
              </w:rPr>
              <w:t>With the assistance of our valuation specialists, we performed an independent estimate of the incremental borrowing rate and compared the results to the Company’s estimate.</w:t>
            </w:r>
          </w:p>
        </w:tc>
      </w:tr>
    </w:tbl>
    <w:p w:rsidR="00000000" w:rsidRDefault="00F22B2C">
      <w:pPr>
        <w:divId w:val="20734579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73457981"/>
        </w:trPr>
        <w:tc>
          <w:tcPr>
            <w:tcW w:w="36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sz w:val="20"/>
                <w:szCs w:val="20"/>
              </w:rPr>
              <w:t xml:space="preserve">We evaluated the reasonableness of the valuation methods and assumptions used </w:t>
            </w:r>
            <w:r>
              <w:rPr>
                <w:rFonts w:eastAsia="Times New Roman"/>
                <w:sz w:val="20"/>
                <w:szCs w:val="20"/>
              </w:rPr>
              <w:t>by management and the Company’s valuation specialist to estimate the incremental borrowing rates for borrowing amounts and terms comparable to their outstanding leases by:</w:t>
            </w:r>
          </w:p>
        </w:tc>
      </w:tr>
    </w:tbl>
    <w:p w:rsidR="00000000" w:rsidRDefault="00F22B2C">
      <w:pPr>
        <w:divId w:val="20734579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073457981"/>
        </w:trPr>
        <w:tc>
          <w:tcPr>
            <w:tcW w:w="108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spacing w:after="20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sz w:val="20"/>
                <w:szCs w:val="20"/>
              </w:rPr>
              <w:t xml:space="preserve">Developing an independent estimate of the incremental borrowing rates with the </w:t>
            </w:r>
            <w:r>
              <w:rPr>
                <w:rFonts w:eastAsia="Times New Roman"/>
                <w:sz w:val="20"/>
                <w:szCs w:val="20"/>
              </w:rPr>
              <w:t>assistance of our valuation specialists by utilizing third party data related to comparable company borrowings with comparable payment terms.</w:t>
            </w:r>
          </w:p>
        </w:tc>
      </w:tr>
    </w:tbl>
    <w:p w:rsidR="00000000" w:rsidRDefault="00F22B2C">
      <w:pPr>
        <w:divId w:val="20734579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073457981"/>
        </w:trPr>
        <w:tc>
          <w:tcPr>
            <w:tcW w:w="1080" w:type="dxa"/>
            <w:vAlign w:val="center"/>
            <w:hideMark/>
          </w:tcPr>
          <w:p w:rsidR="00000000" w:rsidRDefault="00F22B2C">
            <w:pPr>
              <w:rPr>
                <w:rFonts w:eastAsia="Times New Roman"/>
              </w:rPr>
            </w:pPr>
          </w:p>
        </w:tc>
        <w:tc>
          <w:tcPr>
            <w:tcW w:w="360" w:type="dxa"/>
            <w:noWrap/>
            <w:tcMar>
              <w:top w:w="0" w:type="dxa"/>
              <w:left w:w="0" w:type="dxa"/>
              <w:bottom w:w="0" w:type="dxa"/>
              <w:right w:w="0" w:type="dxa"/>
            </w:tcMar>
            <w:hideMark/>
          </w:tcPr>
          <w:p w:rsidR="00000000" w:rsidRDefault="00F22B2C">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Performing a sensitivity analysis on incremental borrowing rates used to determine the impact rate changes co</w:t>
            </w:r>
            <w:r>
              <w:rPr>
                <w:rFonts w:eastAsia="Times New Roman"/>
                <w:sz w:val="20"/>
                <w:szCs w:val="20"/>
              </w:rPr>
              <w:t>uld have on the present value calculation of the Company’s operating lease right-of-use assets and operating lease liabilities.</w:t>
            </w:r>
          </w:p>
        </w:tc>
      </w:tr>
    </w:tbl>
    <w:p w:rsidR="00000000" w:rsidRDefault="00F22B2C">
      <w:pPr>
        <w:pStyle w:val="a3"/>
        <w:spacing w:before="0" w:beforeAutospacing="0" w:after="200" w:afterAutospacing="0"/>
        <w:jc w:val="both"/>
        <w:divId w:val="2073457981"/>
        <w:rPr>
          <w:sz w:val="20"/>
          <w:szCs w:val="20"/>
        </w:rPr>
      </w:pPr>
      <w:r>
        <w:rPr>
          <w:sz w:val="20"/>
          <w:szCs w:val="20"/>
        </w:rPr>
        <w:t>/s/ Marcum LLP</w:t>
      </w:r>
    </w:p>
    <w:p w:rsidR="00000000" w:rsidRDefault="00F22B2C">
      <w:pPr>
        <w:pStyle w:val="a3"/>
        <w:spacing w:before="0" w:beforeAutospacing="0" w:after="200" w:afterAutospacing="0"/>
        <w:jc w:val="both"/>
        <w:divId w:val="2073457981"/>
        <w:rPr>
          <w:sz w:val="20"/>
          <w:szCs w:val="20"/>
        </w:rPr>
      </w:pPr>
      <w:r>
        <w:rPr>
          <w:sz w:val="20"/>
          <w:szCs w:val="20"/>
        </w:rPr>
        <w:t>Marcum LLP</w:t>
      </w:r>
    </w:p>
    <w:p w:rsidR="00000000" w:rsidRDefault="00F22B2C">
      <w:pPr>
        <w:pStyle w:val="a3"/>
        <w:spacing w:before="0" w:beforeAutospacing="0" w:after="200" w:afterAutospacing="0"/>
        <w:jc w:val="both"/>
        <w:divId w:val="2073457981"/>
        <w:rPr>
          <w:sz w:val="20"/>
          <w:szCs w:val="20"/>
        </w:rPr>
      </w:pPr>
      <w:r>
        <w:rPr>
          <w:sz w:val="20"/>
          <w:szCs w:val="20"/>
        </w:rPr>
        <w:t>We served as the Company’s auditor from 2016 to 2021.</w:t>
      </w:r>
    </w:p>
    <w:p w:rsidR="00000000" w:rsidRDefault="00F22B2C">
      <w:pPr>
        <w:pStyle w:val="a3"/>
        <w:spacing w:before="0" w:beforeAutospacing="0" w:after="200" w:afterAutospacing="0"/>
        <w:divId w:val="2073457981"/>
        <w:rPr>
          <w:sz w:val="20"/>
          <w:szCs w:val="20"/>
        </w:rPr>
      </w:pPr>
      <w:r>
        <w:rPr>
          <w:sz w:val="20"/>
          <w:szCs w:val="20"/>
        </w:rPr>
        <w:t>New York, NY</w:t>
      </w:r>
      <w:r>
        <w:rPr>
          <w:sz w:val="20"/>
          <w:szCs w:val="20"/>
        </w:rPr>
        <w:br/>
        <w:t>February 25, 2021</w:t>
      </w:r>
    </w:p>
    <w:p w:rsidR="00000000" w:rsidRDefault="00F22B2C">
      <w:pPr>
        <w:pStyle w:val="a3"/>
        <w:spacing w:before="0" w:beforeAutospacing="0" w:after="200" w:afterAutospacing="0"/>
        <w:ind w:firstLine="547"/>
        <w:jc w:val="both"/>
        <w:divId w:val="2073457981"/>
        <w:rPr>
          <w:sz w:val="20"/>
          <w:szCs w:val="20"/>
        </w:rPr>
      </w:pPr>
      <w:r>
        <w:rPr>
          <w:b/>
          <w:bCs/>
          <w:sz w:val="20"/>
          <w:szCs w:val="20"/>
        </w:rPr>
        <w:t>​</w:t>
      </w:r>
    </w:p>
    <w:p w:rsidR="00000000" w:rsidRDefault="00F22B2C">
      <w:pPr>
        <w:pStyle w:val="a3"/>
        <w:spacing w:before="0" w:beforeAutospacing="0" w:after="200" w:afterAutospacing="0"/>
        <w:divId w:val="2073457981"/>
        <w:rPr>
          <w:sz w:val="20"/>
          <w:szCs w:val="20"/>
        </w:rPr>
      </w:pPr>
      <w:r>
        <w:rPr>
          <w:sz w:val="20"/>
          <w:szCs w:val="20"/>
        </w:rPr>
        <w:t>​</w:t>
      </w:r>
    </w:p>
    <w:p w:rsidR="00000000" w:rsidRDefault="00F22B2C">
      <w:pPr>
        <w:pStyle w:val="a3"/>
        <w:spacing w:before="0" w:beforeAutospacing="0" w:after="200" w:afterAutospacing="0"/>
        <w:divId w:val="2073457981"/>
        <w:rPr>
          <w:sz w:val="20"/>
          <w:szCs w:val="20"/>
        </w:rPr>
      </w:pPr>
      <w:r>
        <w:rPr>
          <w:sz w:val="20"/>
          <w:szCs w:val="20"/>
        </w:rPr>
        <w:t>​</w:t>
      </w:r>
    </w:p>
    <w:p w:rsidR="00000000" w:rsidRDefault="00F22B2C">
      <w:pPr>
        <w:pStyle w:val="a3"/>
        <w:spacing w:before="0" w:beforeAutospacing="0" w:after="200" w:afterAutospacing="0"/>
        <w:ind w:firstLine="547"/>
        <w:divId w:val="2073457981"/>
        <w:rPr>
          <w:sz w:val="20"/>
          <w:szCs w:val="20"/>
        </w:rPr>
      </w:pPr>
      <w:r>
        <w:rPr>
          <w:sz w:val="20"/>
          <w:szCs w:val="20"/>
        </w:rPr>
        <w:t>​</w:t>
      </w:r>
    </w:p>
    <w:p w:rsidR="00000000" w:rsidRDefault="00F22B2C">
      <w:pPr>
        <w:pStyle w:val="a3"/>
        <w:spacing w:before="480" w:beforeAutospacing="0" w:after="0" w:afterAutospacing="0"/>
        <w:jc w:val="center"/>
        <w:divId w:val="1649699595"/>
        <w:rPr>
          <w:sz w:val="20"/>
          <w:szCs w:val="20"/>
        </w:rPr>
      </w:pPr>
      <w:r>
        <w:rPr>
          <w:sz w:val="20"/>
          <w:szCs w:val="20"/>
        </w:rPr>
        <w:t>F-6</w:t>
      </w:r>
    </w:p>
    <w:p w:rsidR="00000000" w:rsidRDefault="00F22B2C">
      <w:pPr>
        <w:pStyle w:val="a3"/>
        <w:spacing w:before="0" w:beforeAutospacing="0" w:after="600" w:afterAutospacing="0"/>
        <w:divId w:val="557857378"/>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064719265"/>
        <w:rPr>
          <w:b/>
          <w:bCs/>
          <w:sz w:val="20"/>
          <w:szCs w:val="20"/>
        </w:rPr>
      </w:pPr>
      <w:r>
        <w:rPr>
          <w:b/>
          <w:bCs/>
          <w:sz w:val="20"/>
          <w:szCs w:val="20"/>
        </w:rPr>
        <w:t>IOVANCE BIOTHERAPEUTICS, INC.</w:t>
      </w:r>
    </w:p>
    <w:p w:rsidR="00000000" w:rsidRDefault="00F22B2C">
      <w:pPr>
        <w:pStyle w:val="a3"/>
        <w:spacing w:before="0" w:beforeAutospacing="0" w:after="0" w:afterAutospacing="0"/>
        <w:jc w:val="center"/>
        <w:divId w:val="1064719265"/>
        <w:rPr>
          <w:sz w:val="20"/>
          <w:szCs w:val="20"/>
        </w:rPr>
      </w:pPr>
      <w:r>
        <w:rPr>
          <w:b/>
          <w:bCs/>
          <w:sz w:val="20"/>
          <w:szCs w:val="20"/>
        </w:rPr>
        <w:t>Consolidated Balance Sheets</w:t>
      </w:r>
    </w:p>
    <w:p w:rsidR="00000000" w:rsidRDefault="00F22B2C">
      <w:pPr>
        <w:pStyle w:val="a3"/>
        <w:spacing w:before="0" w:beforeAutospacing="0" w:after="0" w:afterAutospacing="0"/>
        <w:jc w:val="center"/>
        <w:divId w:val="1064719265"/>
        <w:rPr>
          <w:sz w:val="20"/>
          <w:szCs w:val="20"/>
        </w:rPr>
      </w:pPr>
      <w:r>
        <w:rPr>
          <w:b/>
          <w:bCs/>
          <w:sz w:val="20"/>
          <w:szCs w:val="20"/>
        </w:rPr>
        <w:t>(In thousands, except share and per share information)</w:t>
      </w:r>
    </w:p>
    <w:p w:rsidR="00000000" w:rsidRDefault="00F22B2C">
      <w:pPr>
        <w:pStyle w:val="a3"/>
        <w:spacing w:before="0" w:beforeAutospacing="0" w:after="0" w:afterAutospacing="0"/>
        <w:jc w:val="center"/>
        <w:divId w:val="106471926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56"/>
        <w:gridCol w:w="180"/>
        <w:gridCol w:w="121"/>
        <w:gridCol w:w="974"/>
        <w:gridCol w:w="180"/>
        <w:gridCol w:w="129"/>
        <w:gridCol w:w="966"/>
      </w:tblGrid>
      <w:tr w:rsidR="00000000">
        <w:trPr>
          <w:divId w:val="1064719265"/>
          <w:trHeight w:val="20"/>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
                <w:szCs w:val="2"/>
              </w:rPr>
              <w:t>​</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b/>
                <w:bCs/>
                <w:sz w:val="18"/>
                <w:szCs w:val="18"/>
              </w:rPr>
              <w:t>    </w:t>
            </w:r>
          </w:p>
        </w:tc>
        <w:tc>
          <w:tcPr>
            <w:tcW w:w="637"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8"/>
                <w:szCs w:val="18"/>
              </w:rPr>
            </w:pPr>
            <w:r>
              <w:rPr>
                <w:b/>
                <w:bCs/>
                <w:sz w:val="18"/>
                <w:szCs w:val="18"/>
              </w:rPr>
              <w:t>December 31,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8"/>
                <w:szCs w:val="18"/>
              </w:rPr>
              <w:t>​</w:t>
            </w:r>
          </w:p>
        </w:tc>
        <w:tc>
          <w:tcPr>
            <w:tcW w:w="595"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8"/>
                <w:szCs w:val="18"/>
              </w:rPr>
            </w:pPr>
            <w:r>
              <w:rPr>
                <w:b/>
                <w:bCs/>
                <w:sz w:val="18"/>
                <w:szCs w:val="18"/>
              </w:rPr>
              <w:t>December 31, </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b/>
                <w:bCs/>
                <w:sz w:val="18"/>
                <w:szCs w:val="18"/>
              </w:rPr>
              <w:t>    </w:t>
            </w:r>
          </w:p>
        </w:tc>
        <w:tc>
          <w:tcPr>
            <w:tcW w:w="637"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8"/>
                <w:szCs w:val="18"/>
              </w:rPr>
            </w:pPr>
            <w:r>
              <w:rPr>
                <w:b/>
                <w:bCs/>
                <w:sz w:val="18"/>
                <w:szCs w:val="18"/>
              </w:rPr>
              <w:t>2021</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b/>
                <w:bCs/>
                <w:sz w:val="18"/>
                <w:szCs w:val="18"/>
              </w:rPr>
              <w:t>    </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8"/>
                <w:szCs w:val="18"/>
              </w:rPr>
            </w:pPr>
            <w:r>
              <w:rPr>
                <w:b/>
                <w:bCs/>
                <w:sz w:val="18"/>
                <w:szCs w:val="18"/>
              </w:rPr>
              <w:t>2020</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b/>
                <w:bCs/>
                <w:sz w:val="18"/>
                <w:szCs w:val="18"/>
              </w:rPr>
              <w:t>ASSETS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b/>
                <w:bCs/>
                <w:sz w:val="18"/>
                <w:szCs w:val="18"/>
              </w:rPr>
              <w:t>Current Assets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Cash and cash equivalents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78,229</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67,329</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Short-term investments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426,181</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562,108</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Prepaid expenses and other assets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3,546</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6,663</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b/>
                <w:bCs/>
                <w:sz w:val="18"/>
                <w:szCs w:val="18"/>
              </w:rPr>
              <w:t>Total Current Assets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507,956</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636,100</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Property and equipment, net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100,938</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59,159</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Operating lease right-of-use assets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68,983</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54,756</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Long-term investments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91,588</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Restricted cash</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6,084</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5,525</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Long-term assets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1,784</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12,918</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b/>
                <w:bCs/>
                <w:sz w:val="18"/>
                <w:szCs w:val="18"/>
              </w:rPr>
              <w:t>Total Assets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777,333</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w:t>
            </w:r>
          </w:p>
        </w:tc>
        <w:tc>
          <w:tcPr>
            <w:tcW w:w="525"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768,458</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b/>
                <w:bCs/>
                <w:sz w:val="18"/>
                <w:szCs w:val="18"/>
              </w:rPr>
              <w:t>LIABILITIES AND STOCKHOLDERS’ EQUITY</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b/>
                <w:bCs/>
                <w:sz w:val="18"/>
                <w:szCs w:val="18"/>
              </w:rPr>
              <w:t>Current Liabilities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Accounts payable</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27,377</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13,513</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Accrued expenses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56,766</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35,074</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Operating lease liabilities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5,057</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6,284</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b/>
                <w:bCs/>
                <w:sz w:val="18"/>
                <w:szCs w:val="18"/>
              </w:rPr>
              <w:t>Total Current Liabilities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89,200</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54,871</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b/>
                <w:bCs/>
                <w:sz w:val="18"/>
                <w:szCs w:val="18"/>
              </w:rPr>
              <w:t>Non-Current Liabilities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Operating lease liabilities – noncurrent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65,474</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45,375</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Long-term note payable</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1,000</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sz w:val="18"/>
                <w:szCs w:val="18"/>
              </w:rPr>
              <w:t>Other liabilities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11,714</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b/>
                <w:bCs/>
                <w:sz w:val="18"/>
                <w:szCs w:val="18"/>
              </w:rPr>
              <w:t>Total Non-Current Liabilities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66,474</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57,089</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18"/>
                <w:szCs w:val="18"/>
              </w:rPr>
            </w:pPr>
            <w:r>
              <w:rPr>
                <w:b/>
                <w:bCs/>
                <w:sz w:val="18"/>
                <w:szCs w:val="18"/>
              </w:rPr>
              <w:t>Total Liabilities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155,674</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111,960</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b/>
                <w:bCs/>
                <w:sz w:val="18"/>
                <w:szCs w:val="18"/>
              </w:rPr>
              <w:t xml:space="preserve">Commitments and contingencies </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b/>
                <w:bCs/>
                <w:sz w:val="18"/>
                <w:szCs w:val="18"/>
              </w:rPr>
              <w:t>Stockholders’ Equity</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  </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8"/>
                <w:szCs w:val="18"/>
              </w:rPr>
            </w:pPr>
            <w:r>
              <w:rPr>
                <w:sz w:val="18"/>
                <w:szCs w:val="18"/>
              </w:rPr>
              <w:t xml:space="preserve">Series A Convertible Preferred stock, $0.001 par value; 17,000 shares designated, 194 shares issued and outstanding as of December 31, 2021 and December 31, 2020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18"/>
                <w:szCs w:val="18"/>
              </w:rPr>
              <w:t>Series B Convertible Preferred stock, $0.001 par value; 11,500,000 shares designated, 2,842,158 and</w:t>
            </w:r>
            <w:r>
              <w:rPr>
                <w:sz w:val="18"/>
                <w:szCs w:val="18"/>
              </w:rPr>
              <w:t xml:space="preserve"> </w:t>
            </w:r>
            <w:r>
              <w:rPr>
                <w:sz w:val="18"/>
                <w:szCs w:val="18"/>
              </w:rPr>
              <w:t>3,581,11</w:t>
            </w:r>
            <w:r>
              <w:rPr>
                <w:sz w:val="18"/>
                <w:szCs w:val="18"/>
              </w:rPr>
              <w:t>9</w:t>
            </w:r>
            <w:r>
              <w:rPr>
                <w:sz w:val="18"/>
                <w:szCs w:val="18"/>
              </w:rPr>
              <w:t xml:space="preserve">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December 31,</w:t>
            </w:r>
            <w:r>
              <w:rPr>
                <w:sz w:val="18"/>
                <w:szCs w:val="18"/>
              </w:rPr>
              <w:t> </w:t>
            </w:r>
            <w:r>
              <w:rPr>
                <w:sz w:val="18"/>
                <w:szCs w:val="18"/>
              </w:rPr>
              <w:t>2021 and December 31, 202</w:t>
            </w:r>
            <w:r>
              <w:rPr>
                <w:sz w:val="18"/>
                <w:szCs w:val="18"/>
              </w:rPr>
              <w:t>0</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3</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4</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18"/>
                <w:szCs w:val="18"/>
              </w:rPr>
              <w:t xml:space="preserve">Common stock, $0.000041666 par value; 300,000,000 shares </w:t>
            </w:r>
            <w:r>
              <w:rPr>
                <w:sz w:val="18"/>
                <w:szCs w:val="18"/>
              </w:rPr>
              <w:t>authorized, 157,004,742 and 146,874,917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December 31, 2021 and December 31, 2020, respectively</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7</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8"/>
                <w:szCs w:val="18"/>
              </w:rPr>
            </w:pPr>
            <w:r>
              <w:rPr>
                <w:sz w:val="18"/>
                <w:szCs w:val="18"/>
              </w:rPr>
              <w:t>Accumulated other comprehensive (loss) income</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(601)</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19</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8"/>
                <w:szCs w:val="18"/>
              </w:rPr>
            </w:pPr>
            <w:r>
              <w:rPr>
                <w:sz w:val="18"/>
                <w:szCs w:val="18"/>
              </w:rPr>
              <w:t>Additional paid-in capital</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1,794,695</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1,486,662</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8"/>
                <w:szCs w:val="18"/>
              </w:rPr>
            </w:pPr>
            <w:r>
              <w:rPr>
                <w:sz w:val="18"/>
                <w:szCs w:val="18"/>
              </w:rPr>
              <w:t>Accumulated deficit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(1,172,445)</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8"/>
                <w:szCs w:val="18"/>
              </w:rPr>
            </w:pPr>
            <w:r>
              <w:rPr>
                <w:sz w:val="18"/>
                <w:szCs w:val="18"/>
              </w:rPr>
              <w:t>(830,193)</w:t>
            </w:r>
          </w:p>
        </w:tc>
      </w:tr>
      <w:tr w:rsidR="00000000">
        <w:trPr>
          <w:divId w:val="1064719265"/>
        </w:trPr>
        <w:tc>
          <w:tcPr>
            <w:tcW w:w="3542"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8"/>
                <w:szCs w:val="18"/>
              </w:rPr>
            </w:pPr>
            <w:r>
              <w:rPr>
                <w:b/>
                <w:bCs/>
                <w:sz w:val="18"/>
                <w:szCs w:val="18"/>
              </w:rPr>
              <w:t>Total Stockholders’ Equity</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621,659</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656,498</w:t>
            </w:r>
          </w:p>
        </w:tc>
      </w:tr>
      <w:tr w:rsidR="00000000">
        <w:trPr>
          <w:divId w:val="1064719265"/>
        </w:trPr>
        <w:tc>
          <w:tcPr>
            <w:tcW w:w="354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8"/>
                <w:szCs w:val="18"/>
              </w:rPr>
            </w:pPr>
            <w:r>
              <w:rPr>
                <w:b/>
                <w:bCs/>
                <w:sz w:val="18"/>
                <w:szCs w:val="18"/>
              </w:rPr>
              <w:t>Total Liabilities and Stockholders’ Equity</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w:t>
            </w:r>
          </w:p>
        </w:tc>
        <w:tc>
          <w:tcPr>
            <w:tcW w:w="5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777,333</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8"/>
                <w:szCs w:val="18"/>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8"/>
                <w:szCs w:val="18"/>
              </w:rPr>
            </w:pPr>
            <w:r>
              <w:rPr>
                <w:sz w:val="18"/>
                <w:szCs w:val="18"/>
              </w:rPr>
              <w:t>$</w:t>
            </w:r>
          </w:p>
        </w:tc>
        <w:tc>
          <w:tcPr>
            <w:tcW w:w="5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18"/>
                <w:szCs w:val="18"/>
              </w:rPr>
            </w:pPr>
            <w:r>
              <w:rPr>
                <w:sz w:val="18"/>
                <w:szCs w:val="18"/>
              </w:rPr>
              <w:t>768,458</w:t>
            </w:r>
          </w:p>
        </w:tc>
      </w:tr>
    </w:tbl>
    <w:p w:rsidR="00000000" w:rsidRDefault="00F22B2C">
      <w:pPr>
        <w:pStyle w:val="a3"/>
        <w:spacing w:before="0" w:beforeAutospacing="0" w:after="0" w:afterAutospacing="0"/>
        <w:divId w:val="1064719265"/>
        <w:rPr>
          <w:sz w:val="20"/>
          <w:szCs w:val="20"/>
        </w:rPr>
      </w:pPr>
      <w:r>
        <w:rPr>
          <w:sz w:val="20"/>
          <w:szCs w:val="20"/>
        </w:rPr>
        <w:t>​</w:t>
      </w:r>
    </w:p>
    <w:p w:rsidR="00000000" w:rsidRDefault="00F22B2C">
      <w:pPr>
        <w:pStyle w:val="a3"/>
        <w:spacing w:before="0" w:beforeAutospacing="0" w:after="0" w:afterAutospacing="0"/>
        <w:ind w:firstLine="547"/>
        <w:jc w:val="center"/>
        <w:divId w:val="1064719265"/>
        <w:rPr>
          <w:sz w:val="20"/>
          <w:szCs w:val="20"/>
        </w:rPr>
      </w:pPr>
      <w:r>
        <w:rPr>
          <w:sz w:val="20"/>
          <w:szCs w:val="20"/>
        </w:rPr>
        <w:t>The accompanying notes are an integral part of these consolidated financial statements.</w:t>
      </w:r>
    </w:p>
    <w:p w:rsidR="00000000" w:rsidRDefault="00F22B2C">
      <w:pPr>
        <w:pStyle w:val="a3"/>
        <w:spacing w:before="0" w:beforeAutospacing="0" w:after="0" w:afterAutospacing="0"/>
        <w:divId w:val="1064719265"/>
        <w:rPr>
          <w:sz w:val="20"/>
          <w:szCs w:val="20"/>
        </w:rPr>
      </w:pPr>
      <w:r>
        <w:rPr>
          <w:sz w:val="20"/>
          <w:szCs w:val="20"/>
        </w:rPr>
        <w:t>​</w:t>
      </w:r>
    </w:p>
    <w:p w:rsidR="00000000" w:rsidRDefault="00F22B2C">
      <w:pPr>
        <w:pStyle w:val="a3"/>
        <w:spacing w:before="480" w:beforeAutospacing="0" w:after="0" w:afterAutospacing="0"/>
        <w:jc w:val="center"/>
        <w:divId w:val="2026394115"/>
        <w:rPr>
          <w:sz w:val="20"/>
          <w:szCs w:val="20"/>
        </w:rPr>
      </w:pPr>
      <w:r>
        <w:rPr>
          <w:sz w:val="20"/>
          <w:szCs w:val="20"/>
        </w:rPr>
        <w:t>F-7</w:t>
      </w:r>
    </w:p>
    <w:p w:rsidR="00000000" w:rsidRDefault="00F22B2C">
      <w:pPr>
        <w:pStyle w:val="a3"/>
        <w:spacing w:before="0" w:beforeAutospacing="0" w:after="600" w:afterAutospacing="0"/>
        <w:divId w:val="1835801685"/>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102335027"/>
        <w:rPr>
          <w:b/>
          <w:bCs/>
          <w:sz w:val="20"/>
          <w:szCs w:val="20"/>
        </w:rPr>
      </w:pPr>
      <w:r>
        <w:rPr>
          <w:b/>
          <w:bCs/>
          <w:sz w:val="20"/>
          <w:szCs w:val="20"/>
        </w:rPr>
        <w:t>IOVANCE BIOTHERAPEUTICS, INC.</w:t>
      </w:r>
    </w:p>
    <w:p w:rsidR="00000000" w:rsidRDefault="00F22B2C">
      <w:pPr>
        <w:pStyle w:val="a3"/>
        <w:spacing w:before="0" w:beforeAutospacing="0" w:after="0" w:afterAutospacing="0"/>
        <w:jc w:val="center"/>
        <w:divId w:val="1102335027"/>
        <w:rPr>
          <w:sz w:val="20"/>
          <w:szCs w:val="20"/>
        </w:rPr>
      </w:pPr>
      <w:r>
        <w:rPr>
          <w:b/>
          <w:bCs/>
          <w:sz w:val="20"/>
          <w:szCs w:val="20"/>
        </w:rPr>
        <w:t>Consolidated Statements of Operations</w:t>
      </w:r>
    </w:p>
    <w:p w:rsidR="00000000" w:rsidRDefault="00F22B2C">
      <w:pPr>
        <w:pStyle w:val="a3"/>
        <w:spacing w:before="0" w:beforeAutospacing="0" w:after="0" w:afterAutospacing="0"/>
        <w:jc w:val="center"/>
        <w:divId w:val="1102335027"/>
        <w:rPr>
          <w:sz w:val="20"/>
          <w:szCs w:val="20"/>
        </w:rPr>
      </w:pPr>
      <w:r>
        <w:rPr>
          <w:b/>
          <w:bCs/>
          <w:sz w:val="20"/>
          <w:szCs w:val="20"/>
        </w:rPr>
        <w:t>(In thousands, except per share information)</w:t>
      </w:r>
    </w:p>
    <w:p w:rsidR="00000000" w:rsidRDefault="00F22B2C">
      <w:pPr>
        <w:pStyle w:val="a3"/>
        <w:spacing w:before="0" w:beforeAutospacing="0" w:after="0" w:afterAutospacing="0"/>
        <w:jc w:val="center"/>
        <w:divId w:val="110233502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53"/>
        <w:gridCol w:w="160"/>
        <w:gridCol w:w="124"/>
        <w:gridCol w:w="804"/>
        <w:gridCol w:w="201"/>
        <w:gridCol w:w="125"/>
        <w:gridCol w:w="804"/>
        <w:gridCol w:w="201"/>
        <w:gridCol w:w="125"/>
        <w:gridCol w:w="809"/>
      </w:tblGrid>
      <w:tr w:rsidR="00000000">
        <w:trPr>
          <w:divId w:val="1102335027"/>
          <w:trHeight w:val="20"/>
        </w:trPr>
        <w:tc>
          <w:tcPr>
            <w:tcW w:w="2983" w:type="pct"/>
            <w:tcMar>
              <w:top w:w="0" w:type="dxa"/>
              <w:left w:w="0" w:type="dxa"/>
              <w:bottom w:w="0" w:type="dxa"/>
              <w:right w:w="0" w:type="dxa"/>
            </w:tcMar>
            <w:vAlign w:val="bottom"/>
            <w:hideMark/>
          </w:tcPr>
          <w:p w:rsidR="00000000" w:rsidRDefault="00F22B2C">
            <w:pPr>
              <w:pStyle w:val="a3"/>
              <w:spacing w:before="0" w:beforeAutospacing="0" w:after="1" w:afterAutospacing="0"/>
              <w:divId w:val="174583271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10896137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508593178"/>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492719"/>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69738401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32540455"/>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20177495"/>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2858539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1261951"/>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978731491"/>
              <w:rPr>
                <w:sz w:val="20"/>
                <w:szCs w:val="20"/>
              </w:rPr>
            </w:pPr>
            <w:r>
              <w:rPr>
                <w:sz w:val="2"/>
                <w:szCs w:val="2"/>
              </w:rPr>
              <w:t>​</w:t>
            </w:r>
          </w:p>
        </w:tc>
      </w:tr>
      <w:tr w:rsidR="00000000">
        <w:trPr>
          <w:divId w:val="1102335027"/>
        </w:trPr>
        <w:tc>
          <w:tcPr>
            <w:tcW w:w="298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938" w:type="pct"/>
            <w:gridSpan w:val="8"/>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Years Ended December 31, </w:t>
            </w:r>
          </w:p>
        </w:tc>
      </w:tr>
      <w:tr w:rsidR="00000000">
        <w:trPr>
          <w:divId w:val="1102335027"/>
        </w:trPr>
        <w:tc>
          <w:tcPr>
            <w:tcW w:w="2983"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2019</w:t>
            </w:r>
          </w:p>
        </w:tc>
      </w:tr>
      <w:tr w:rsidR="00000000">
        <w:trPr>
          <w:divId w:val="1102335027"/>
        </w:trPr>
        <w:tc>
          <w:tcPr>
            <w:tcW w:w="298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Costs and expenses</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1102335027"/>
        </w:trPr>
        <w:tc>
          <w:tcPr>
            <w:tcW w:w="298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 xml:space="preserve">Research and development </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259,039</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201,727</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166,023</w:t>
            </w:r>
          </w:p>
        </w:tc>
      </w:tr>
      <w:tr w:rsidR="00000000">
        <w:trPr>
          <w:divId w:val="1102335027"/>
        </w:trPr>
        <w:tc>
          <w:tcPr>
            <w:tcW w:w="298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 xml:space="preserve">General and administrative </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83,664</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60,210</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40,849</w:t>
            </w:r>
          </w:p>
        </w:tc>
      </w:tr>
      <w:tr w:rsidR="00000000">
        <w:trPr>
          <w:divId w:val="1102335027"/>
        </w:trPr>
        <w:tc>
          <w:tcPr>
            <w:tcW w:w="2983" w:type="pct"/>
            <w:tcMar>
              <w:top w:w="0" w:type="dxa"/>
              <w:left w:w="0" w:type="dxa"/>
              <w:bottom w:w="0" w:type="dxa"/>
              <w:right w:w="0" w:type="dxa"/>
            </w:tcMar>
            <w:vAlign w:val="bottom"/>
            <w:hideMark/>
          </w:tcPr>
          <w:p w:rsidR="00000000" w:rsidRDefault="00F22B2C">
            <w:pPr>
              <w:pStyle w:val="a3"/>
              <w:spacing w:before="0" w:beforeAutospacing="0" w:after="1" w:afterAutospacing="0"/>
              <w:ind w:left="240"/>
              <w:rPr>
                <w:sz w:val="20"/>
                <w:szCs w:val="20"/>
              </w:rPr>
            </w:pPr>
            <w:r>
              <w:rPr>
                <w:sz w:val="20"/>
                <w:szCs w:val="20"/>
              </w:rPr>
              <w:t>Total costs and expenses</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342,703</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261,937</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206,872</w:t>
            </w:r>
          </w:p>
        </w:tc>
      </w:tr>
      <w:tr w:rsidR="00000000">
        <w:trPr>
          <w:divId w:val="1102335027"/>
        </w:trPr>
        <w:tc>
          <w:tcPr>
            <w:tcW w:w="298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1102335027"/>
        </w:trPr>
        <w:tc>
          <w:tcPr>
            <w:tcW w:w="298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Loss from operations</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(342,703)</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(261,937)</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(206,872)</w:t>
            </w:r>
          </w:p>
        </w:tc>
      </w:tr>
      <w:tr w:rsidR="00000000">
        <w:trPr>
          <w:divId w:val="1102335027"/>
        </w:trPr>
        <w:tc>
          <w:tcPr>
            <w:tcW w:w="298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Other income</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1102335027"/>
        </w:trPr>
        <w:tc>
          <w:tcPr>
            <w:tcW w:w="298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Interest income, net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451</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2,356</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9,316</w:t>
            </w:r>
          </w:p>
        </w:tc>
      </w:tr>
      <w:tr w:rsidR="00000000">
        <w:trPr>
          <w:divId w:val="1102335027"/>
        </w:trPr>
        <w:tc>
          <w:tcPr>
            <w:tcW w:w="298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Net Loss</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(342,252)</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(259,581)</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(197,556)</w:t>
            </w:r>
          </w:p>
        </w:tc>
      </w:tr>
      <w:tr w:rsidR="00000000">
        <w:trPr>
          <w:divId w:val="1102335027"/>
        </w:trPr>
        <w:tc>
          <w:tcPr>
            <w:tcW w:w="298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Net Loss Per Share of Common Stock, Basic and Diluted</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(2.23)</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(1.88)</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(1.59)</w:t>
            </w:r>
          </w:p>
        </w:tc>
      </w:tr>
      <w:tr w:rsidR="00000000">
        <w:trPr>
          <w:divId w:val="1102335027"/>
        </w:trPr>
        <w:tc>
          <w:tcPr>
            <w:tcW w:w="298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Weighted Average Shares of Common Stock Outstanding, Basic and Diluted</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153,406</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138,301</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124,336</w:t>
            </w:r>
          </w:p>
        </w:tc>
      </w:tr>
    </w:tbl>
    <w:p w:rsidR="00000000" w:rsidRDefault="00F22B2C">
      <w:pPr>
        <w:pStyle w:val="a3"/>
        <w:spacing w:before="0" w:beforeAutospacing="0" w:after="0" w:afterAutospacing="0"/>
        <w:divId w:val="1102335027"/>
        <w:rPr>
          <w:sz w:val="20"/>
          <w:szCs w:val="20"/>
        </w:rPr>
      </w:pPr>
      <w:r>
        <w:rPr>
          <w:sz w:val="20"/>
          <w:szCs w:val="20"/>
        </w:rPr>
        <w:t>​</w:t>
      </w:r>
    </w:p>
    <w:p w:rsidR="00000000" w:rsidRDefault="00F22B2C">
      <w:pPr>
        <w:pStyle w:val="a3"/>
        <w:spacing w:before="0" w:beforeAutospacing="0" w:after="0" w:afterAutospacing="0"/>
        <w:ind w:firstLine="547"/>
        <w:jc w:val="center"/>
        <w:divId w:val="1102335027"/>
        <w:rPr>
          <w:sz w:val="20"/>
          <w:szCs w:val="20"/>
        </w:rPr>
      </w:pPr>
      <w:r>
        <w:rPr>
          <w:sz w:val="20"/>
          <w:szCs w:val="20"/>
        </w:rPr>
        <w:t>The accompanying notes are an integral part of these consolidated financial statements.</w:t>
      </w:r>
    </w:p>
    <w:p w:rsidR="00000000" w:rsidRDefault="00F22B2C">
      <w:pPr>
        <w:pStyle w:val="a3"/>
        <w:spacing w:before="0" w:beforeAutospacing="0" w:after="0" w:afterAutospacing="0"/>
        <w:divId w:val="1102335027"/>
        <w:rPr>
          <w:sz w:val="20"/>
          <w:szCs w:val="20"/>
        </w:rPr>
      </w:pPr>
      <w:r>
        <w:rPr>
          <w:sz w:val="20"/>
          <w:szCs w:val="20"/>
        </w:rPr>
        <w:t>​</w:t>
      </w:r>
    </w:p>
    <w:p w:rsidR="00000000" w:rsidRDefault="00F22B2C">
      <w:pPr>
        <w:pStyle w:val="a3"/>
        <w:spacing w:before="480" w:beforeAutospacing="0" w:after="0" w:afterAutospacing="0"/>
        <w:jc w:val="center"/>
        <w:divId w:val="1888905967"/>
        <w:rPr>
          <w:sz w:val="20"/>
          <w:szCs w:val="20"/>
        </w:rPr>
      </w:pPr>
      <w:r>
        <w:rPr>
          <w:sz w:val="20"/>
          <w:szCs w:val="20"/>
        </w:rPr>
        <w:t>F-8</w:t>
      </w:r>
    </w:p>
    <w:p w:rsidR="00000000" w:rsidRDefault="00F22B2C">
      <w:pPr>
        <w:pStyle w:val="a3"/>
        <w:spacing w:before="0" w:beforeAutospacing="0" w:after="600" w:afterAutospacing="0"/>
        <w:divId w:val="792359459"/>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239992840"/>
        <w:rPr>
          <w:b/>
          <w:bCs/>
          <w:sz w:val="20"/>
          <w:szCs w:val="20"/>
        </w:rPr>
      </w:pPr>
      <w:r>
        <w:rPr>
          <w:b/>
          <w:bCs/>
          <w:sz w:val="20"/>
          <w:szCs w:val="20"/>
        </w:rPr>
        <w:t>IOVANCE BIOTHERAPEUTICS, INC.</w:t>
      </w:r>
    </w:p>
    <w:p w:rsidR="00000000" w:rsidRDefault="00F22B2C">
      <w:pPr>
        <w:pStyle w:val="a3"/>
        <w:spacing w:before="0" w:beforeAutospacing="0" w:after="0" w:afterAutospacing="0"/>
        <w:jc w:val="center"/>
        <w:divId w:val="239992840"/>
        <w:rPr>
          <w:sz w:val="20"/>
          <w:szCs w:val="20"/>
        </w:rPr>
      </w:pPr>
      <w:r>
        <w:rPr>
          <w:b/>
          <w:bCs/>
          <w:sz w:val="20"/>
          <w:szCs w:val="20"/>
        </w:rPr>
        <w:t>Consolidated Statements of Comprehensive Loss</w:t>
      </w:r>
    </w:p>
    <w:p w:rsidR="00000000" w:rsidRDefault="00F22B2C">
      <w:pPr>
        <w:pStyle w:val="a3"/>
        <w:spacing w:before="0" w:beforeAutospacing="0" w:after="0" w:afterAutospacing="0"/>
        <w:jc w:val="center"/>
        <w:divId w:val="239992840"/>
        <w:rPr>
          <w:sz w:val="20"/>
          <w:szCs w:val="20"/>
        </w:rPr>
      </w:pPr>
      <w:r>
        <w:rPr>
          <w:b/>
          <w:bCs/>
          <w:sz w:val="20"/>
          <w:szCs w:val="20"/>
        </w:rPr>
        <w:t>(in thousands)</w:t>
      </w:r>
    </w:p>
    <w:p w:rsidR="00000000" w:rsidRDefault="00F22B2C">
      <w:pPr>
        <w:pStyle w:val="a3"/>
        <w:spacing w:before="0" w:beforeAutospacing="0" w:after="0" w:afterAutospacing="0"/>
        <w:jc w:val="center"/>
        <w:divId w:val="239992840"/>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26"/>
        <w:gridCol w:w="14"/>
        <w:gridCol w:w="131"/>
        <w:gridCol w:w="819"/>
        <w:gridCol w:w="208"/>
        <w:gridCol w:w="131"/>
        <w:gridCol w:w="819"/>
        <w:gridCol w:w="208"/>
        <w:gridCol w:w="131"/>
        <w:gridCol w:w="819"/>
      </w:tblGrid>
      <w:tr w:rsidR="00000000">
        <w:trPr>
          <w:divId w:val="239992840"/>
          <w:trHeight w:val="20"/>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divId w:val="1573001713"/>
              <w:rPr>
                <w:sz w:val="20"/>
                <w:szCs w:val="20"/>
              </w:rPr>
            </w:pPr>
            <w:r>
              <w:rPr>
                <w:sz w:val="2"/>
                <w:szCs w:val="2"/>
              </w:rPr>
              <w:t>​</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1066284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21569477"/>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03986023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3071029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086535587"/>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3439194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8877332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10196580"/>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16047252"/>
              <w:rPr>
                <w:sz w:val="20"/>
                <w:szCs w:val="20"/>
              </w:rPr>
            </w:pPr>
            <w:r>
              <w:rPr>
                <w:sz w:val="2"/>
                <w:szCs w:val="2"/>
              </w:rPr>
              <w:t>​</w:t>
            </w:r>
          </w:p>
        </w:tc>
      </w:tr>
      <w:tr w:rsidR="00000000">
        <w:trPr>
          <w:divId w:val="239992840"/>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r>
      <w:tr w:rsidR="00000000">
        <w:trPr>
          <w:divId w:val="239992840"/>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1966" w:type="pct"/>
            <w:gridSpan w:val="8"/>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Years Ended December 31, </w:t>
            </w:r>
          </w:p>
        </w:tc>
      </w:tr>
      <w:tr w:rsidR="00000000">
        <w:trPr>
          <w:divId w:val="239992840"/>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2019</w:t>
            </w:r>
          </w:p>
        </w:tc>
      </w:tr>
      <w:tr w:rsidR="00000000">
        <w:trPr>
          <w:divId w:val="239992840"/>
        </w:trPr>
        <w:tc>
          <w:tcPr>
            <w:tcW w:w="302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Net Loss</w:t>
            </w:r>
          </w:p>
        </w:tc>
        <w:tc>
          <w:tcPr>
            <w:tcW w:w="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(342,252)</w:t>
            </w:r>
          </w:p>
        </w:tc>
        <w:tc>
          <w:tcPr>
            <w:tcW w:w="1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(259,581)</w:t>
            </w:r>
          </w:p>
        </w:tc>
        <w:tc>
          <w:tcPr>
            <w:tcW w:w="1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(197,556)</w:t>
            </w:r>
          </w:p>
        </w:tc>
      </w:tr>
      <w:tr w:rsidR="00000000">
        <w:trPr>
          <w:divId w:val="239992840"/>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Other comprehensive loss / (gain):</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239992840"/>
        </w:trPr>
        <w:tc>
          <w:tcPr>
            <w:tcW w:w="302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Unrealized loss / (gain) on short-term investments</w:t>
            </w:r>
          </w:p>
        </w:tc>
        <w:tc>
          <w:tcPr>
            <w:tcW w:w="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(620)</w:t>
            </w:r>
          </w:p>
        </w:tc>
        <w:tc>
          <w:tcPr>
            <w:tcW w:w="1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(201)</w:t>
            </w:r>
          </w:p>
        </w:tc>
        <w:tc>
          <w:tcPr>
            <w:tcW w:w="1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262</w:t>
            </w:r>
          </w:p>
        </w:tc>
      </w:tr>
      <w:tr w:rsidR="00000000">
        <w:trPr>
          <w:divId w:val="239992840"/>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Comprehensive Loss</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(342,872)</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(259,782)</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(197,294)</w:t>
            </w:r>
          </w:p>
        </w:tc>
      </w:tr>
    </w:tbl>
    <w:p w:rsidR="00000000" w:rsidRDefault="00F22B2C">
      <w:pPr>
        <w:pStyle w:val="a3"/>
        <w:spacing w:before="0" w:beforeAutospacing="0" w:after="0" w:afterAutospacing="0"/>
        <w:divId w:val="239992840"/>
        <w:rPr>
          <w:sz w:val="20"/>
          <w:szCs w:val="20"/>
        </w:rPr>
      </w:pPr>
      <w:r>
        <w:rPr>
          <w:sz w:val="20"/>
          <w:szCs w:val="20"/>
        </w:rPr>
        <w:t>​</w:t>
      </w:r>
    </w:p>
    <w:p w:rsidR="00000000" w:rsidRDefault="00F22B2C">
      <w:pPr>
        <w:pStyle w:val="a3"/>
        <w:spacing w:before="0" w:beforeAutospacing="0" w:after="0" w:afterAutospacing="0"/>
        <w:ind w:firstLine="547"/>
        <w:jc w:val="center"/>
        <w:divId w:val="239992840"/>
        <w:rPr>
          <w:sz w:val="20"/>
          <w:szCs w:val="20"/>
        </w:rPr>
      </w:pPr>
      <w:r>
        <w:rPr>
          <w:sz w:val="20"/>
          <w:szCs w:val="20"/>
        </w:rPr>
        <w:t>The accompanying notes are an integral part of these consolidated financial statements.</w:t>
      </w:r>
    </w:p>
    <w:p w:rsidR="00000000" w:rsidRDefault="00F22B2C">
      <w:pPr>
        <w:pStyle w:val="a3"/>
        <w:spacing w:before="0" w:beforeAutospacing="0" w:after="0" w:afterAutospacing="0" w:line="0" w:lineRule="atLeast"/>
        <w:divId w:val="239992840"/>
        <w:rPr>
          <w:vanish/>
        </w:rPr>
      </w:pPr>
      <w:r>
        <w:rPr>
          <w:vanish/>
          <w:sz w:val="2"/>
          <w:szCs w:val="2"/>
        </w:rPr>
        <w:t>​</w:t>
      </w:r>
    </w:p>
    <w:p w:rsidR="00000000" w:rsidRDefault="00F22B2C">
      <w:pPr>
        <w:pStyle w:val="a3"/>
        <w:spacing w:before="480" w:beforeAutospacing="0" w:after="0" w:afterAutospacing="0"/>
        <w:jc w:val="center"/>
        <w:divId w:val="997224447"/>
        <w:rPr>
          <w:sz w:val="20"/>
          <w:szCs w:val="20"/>
        </w:rPr>
      </w:pPr>
      <w:r>
        <w:rPr>
          <w:sz w:val="20"/>
          <w:szCs w:val="20"/>
        </w:rPr>
        <w:t>F-9</w:t>
      </w:r>
    </w:p>
    <w:p w:rsidR="00000000" w:rsidRDefault="00F22B2C">
      <w:pPr>
        <w:pStyle w:val="a3"/>
        <w:spacing w:before="0" w:beforeAutospacing="0" w:after="600" w:afterAutospacing="0"/>
        <w:divId w:val="190077087"/>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357899064"/>
        <w:rPr>
          <w:b/>
          <w:bCs/>
          <w:sz w:val="20"/>
          <w:szCs w:val="20"/>
        </w:rPr>
      </w:pPr>
      <w:r>
        <w:rPr>
          <w:b/>
          <w:bCs/>
          <w:sz w:val="20"/>
          <w:szCs w:val="20"/>
        </w:rPr>
        <w:t>IOVANCE BIOTHERAPEUTICS, INC.</w:t>
      </w:r>
    </w:p>
    <w:p w:rsidR="00000000" w:rsidRDefault="00F22B2C">
      <w:pPr>
        <w:pStyle w:val="a3"/>
        <w:spacing w:before="0" w:beforeAutospacing="0" w:after="0" w:afterAutospacing="0"/>
        <w:jc w:val="center"/>
        <w:divId w:val="357899064"/>
        <w:rPr>
          <w:sz w:val="20"/>
          <w:szCs w:val="20"/>
        </w:rPr>
      </w:pPr>
      <w:r>
        <w:rPr>
          <w:b/>
          <w:bCs/>
          <w:sz w:val="20"/>
          <w:szCs w:val="20"/>
        </w:rPr>
        <w:t>Consolidated Statements of Stockholders' Equity</w:t>
      </w:r>
    </w:p>
    <w:p w:rsidR="00000000" w:rsidRDefault="00F22B2C">
      <w:pPr>
        <w:pStyle w:val="a3"/>
        <w:spacing w:before="0" w:beforeAutospacing="0" w:after="0" w:afterAutospacing="0"/>
        <w:jc w:val="center"/>
        <w:divId w:val="357899064"/>
        <w:rPr>
          <w:sz w:val="20"/>
          <w:szCs w:val="20"/>
        </w:rPr>
      </w:pPr>
      <w:r>
        <w:rPr>
          <w:b/>
          <w:bCs/>
          <w:sz w:val="20"/>
          <w:szCs w:val="20"/>
        </w:rPr>
        <w:t>(In thousands, except share information)</w:t>
      </w:r>
    </w:p>
    <w:p w:rsidR="00000000" w:rsidRDefault="00F22B2C">
      <w:pPr>
        <w:pStyle w:val="a3"/>
        <w:spacing w:before="0" w:beforeAutospacing="0" w:after="0" w:afterAutospacing="0"/>
        <w:jc w:val="center"/>
        <w:divId w:val="35789906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132"/>
        <w:gridCol w:w="140"/>
        <w:gridCol w:w="406"/>
        <w:gridCol w:w="141"/>
        <w:gridCol w:w="71"/>
        <w:gridCol w:w="421"/>
        <w:gridCol w:w="140"/>
        <w:gridCol w:w="655"/>
        <w:gridCol w:w="141"/>
        <w:gridCol w:w="81"/>
        <w:gridCol w:w="423"/>
        <w:gridCol w:w="140"/>
        <w:gridCol w:w="745"/>
        <w:gridCol w:w="140"/>
        <w:gridCol w:w="71"/>
        <w:gridCol w:w="430"/>
        <w:gridCol w:w="140"/>
        <w:gridCol w:w="70"/>
        <w:gridCol w:w="605"/>
        <w:gridCol w:w="140"/>
        <w:gridCol w:w="135"/>
        <w:gridCol w:w="799"/>
        <w:gridCol w:w="140"/>
        <w:gridCol w:w="117"/>
        <w:gridCol w:w="677"/>
        <w:gridCol w:w="140"/>
        <w:gridCol w:w="100"/>
        <w:gridCol w:w="624"/>
      </w:tblGrid>
      <w:tr w:rsidR="00000000">
        <w:trPr>
          <w:divId w:val="357899064"/>
          <w:trHeight w:val="20"/>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divId w:val="204671369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86517925"/>
              <w:rPr>
                <w:sz w:val="20"/>
                <w:szCs w:val="20"/>
              </w:rPr>
            </w:pPr>
            <w:r>
              <w:rPr>
                <w:sz w:val="2"/>
                <w:szCs w:val="2"/>
              </w:rPr>
              <w:t>​</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62361503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2559814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75165974"/>
              <w:rPr>
                <w:sz w:val="20"/>
                <w:szCs w:val="20"/>
              </w:rPr>
            </w:pPr>
            <w:r>
              <w:rPr>
                <w:sz w:val="2"/>
                <w:szCs w:val="2"/>
              </w:rPr>
              <w:t>​</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6001265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86433746"/>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21165018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55605391"/>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275670994"/>
              <w:rPr>
                <w:sz w:val="20"/>
                <w:szCs w:val="20"/>
              </w:rPr>
            </w:pPr>
            <w:r>
              <w:rPr>
                <w:sz w:val="2"/>
                <w:szCs w:val="2"/>
              </w:rPr>
              <w:t>​</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4498995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913315724"/>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3303501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73692183"/>
              <w:rPr>
                <w:sz w:val="20"/>
                <w:szCs w:val="20"/>
              </w:rPr>
            </w:pPr>
            <w:r>
              <w:rPr>
                <w:sz w:val="2"/>
                <w:szCs w:val="2"/>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14487656"/>
              <w:rPr>
                <w:sz w:val="20"/>
                <w:szCs w:val="20"/>
              </w:rPr>
            </w:pPr>
            <w:r>
              <w:rPr>
                <w:sz w:val="2"/>
                <w:szCs w:val="2"/>
              </w:rPr>
              <w:t>​</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2145837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21824309"/>
              <w:rPr>
                <w:sz w:val="20"/>
                <w:szCs w:val="20"/>
              </w:rPr>
            </w:pPr>
            <w:r>
              <w:rPr>
                <w:sz w:val="2"/>
                <w:szCs w:val="2"/>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67252758"/>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1202859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3963335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14579639"/>
              <w:rPr>
                <w:sz w:val="20"/>
                <w:szCs w:val="20"/>
              </w:rPr>
            </w:pPr>
            <w:r>
              <w:rPr>
                <w:sz w:val="2"/>
                <w:szCs w:val="2"/>
              </w:rPr>
              <w:t>​</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5771693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2205609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666661467"/>
              <w:rPr>
                <w:sz w:val="20"/>
                <w:szCs w:val="20"/>
              </w:rPr>
            </w:pPr>
            <w:r>
              <w:rPr>
                <w:sz w:val="2"/>
                <w:szCs w:val="2"/>
              </w:rPr>
              <w:t>​</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5153944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48208672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331568237"/>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35276388"/>
              <w:rPr>
                <w:sz w:val="20"/>
                <w:szCs w:val="20"/>
              </w:rPr>
            </w:pPr>
            <w:r>
              <w:rPr>
                <w:sz w:val="2"/>
                <w:szCs w:val="2"/>
              </w:rPr>
              <w:t>​</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551"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Series A </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661"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Series B Convertible</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328"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Additional</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43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Accumulated </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335"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Total</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551"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Preferred Stock</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661"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Preferred Stock</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699" w:type="pct"/>
            <w:gridSpan w:val="4"/>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Common Stock</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328"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Paid-In</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43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Comprehensive</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374"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Accumulated</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335"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Stockholder</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22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Shares</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260"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Amount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31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Shares</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27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Amount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Shares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27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Amount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328"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Capital</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Income (Loss)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374"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Deficit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335"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4"/>
                <w:szCs w:val="14"/>
              </w:rPr>
            </w:pPr>
            <w:r>
              <w:rPr>
                <w:b/>
                <w:bCs/>
                <w:sz w:val="14"/>
                <w:szCs w:val="14"/>
              </w:rPr>
              <w:t>Equity</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Balance - January 1, 2019</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194</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5,854,845</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6</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123,415,576</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5</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838,984</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(42)</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(372,760)</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466,193</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Adoption of ASU 2018-07</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296</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(296)</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Stock-based compensation expense</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24,277</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24,277</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Vesting of restricted shares issued for services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27,514</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4"/>
                <w:szCs w:val="14"/>
              </w:rPr>
              <w:t>​</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4"/>
                <w:szCs w:val="14"/>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4"/>
                <w:szCs w:val="14"/>
              </w:rPr>
              <w:t>​</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4"/>
                <w:szCs w:val="14"/>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4"/>
                <w:szCs w:val="14"/>
              </w:rPr>
              <w:t>​</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4"/>
                <w:szCs w:val="14"/>
              </w:rPr>
              <w:t>​</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4"/>
                <w:szCs w:val="14"/>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4"/>
                <w:szCs w:val="14"/>
              </w:rPr>
              <w:t>​</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Tax payments related to shares withheld for vested restricted stock units</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(312)</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(312)</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Common stock issued upon exercise of stock options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727,492</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6,443</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6,443</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Conversion of convertible preferred stock into common stock</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 </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(2,273,726)</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(2)</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2,273,726</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Unrealized gain on investments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262</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262</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Cancellation of common shares from settlement of dispute</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(32,500)</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(1)</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(335)</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(336)</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Net loss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(197,556)</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(197,556)</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Balance - December 31, 2019</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194</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3,581,119</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4</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126,411,808</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5</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869,354</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220</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(570,612)</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298,971</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Stock-based compensation expense</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40,775</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40,775</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Vesting of restricted stock shares issued for service</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13,449</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112</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112</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Tax payments related to shares withheld for vested restricted stock units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(284)</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(284)</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Common stock issued upon exercise of stock options</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973,854</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9,663</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9,663</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Common stock sold in public offering, net of offering costs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19,475,806</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567,042</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567,043</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Unrealized loss on investments</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(201)</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(201)</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Net loss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3"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3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(259,581)</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(259,581)</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Balance - December 31, 2020</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194</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3,581,119</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4</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146,874,917</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6</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1,486,662</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19</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(830,193)</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656,498</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Stock-based compensation expense</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69,765</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69,765</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Common stock issued upon purchase of employee stock purchase plan</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94,148</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1,586</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1,586</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Common stock issued upon exercise of stock options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2,822,617</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33,526</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33,526</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Common stock sold in public offering, net of offering costs</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6,474,099</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203,155</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203,156</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Common stock issued from preferred stock conversion</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(738,961)</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738,961</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Unrealized loss on investments</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(620)</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(620)</w:t>
            </w:r>
          </w:p>
        </w:tc>
      </w:tr>
      <w:tr w:rsidR="00000000">
        <w:trPr>
          <w:divId w:val="357899064"/>
        </w:trPr>
        <w:tc>
          <w:tcPr>
            <w:tcW w:w="1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14"/>
                <w:szCs w:val="14"/>
              </w:rPr>
            </w:pPr>
            <w:r>
              <w:rPr>
                <w:sz w:val="14"/>
                <w:szCs w:val="14"/>
              </w:rPr>
              <w:t>Net loss</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3"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3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9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(342,252)</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(342,252)</w:t>
            </w:r>
          </w:p>
        </w:tc>
      </w:tr>
      <w:tr w:rsidR="00F22B2C">
        <w:trPr>
          <w:divId w:val="357899064"/>
        </w:trPr>
        <w:tc>
          <w:tcPr>
            <w:tcW w:w="1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b/>
                <w:bCs/>
                <w:sz w:val="14"/>
                <w:szCs w:val="14"/>
              </w:rPr>
              <w:t>Balance - December 31, 2021</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2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194</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2,842,158</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3</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157,004,742</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7</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1,794,695</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(601)</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3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14"/>
                <w:szCs w:val="14"/>
              </w:rPr>
            </w:pPr>
            <w:r>
              <w:rPr>
                <w:sz w:val="14"/>
                <w:szCs w:val="14"/>
              </w:rPr>
              <w:t>(1,172,445)</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4"/>
                <w:szCs w:val="14"/>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14"/>
                <w:szCs w:val="14"/>
              </w:rPr>
            </w:pPr>
            <w:r>
              <w:rPr>
                <w:sz w:val="14"/>
                <w:szCs w:val="14"/>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45"/>
              <w:jc w:val="right"/>
              <w:rPr>
                <w:sz w:val="14"/>
                <w:szCs w:val="14"/>
              </w:rPr>
            </w:pPr>
            <w:r>
              <w:rPr>
                <w:sz w:val="14"/>
                <w:szCs w:val="14"/>
              </w:rPr>
              <w:t>621,659</w:t>
            </w:r>
          </w:p>
        </w:tc>
      </w:tr>
    </w:tbl>
    <w:p w:rsidR="00000000" w:rsidRDefault="00F22B2C">
      <w:pPr>
        <w:pStyle w:val="a3"/>
        <w:spacing w:before="0" w:beforeAutospacing="0" w:after="0" w:afterAutospacing="0"/>
        <w:divId w:val="357899064"/>
        <w:rPr>
          <w:sz w:val="20"/>
          <w:szCs w:val="20"/>
        </w:rPr>
      </w:pPr>
      <w:r>
        <w:rPr>
          <w:sz w:val="20"/>
          <w:szCs w:val="20"/>
        </w:rPr>
        <w:t>​</w:t>
      </w:r>
    </w:p>
    <w:p w:rsidR="00000000" w:rsidRDefault="00F22B2C">
      <w:pPr>
        <w:pStyle w:val="a3"/>
        <w:spacing w:before="0" w:beforeAutospacing="0" w:after="0" w:afterAutospacing="0"/>
        <w:ind w:firstLine="547"/>
        <w:jc w:val="center"/>
        <w:divId w:val="357899064"/>
        <w:rPr>
          <w:sz w:val="20"/>
          <w:szCs w:val="20"/>
        </w:rPr>
      </w:pPr>
      <w:r>
        <w:rPr>
          <w:sz w:val="20"/>
          <w:szCs w:val="20"/>
        </w:rPr>
        <w:t>The accompanying notes are an integral part of these consolidated financial statements.</w:t>
      </w:r>
    </w:p>
    <w:p w:rsidR="00000000" w:rsidRDefault="00F22B2C">
      <w:pPr>
        <w:pStyle w:val="a3"/>
        <w:spacing w:before="0" w:beforeAutospacing="0" w:after="0" w:afterAutospacing="0"/>
        <w:divId w:val="357899064"/>
        <w:rPr>
          <w:sz w:val="20"/>
          <w:szCs w:val="20"/>
        </w:rPr>
      </w:pPr>
      <w:r>
        <w:rPr>
          <w:sz w:val="20"/>
          <w:szCs w:val="20"/>
        </w:rPr>
        <w:t>​</w:t>
      </w:r>
    </w:p>
    <w:p w:rsidR="00000000" w:rsidRDefault="00F22B2C">
      <w:pPr>
        <w:pStyle w:val="a3"/>
        <w:spacing w:before="0" w:beforeAutospacing="0" w:after="0" w:afterAutospacing="0" w:line="0" w:lineRule="atLeast"/>
        <w:divId w:val="357899064"/>
        <w:rPr>
          <w:vanish/>
        </w:rPr>
      </w:pPr>
      <w:r>
        <w:rPr>
          <w:vanish/>
          <w:sz w:val="2"/>
          <w:szCs w:val="2"/>
        </w:rPr>
        <w:t>​</w:t>
      </w:r>
    </w:p>
    <w:p w:rsidR="00000000" w:rsidRDefault="00F22B2C">
      <w:pPr>
        <w:pStyle w:val="a3"/>
        <w:spacing w:before="480" w:beforeAutospacing="0" w:after="0" w:afterAutospacing="0"/>
        <w:jc w:val="center"/>
        <w:divId w:val="1165780625"/>
        <w:rPr>
          <w:sz w:val="20"/>
          <w:szCs w:val="20"/>
        </w:rPr>
      </w:pPr>
      <w:r>
        <w:rPr>
          <w:sz w:val="20"/>
          <w:szCs w:val="20"/>
        </w:rPr>
        <w:t>F-10</w:t>
      </w:r>
    </w:p>
    <w:p w:rsidR="00000000" w:rsidRDefault="00F22B2C">
      <w:pPr>
        <w:pStyle w:val="a3"/>
        <w:spacing w:before="0" w:beforeAutospacing="0" w:after="600" w:afterAutospacing="0"/>
        <w:divId w:val="1605112553"/>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715542251"/>
        <w:rPr>
          <w:b/>
          <w:bCs/>
          <w:sz w:val="20"/>
          <w:szCs w:val="20"/>
        </w:rPr>
      </w:pPr>
      <w:r>
        <w:rPr>
          <w:b/>
          <w:bCs/>
          <w:sz w:val="20"/>
          <w:szCs w:val="20"/>
        </w:rPr>
        <w:t>IOVANCE BIOTHERAPEUTICS, INC.</w:t>
      </w:r>
    </w:p>
    <w:p w:rsidR="00000000" w:rsidRDefault="00F22B2C">
      <w:pPr>
        <w:pStyle w:val="a3"/>
        <w:spacing w:before="0" w:beforeAutospacing="0" w:after="0" w:afterAutospacing="0"/>
        <w:jc w:val="center"/>
        <w:divId w:val="1715542251"/>
        <w:rPr>
          <w:sz w:val="20"/>
          <w:szCs w:val="20"/>
        </w:rPr>
      </w:pPr>
      <w:r>
        <w:rPr>
          <w:b/>
          <w:bCs/>
          <w:sz w:val="20"/>
          <w:szCs w:val="20"/>
        </w:rPr>
        <w:t>Consolidated Statements of Cash Flows</w:t>
      </w:r>
    </w:p>
    <w:p w:rsidR="00000000" w:rsidRDefault="00F22B2C">
      <w:pPr>
        <w:pStyle w:val="a3"/>
        <w:spacing w:before="0" w:beforeAutospacing="0" w:after="0" w:afterAutospacing="0"/>
        <w:jc w:val="center"/>
        <w:divId w:val="1715542251"/>
        <w:rPr>
          <w:sz w:val="20"/>
          <w:szCs w:val="20"/>
        </w:rPr>
      </w:pPr>
      <w:r>
        <w:rPr>
          <w:b/>
          <w:bCs/>
          <w:sz w:val="20"/>
          <w:szCs w:val="20"/>
        </w:rPr>
        <w:t>(In thousands)</w:t>
      </w:r>
    </w:p>
    <w:p w:rsidR="00000000" w:rsidRDefault="00F22B2C">
      <w:pPr>
        <w:pStyle w:val="a3"/>
        <w:spacing w:before="0" w:beforeAutospacing="0" w:after="0" w:afterAutospacing="0"/>
        <w:jc w:val="center"/>
        <w:divId w:val="171554225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02"/>
        <w:gridCol w:w="6"/>
        <w:gridCol w:w="100"/>
        <w:gridCol w:w="784"/>
        <w:gridCol w:w="160"/>
        <w:gridCol w:w="100"/>
        <w:gridCol w:w="784"/>
        <w:gridCol w:w="160"/>
        <w:gridCol w:w="100"/>
        <w:gridCol w:w="784"/>
      </w:tblGrid>
      <w:tr w:rsidR="00000000">
        <w:trPr>
          <w:divId w:val="1715542251"/>
          <w:trHeight w:val="20"/>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divId w:val="1868253139"/>
              <w:rPr>
                <w:sz w:val="20"/>
                <w:szCs w:val="20"/>
              </w:rPr>
            </w:pPr>
            <w:r>
              <w:rPr>
                <w:sz w:val="2"/>
                <w:szCs w:val="2"/>
              </w:rPr>
              <w:t>​</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220288102"/>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135251855"/>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433939867"/>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06505545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701050722"/>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20567791"/>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90002336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29570268"/>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749809220"/>
              <w:rPr>
                <w:sz w:val="20"/>
                <w:szCs w:val="20"/>
              </w:rPr>
            </w:pPr>
            <w:r>
              <w:rPr>
                <w:sz w:val="2"/>
                <w:szCs w:val="2"/>
              </w:rPr>
              <w:t>​</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1745" w:type="pct"/>
            <w:gridSpan w:val="7"/>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Years Ended December 31, </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2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2019</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jc w:val="both"/>
              <w:rPr>
                <w:sz w:val="20"/>
                <w:szCs w:val="20"/>
              </w:rPr>
            </w:pPr>
            <w:r>
              <w:rPr>
                <w:b/>
                <w:bCs/>
                <w:sz w:val="20"/>
                <w:szCs w:val="20"/>
              </w:rPr>
              <w:t>Cash Flows from Operating Activities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jc w:val="both"/>
              <w:rPr>
                <w:sz w:val="20"/>
                <w:szCs w:val="20"/>
              </w:rPr>
            </w:pPr>
            <w:r>
              <w:rPr>
                <w:sz w:val="20"/>
                <w:szCs w:val="20"/>
              </w:rPr>
              <w:t>Net loss</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(342,252)</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(259,581)</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(197,556)</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Adjustments to reconcile net loss to net cash used in operating activities: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Stock-based compensation expense</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69,765</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40,887</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24,277</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Amortization of right of use asset</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10,869</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7,572</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6,954</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Depreciation and amortization</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3,111</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1,140</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1,169</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Gain on settlement of dispute</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(336)</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Accretion (amortization) of discounts and premiums on investments</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6,013</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1,865</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(3,421)</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Loss on disposal of assets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16</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Changes in assets and liabilities:</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Prepaid expenses, other assets and long-term assets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2,775</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(6,688)</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(3,278)</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 xml:space="preserve">Operating lease liabilities </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(5,882)</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(11,474)</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r>
              <w:rPr>
                <w:sz w:val="20"/>
                <w:szCs w:val="20"/>
              </w:rPr>
              <w:t>6,148)</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Accounts payable</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6,976</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(2,964)</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12,706</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Accrued expenses and other liabilities</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20,684</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24,109</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6,728</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Net cash used in operating activities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(227,941)</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(205,134)</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(158,889)</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Cash Flows from Investing Activities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Maturities of investments</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762,914</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676,601</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514,601</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Purchase of investments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(725,208)</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(947,663)</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(417,659)</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Purchase of property and equipment</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(37,574)</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(46,791)</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(6,917)</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Net cash provided by (used in) investing activities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132</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(317,853)</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90,025</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Cash Flows from Financing Activities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Tax payments related to shares withheld for vested restricted stock units</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(284)</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(312)</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Proceeds from the issuance of common stock upon purchase of employee stock purchase plan</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1,586</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Proceeds from the issuance of common stock upon exercise of options</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33,526</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9,663</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6,443</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Proceeds from the issuance of common stock, net</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203,156</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567,043</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Proceeds from the issuance of debt</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1,000</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Net cash provided by financing activities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239,268</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576,422</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6,131</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Net increase (decrease) in cash, cash equivalents and restricted cash</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11,459</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53,435</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(62,733)</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Cash, Cash Equivalents and Restricted Cash Beginning of Year</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72,854</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19,419</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82,152</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Cash, Cash Equivalents and Restricted Cash End of Year</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84,313</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72,854</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19,419</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Supplemental disclosure of non-cash investing and financing activities:</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Net unrealized loss on short-term investments</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(620)</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(201)</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262</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Acquisition of property and equipment included in accounts payable and accrued expense</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(7,316)</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(5,094)</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122</w:t>
            </w:r>
          </w:p>
        </w:tc>
      </w:tr>
      <w:tr w:rsidR="00000000">
        <w:trPr>
          <w:divId w:val="1715542251"/>
        </w:trPr>
        <w:tc>
          <w:tcPr>
            <w:tcW w:w="316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Conversion of convertible preferred stock to common stock</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w:t>
            </w:r>
          </w:p>
        </w:tc>
      </w:tr>
      <w:tr w:rsidR="00000000">
        <w:trPr>
          <w:divId w:val="1715542251"/>
        </w:trPr>
        <w:tc>
          <w:tcPr>
            <w:tcW w:w="3163" w:type="pct"/>
            <w:noWrap/>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Vesting of restricted stock units</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w:t>
            </w:r>
          </w:p>
        </w:tc>
      </w:tr>
      <w:tr w:rsidR="00000000">
        <w:trPr>
          <w:divId w:val="1715542251"/>
        </w:trPr>
        <w:tc>
          <w:tcPr>
            <w:tcW w:w="316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 xml:space="preserve">Lease liabilities arising from obtaining right-of-use asset from new leases </w:t>
            </w:r>
          </w:p>
        </w:tc>
        <w:tc>
          <w:tcPr>
            <w:tcW w:w="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17,275</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45,968</w:t>
            </w:r>
          </w:p>
        </w:tc>
        <w:tc>
          <w:tcPr>
            <w:tcW w:w="1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43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14,827</w:t>
            </w:r>
          </w:p>
        </w:tc>
      </w:tr>
      <w:tr w:rsidR="00000000">
        <w:trPr>
          <w:divId w:val="1715542251"/>
        </w:trPr>
        <w:tc>
          <w:tcPr>
            <w:tcW w:w="316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 xml:space="preserve">Lease liabilities arising from obtaining right-of-use asset from lease modifications </w:t>
            </w:r>
          </w:p>
        </w:tc>
        <w:tc>
          <w:tcPr>
            <w:tcW w:w="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7,800</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826</w:t>
            </w:r>
          </w:p>
        </w:tc>
        <w:tc>
          <w:tcPr>
            <w:tcW w:w="13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4,811</w:t>
            </w:r>
          </w:p>
        </w:tc>
      </w:tr>
    </w:tbl>
    <w:p w:rsidR="00000000" w:rsidRDefault="00F22B2C">
      <w:pPr>
        <w:pStyle w:val="a3"/>
        <w:spacing w:before="0" w:beforeAutospacing="0" w:after="0" w:afterAutospacing="0"/>
        <w:divId w:val="1715542251"/>
        <w:rPr>
          <w:sz w:val="20"/>
          <w:szCs w:val="20"/>
        </w:rPr>
      </w:pPr>
      <w:r>
        <w:rPr>
          <w:sz w:val="20"/>
          <w:szCs w:val="20"/>
        </w:rPr>
        <w:t>​</w:t>
      </w:r>
    </w:p>
    <w:p w:rsidR="00000000" w:rsidRDefault="00F22B2C">
      <w:pPr>
        <w:pStyle w:val="a3"/>
        <w:spacing w:before="0" w:beforeAutospacing="0" w:after="0" w:afterAutospacing="0"/>
        <w:ind w:firstLine="547"/>
        <w:jc w:val="center"/>
        <w:divId w:val="1715542251"/>
        <w:rPr>
          <w:sz w:val="20"/>
          <w:szCs w:val="20"/>
        </w:rPr>
      </w:pPr>
      <w:r>
        <w:rPr>
          <w:sz w:val="20"/>
          <w:szCs w:val="20"/>
        </w:rPr>
        <w:t>The accompanying notes are an integral part of these consolidated financial statements.</w:t>
      </w:r>
    </w:p>
    <w:p w:rsidR="00000000" w:rsidRDefault="00F22B2C">
      <w:pPr>
        <w:pStyle w:val="a3"/>
        <w:spacing w:before="0" w:beforeAutospacing="0" w:after="0" w:afterAutospacing="0" w:line="0" w:lineRule="atLeast"/>
        <w:divId w:val="1715542251"/>
        <w:rPr>
          <w:vanish/>
        </w:rPr>
      </w:pPr>
      <w:r>
        <w:rPr>
          <w:vanish/>
          <w:sz w:val="2"/>
          <w:szCs w:val="2"/>
        </w:rPr>
        <w:t>​</w:t>
      </w:r>
    </w:p>
    <w:p w:rsidR="00000000" w:rsidRDefault="00F22B2C">
      <w:pPr>
        <w:pStyle w:val="a3"/>
        <w:spacing w:before="480" w:beforeAutospacing="0" w:after="0" w:afterAutospacing="0"/>
        <w:jc w:val="center"/>
        <w:divId w:val="1881699416"/>
        <w:rPr>
          <w:sz w:val="20"/>
          <w:szCs w:val="20"/>
        </w:rPr>
      </w:pPr>
      <w:r>
        <w:rPr>
          <w:sz w:val="20"/>
          <w:szCs w:val="20"/>
        </w:rPr>
        <w:t>F-11</w:t>
      </w:r>
    </w:p>
    <w:p w:rsidR="00000000" w:rsidRDefault="00F22B2C">
      <w:pPr>
        <w:pStyle w:val="a3"/>
        <w:spacing w:before="0" w:beforeAutospacing="0" w:after="300" w:afterAutospacing="0"/>
        <w:divId w:val="1397360230"/>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397360230"/>
        <w:rPr>
          <w:sz w:val="20"/>
          <w:szCs w:val="20"/>
        </w:rPr>
      </w:pPr>
      <w:r>
        <w:rPr>
          <w:b/>
          <w:bCs/>
          <w:sz w:val="20"/>
          <w:szCs w:val="20"/>
        </w:rPr>
        <w:t>IOVANCE BIOTHERAPEUTICS, INC.</w:t>
      </w:r>
    </w:p>
    <w:p w:rsidR="00000000" w:rsidRDefault="00F22B2C">
      <w:pPr>
        <w:pStyle w:val="a3"/>
        <w:spacing w:before="0" w:beforeAutospacing="0" w:after="300" w:afterAutospacing="0"/>
        <w:jc w:val="center"/>
        <w:divId w:val="1397360230"/>
        <w:rPr>
          <w:sz w:val="20"/>
          <w:szCs w:val="20"/>
        </w:rPr>
      </w:pPr>
      <w:r>
        <w:rPr>
          <w:b/>
          <w:bCs/>
          <w:sz w:val="20"/>
          <w:szCs w:val="20"/>
        </w:rPr>
        <w:t>NOTES TO CONSOLIDATED FINANCIAL STATEMENTS</w:t>
      </w:r>
    </w:p>
    <w:p w:rsidR="00000000" w:rsidRDefault="00F22B2C">
      <w:pPr>
        <w:pStyle w:val="a3"/>
        <w:spacing w:before="0" w:beforeAutospacing="0" w:after="0" w:afterAutospacing="0"/>
        <w:divId w:val="232743748"/>
        <w:rPr>
          <w:sz w:val="20"/>
          <w:szCs w:val="20"/>
        </w:rPr>
      </w:pPr>
      <w:r>
        <w:rPr>
          <w:sz w:val="20"/>
          <w:szCs w:val="20"/>
        </w:rPr>
        <w:t>​</w:t>
      </w:r>
    </w:p>
    <w:p w:rsidR="00000000" w:rsidRDefault="00F22B2C">
      <w:pPr>
        <w:pStyle w:val="a3"/>
        <w:spacing w:before="0" w:beforeAutospacing="0" w:after="200" w:afterAutospacing="0"/>
        <w:divId w:val="232743748"/>
        <w:rPr>
          <w:b/>
          <w:bCs/>
          <w:sz w:val="20"/>
          <w:szCs w:val="20"/>
        </w:rPr>
      </w:pPr>
      <w:r>
        <w:rPr>
          <w:b/>
          <w:bCs/>
          <w:sz w:val="20"/>
          <w:szCs w:val="20"/>
        </w:rPr>
        <w:t>NOTE 1. GENERAL ORGANIZATION, BUSINESS AND LIQUIDITY</w:t>
      </w:r>
    </w:p>
    <w:p w:rsidR="00000000" w:rsidRDefault="00F22B2C">
      <w:pPr>
        <w:pStyle w:val="a3"/>
        <w:spacing w:before="0" w:beforeAutospacing="0" w:after="200" w:afterAutospacing="0"/>
        <w:divId w:val="232743748"/>
        <w:rPr>
          <w:b/>
          <w:bCs/>
          <w:i/>
          <w:iCs/>
          <w:sz w:val="20"/>
          <w:szCs w:val="20"/>
        </w:rPr>
      </w:pPr>
      <w:r>
        <w:rPr>
          <w:b/>
          <w:bCs/>
          <w:i/>
          <w:iCs/>
          <w:sz w:val="20"/>
          <w:szCs w:val="20"/>
        </w:rPr>
        <w:t>General Organization and Business</w:t>
      </w:r>
    </w:p>
    <w:p w:rsidR="00000000" w:rsidRDefault="00F22B2C">
      <w:pPr>
        <w:pStyle w:val="a3"/>
        <w:spacing w:before="0" w:beforeAutospacing="0" w:after="240" w:afterAutospacing="0"/>
        <w:ind w:firstLine="547"/>
        <w:divId w:val="232743748"/>
        <w:rPr>
          <w:sz w:val="20"/>
          <w:szCs w:val="20"/>
        </w:rPr>
      </w:pPr>
      <w:r>
        <w:rPr>
          <w:sz w:val="20"/>
          <w:szCs w:val="20"/>
        </w:rPr>
        <w:t>Iovance Biotherapeutics, Inc. (the “Company”) is a clinical-stage biopharmaceutical company pioneering a transformational approach to cure cancer by harnessing the human</w:t>
      </w:r>
      <w:r>
        <w:rPr>
          <w:sz w:val="20"/>
          <w:szCs w:val="20"/>
        </w:rPr>
        <w:t xml:space="preserve"> immune system’s ability to recognize and destroy diverse cancer cells in each patient. Tumor infiltrating lymphocyte (“TIL”) therapy is an autologous cell therapy platform technology that was originally developed by the National Cancer Institute (“NCI”), </w:t>
      </w:r>
      <w:r>
        <w:rPr>
          <w:sz w:val="20"/>
          <w:szCs w:val="20"/>
        </w:rPr>
        <w:t>which conducted initial clinical trials in diseases such as metastatic melanoma and cervical cancer, as well as non-small cell lung cancer. The Company’s mission is to be the global leader in innovating, developing and delivering TIL therapy for patients w</w:t>
      </w:r>
      <w:r>
        <w:rPr>
          <w:sz w:val="20"/>
          <w:szCs w:val="20"/>
        </w:rPr>
        <w:t xml:space="preserve">ith cancer. The Company has developed a new, shorter proprietary TIL manufacturing process known as Generation 2 (“Gen 2”), which yields a cryopreserved TIL product. This centralized, proprietary, and scalable manufacturing method is being investigated in </w:t>
      </w:r>
      <w:r>
        <w:rPr>
          <w:sz w:val="20"/>
          <w:szCs w:val="20"/>
        </w:rPr>
        <w:t>multiple indications. The Company’s lead product candidates include lifileucel for metastatic melanoma and metastatic cervical cancer, as well as LN-145 for metastatic non-small cell lung cancer (“NSCLC”). In addition, the Company is investigating the effe</w:t>
      </w:r>
      <w:r>
        <w:rPr>
          <w:sz w:val="20"/>
          <w:szCs w:val="20"/>
        </w:rPr>
        <w:t>ctiveness and safety of combinations of TIL therapy with immune checkpoint inhibitors (“ICI”), in metastatic melanoma, cervical cancer, NSCLC, and head and neck squamous cell carcinoma (“HNSCC”). The Company is investigating peripheral blood lymphocyte (“P</w:t>
      </w:r>
      <w:r>
        <w:rPr>
          <w:sz w:val="20"/>
          <w:szCs w:val="20"/>
        </w:rPr>
        <w:t>BL”) therapy for patients with relapsed or refractory chronic lymphocytic leukemia (“CLL”) and small lymphocytic lymphoma (“SLL”) through its sponsored trials. The Company is also investigating the potential for TIL therapy in other oncology indications th</w:t>
      </w:r>
      <w:r>
        <w:rPr>
          <w:sz w:val="20"/>
          <w:szCs w:val="20"/>
        </w:rPr>
        <w:t>rough academic collaborations with leading cancer research centers. On June 1, 2017, the Company reincorporated from a Nevada corporation to a Delaware corporation</w:t>
      </w:r>
      <w:r>
        <w:rPr>
          <w:sz w:val="20"/>
          <w:szCs w:val="20"/>
        </w:rPr>
        <w:t>.</w:t>
      </w:r>
    </w:p>
    <w:p w:rsidR="00000000" w:rsidRDefault="00F22B2C">
      <w:pPr>
        <w:pStyle w:val="a3"/>
        <w:spacing w:before="0" w:beforeAutospacing="0" w:after="200" w:afterAutospacing="0"/>
        <w:divId w:val="232743748"/>
        <w:rPr>
          <w:b/>
          <w:bCs/>
          <w:i/>
          <w:iCs/>
          <w:sz w:val="20"/>
          <w:szCs w:val="20"/>
        </w:rPr>
      </w:pPr>
      <w:r>
        <w:rPr>
          <w:b/>
          <w:bCs/>
          <w:i/>
          <w:iCs/>
          <w:sz w:val="20"/>
          <w:szCs w:val="20"/>
        </w:rPr>
        <w:t>Liquidity</w:t>
      </w:r>
    </w:p>
    <w:p w:rsidR="00000000" w:rsidRDefault="00F22B2C">
      <w:pPr>
        <w:pStyle w:val="a3"/>
        <w:spacing w:before="0" w:beforeAutospacing="0" w:after="200" w:afterAutospacing="0"/>
        <w:ind w:firstLine="547"/>
        <w:divId w:val="232743748"/>
        <w:rPr>
          <w:sz w:val="20"/>
          <w:szCs w:val="20"/>
        </w:rPr>
      </w:pPr>
      <w:r>
        <w:rPr>
          <w:sz w:val="20"/>
          <w:szCs w:val="20"/>
        </w:rPr>
        <w:t>The Company is currently engaged in the development of therapeutics to fight canc</w:t>
      </w:r>
      <w:r>
        <w:rPr>
          <w:sz w:val="20"/>
          <w:szCs w:val="20"/>
        </w:rPr>
        <w:t>er, specifically solid tumors. The Company currently does not have any commercial products and has not yet generated any revenues from its business, nor does the Company currently anticipate that it will generate any significant revenues from the sale or l</w:t>
      </w:r>
      <w:r>
        <w:rPr>
          <w:sz w:val="20"/>
          <w:szCs w:val="20"/>
        </w:rPr>
        <w:t xml:space="preserve">icensing of any of its product candidates during the 12 months from the date these financial statements are issued. The Company has incurred a net loss of $342.3 million for the year ended December 31, 2021 and used $227.9 million of cash in its operating </w:t>
      </w:r>
      <w:r>
        <w:rPr>
          <w:sz w:val="20"/>
          <w:szCs w:val="20"/>
        </w:rPr>
        <w:t>activities during the year ended December 31, 2021. As of December 31, 2021, the Company had $602.1 million in cash, cash equivalents, investments, and restricted cash ($78.2 million of cash and cash equivalents, $426.2 million in short-term investments, $</w:t>
      </w:r>
      <w:r>
        <w:rPr>
          <w:sz w:val="20"/>
          <w:szCs w:val="20"/>
        </w:rPr>
        <w:t>91.6 million in long-term investments and $6.1 million in restricted cash).</w:t>
      </w:r>
    </w:p>
    <w:p w:rsidR="00000000" w:rsidRDefault="00F22B2C">
      <w:pPr>
        <w:pStyle w:val="a3"/>
        <w:spacing w:before="0" w:beforeAutospacing="0" w:after="240" w:afterAutospacing="0"/>
        <w:ind w:firstLine="547"/>
        <w:divId w:val="232743748"/>
        <w:rPr>
          <w:b/>
          <w:bCs/>
          <w:i/>
          <w:iCs/>
          <w:sz w:val="20"/>
          <w:szCs w:val="20"/>
        </w:rPr>
      </w:pPr>
      <w:r>
        <w:rPr>
          <w:sz w:val="20"/>
          <w:szCs w:val="20"/>
        </w:rPr>
        <w:t>The Company expects to continue its research and development activities, increase pre-commercial activities and complete the construction of the tenant improvements for the Iovance</w:t>
      </w:r>
      <w:r>
        <w:rPr>
          <w:sz w:val="20"/>
          <w:szCs w:val="20"/>
        </w:rPr>
        <w:t xml:space="preserve"> Cell Therapy Center (the “</w:t>
      </w:r>
      <w:r>
        <w:rPr>
          <w:i/>
          <w:iCs/>
          <w:sz w:val="20"/>
          <w:szCs w:val="20"/>
        </w:rPr>
        <w:t>i</w:t>
      </w:r>
      <w:r>
        <w:rPr>
          <w:sz w:val="20"/>
          <w:szCs w:val="20"/>
        </w:rPr>
        <w:t>CTC”) as well as its new corporate headquarters’ office in San Carlos, California, all of which are expected to increase the amount of cash used during 2022 and beyond. Specifically, the Company expects continued spending on its</w:t>
      </w:r>
      <w:r>
        <w:rPr>
          <w:sz w:val="20"/>
          <w:szCs w:val="20"/>
        </w:rPr>
        <w:t xml:space="preserve"> current and planned clinical trials, continued expansion of manufacturing activities, higher payroll expenses as the Company increases its professional and scientific staff and continuation of pre-commercial activities. Based on the funds the Company has </w:t>
      </w:r>
      <w:r>
        <w:rPr>
          <w:sz w:val="20"/>
          <w:szCs w:val="20"/>
        </w:rPr>
        <w:t>available as of the date these financial statements are issued, the Company believes that it has sufficient capital to fund its anticipated operating expenses and capital expenditures as planned for at least the next twelve months from the date these finan</w:t>
      </w:r>
      <w:r>
        <w:rPr>
          <w:sz w:val="20"/>
          <w:szCs w:val="20"/>
        </w:rPr>
        <w:t>cial statements are issued.</w:t>
      </w:r>
    </w:p>
    <w:p w:rsidR="00000000" w:rsidRDefault="00F22B2C">
      <w:pPr>
        <w:pStyle w:val="a3"/>
        <w:spacing w:before="0" w:beforeAutospacing="0" w:after="200" w:afterAutospacing="0"/>
        <w:divId w:val="232743748"/>
        <w:rPr>
          <w:sz w:val="20"/>
          <w:szCs w:val="20"/>
        </w:rPr>
      </w:pPr>
      <w:r>
        <w:rPr>
          <w:b/>
          <w:bCs/>
          <w:i/>
          <w:iCs/>
          <w:sz w:val="20"/>
          <w:szCs w:val="20"/>
        </w:rPr>
        <w:t>Concentrations of Risk</w:t>
      </w:r>
    </w:p>
    <w:p w:rsidR="00000000" w:rsidRDefault="00F22B2C">
      <w:pPr>
        <w:pStyle w:val="a3"/>
        <w:spacing w:before="0" w:beforeAutospacing="0" w:after="0" w:afterAutospacing="0"/>
        <w:ind w:firstLine="547"/>
        <w:divId w:val="232743748"/>
        <w:rPr>
          <w:sz w:val="20"/>
          <w:szCs w:val="20"/>
        </w:rPr>
      </w:pPr>
      <w:r>
        <w:rPr>
          <w:sz w:val="20"/>
          <w:szCs w:val="20"/>
        </w:rPr>
        <w:t>The Company is subject to credit risk from its portfolio of cash, cash equivalents and investments. Under its investment policy, the Company limits amounts invested in securities by credit rating, maturity</w:t>
      </w:r>
      <w:r>
        <w:rPr>
          <w:sz w:val="20"/>
          <w:szCs w:val="20"/>
        </w:rPr>
        <w:t>, industry group, investment type and issuer, except for securities issued by the U.S. government. The Company does not believe it is exposed to any significant concentrations of credit risk from these financial instruments. The goals of its investment pol</w:t>
      </w:r>
      <w:r>
        <w:rPr>
          <w:sz w:val="20"/>
          <w:szCs w:val="20"/>
        </w:rPr>
        <w:t>icy are safety and preservation of principal, diversification of risk, and liquidity of investments sufficient to meet cash flow requirements.</w:t>
      </w:r>
    </w:p>
    <w:p w:rsidR="00000000" w:rsidRDefault="00F22B2C">
      <w:pPr>
        <w:pStyle w:val="a3"/>
        <w:spacing w:before="0" w:beforeAutospacing="0" w:after="0" w:afterAutospacing="0"/>
        <w:ind w:firstLine="547"/>
        <w:divId w:val="232743748"/>
        <w:rPr>
          <w:sz w:val="20"/>
          <w:szCs w:val="20"/>
        </w:rPr>
      </w:pPr>
      <w:r>
        <w:rPr>
          <w:sz w:val="20"/>
          <w:szCs w:val="20"/>
        </w:rPr>
        <w:t>​</w:t>
      </w:r>
    </w:p>
    <w:p w:rsidR="00000000" w:rsidRDefault="00F22B2C">
      <w:pPr>
        <w:pStyle w:val="a3"/>
        <w:spacing w:before="0" w:beforeAutospacing="0" w:after="200" w:afterAutospacing="0"/>
        <w:ind w:firstLine="547"/>
        <w:divId w:val="232743748"/>
        <w:rPr>
          <w:sz w:val="20"/>
          <w:szCs w:val="20"/>
        </w:rPr>
      </w:pPr>
      <w:r>
        <w:rPr>
          <w:sz w:val="20"/>
          <w:szCs w:val="20"/>
        </w:rPr>
        <w:t>​</w:t>
      </w:r>
    </w:p>
    <w:p w:rsidR="00000000" w:rsidRDefault="00F22B2C">
      <w:pPr>
        <w:pStyle w:val="a3"/>
        <w:spacing w:before="0" w:beforeAutospacing="0" w:after="0" w:afterAutospacing="0"/>
        <w:ind w:firstLine="547"/>
        <w:divId w:val="232743748"/>
        <w:rPr>
          <w:sz w:val="20"/>
          <w:szCs w:val="20"/>
        </w:rPr>
      </w:pPr>
      <w:r>
        <w:rPr>
          <w:sz w:val="20"/>
          <w:szCs w:val="20"/>
        </w:rPr>
        <w:t>​</w:t>
      </w:r>
    </w:p>
    <w:p w:rsidR="00000000" w:rsidRDefault="00F22B2C">
      <w:pPr>
        <w:pStyle w:val="a3"/>
        <w:spacing w:before="0" w:beforeAutospacing="0" w:after="0" w:afterAutospacing="0"/>
        <w:ind w:firstLine="360"/>
        <w:divId w:val="232743748"/>
        <w:rPr>
          <w:sz w:val="20"/>
          <w:szCs w:val="20"/>
        </w:rPr>
      </w:pPr>
      <w:r>
        <w:rPr>
          <w:sz w:val="20"/>
          <w:szCs w:val="20"/>
        </w:rPr>
        <w:t>​</w:t>
      </w:r>
    </w:p>
    <w:p w:rsidR="00000000" w:rsidRDefault="00F22B2C">
      <w:pPr>
        <w:pStyle w:val="a3"/>
        <w:spacing w:before="480" w:beforeAutospacing="0" w:after="0" w:afterAutospacing="0"/>
        <w:jc w:val="center"/>
        <w:divId w:val="1498300411"/>
        <w:rPr>
          <w:sz w:val="20"/>
          <w:szCs w:val="20"/>
        </w:rPr>
      </w:pPr>
      <w:r>
        <w:rPr>
          <w:sz w:val="20"/>
          <w:szCs w:val="20"/>
        </w:rPr>
        <w:t>F-12</w:t>
      </w:r>
    </w:p>
    <w:p w:rsidR="00000000" w:rsidRDefault="00F22B2C">
      <w:pPr>
        <w:pStyle w:val="a3"/>
        <w:spacing w:before="0" w:beforeAutospacing="0" w:after="300" w:afterAutospacing="0"/>
        <w:divId w:val="794254257"/>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794254257"/>
        <w:rPr>
          <w:sz w:val="20"/>
          <w:szCs w:val="20"/>
        </w:rPr>
      </w:pPr>
      <w:r>
        <w:rPr>
          <w:b/>
          <w:bCs/>
          <w:sz w:val="20"/>
          <w:szCs w:val="20"/>
        </w:rPr>
        <w:t>IOVANCE BIOTHERAPEUTICS, INC.</w:t>
      </w:r>
    </w:p>
    <w:p w:rsidR="00000000" w:rsidRDefault="00F22B2C">
      <w:pPr>
        <w:pStyle w:val="a3"/>
        <w:spacing w:before="0" w:beforeAutospacing="0" w:after="300" w:afterAutospacing="0"/>
        <w:jc w:val="center"/>
        <w:divId w:val="794254257"/>
        <w:rPr>
          <w:sz w:val="20"/>
          <w:szCs w:val="20"/>
        </w:rPr>
      </w:pPr>
      <w:r>
        <w:rPr>
          <w:b/>
          <w:bCs/>
          <w:sz w:val="20"/>
          <w:szCs w:val="20"/>
        </w:rPr>
        <w:t>NOTES TO CONSOLIDATED FINANCIAL STATEMENTS</w:t>
      </w:r>
    </w:p>
    <w:p w:rsidR="00000000" w:rsidRDefault="00F22B2C">
      <w:pPr>
        <w:pStyle w:val="a3"/>
        <w:spacing w:before="0" w:beforeAutospacing="0" w:after="200" w:afterAutospacing="0"/>
        <w:divId w:val="1970433673"/>
        <w:rPr>
          <w:b/>
          <w:bCs/>
          <w:sz w:val="20"/>
          <w:szCs w:val="20"/>
        </w:rPr>
      </w:pPr>
      <w:r>
        <w:rPr>
          <w:b/>
          <w:bCs/>
          <w:sz w:val="20"/>
          <w:szCs w:val="20"/>
        </w:rPr>
        <w:t>NOTE 2. SUMMARY OF SIGNIFICANT ACCOUNTING PRACTICES</w:t>
      </w:r>
    </w:p>
    <w:p w:rsidR="00000000" w:rsidRDefault="00F22B2C">
      <w:pPr>
        <w:pStyle w:val="a3"/>
        <w:spacing w:before="0" w:beforeAutospacing="0" w:after="200" w:afterAutospacing="0"/>
        <w:divId w:val="1970433673"/>
        <w:rPr>
          <w:b/>
          <w:bCs/>
          <w:sz w:val="20"/>
          <w:szCs w:val="20"/>
        </w:rPr>
      </w:pPr>
      <w:r>
        <w:rPr>
          <w:b/>
          <w:bCs/>
          <w:i/>
          <w:iCs/>
          <w:sz w:val="20"/>
          <w:szCs w:val="20"/>
        </w:rPr>
        <w:t>Cash, Cash Equivalents, and Investments</w:t>
      </w:r>
    </w:p>
    <w:p w:rsidR="00000000" w:rsidRDefault="00F22B2C">
      <w:pPr>
        <w:pStyle w:val="a3"/>
        <w:spacing w:before="0" w:beforeAutospacing="0" w:after="200" w:afterAutospacing="0"/>
        <w:ind w:firstLine="547"/>
        <w:divId w:val="1970433673"/>
        <w:rPr>
          <w:sz w:val="20"/>
          <w:szCs w:val="20"/>
        </w:rPr>
      </w:pPr>
      <w:r>
        <w:rPr>
          <w:sz w:val="20"/>
          <w:szCs w:val="20"/>
        </w:rPr>
        <w:t>The Company’s cash and cash equivalents include short-term investments with original maturities of three months or less w</w:t>
      </w:r>
      <w:r>
        <w:rPr>
          <w:sz w:val="20"/>
          <w:szCs w:val="20"/>
        </w:rPr>
        <w:t>hen purchased. The Company's investments are classified as “available-for-sale.” The Company includes these investments in current assets and carries them at fair value. Unrealized gains and losses on available-for-sale securities are included in accumulat</w:t>
      </w:r>
      <w:r>
        <w:rPr>
          <w:sz w:val="20"/>
          <w:szCs w:val="20"/>
        </w:rPr>
        <w:t>ed other comprehensive loss or income. Impairment losses related to credit losses (if any) are recorded as an allowance for credit losses with an offsetting entry to net loss. No impairment losses related to credit losses were recognized for the years ende</w:t>
      </w:r>
      <w:r>
        <w:rPr>
          <w:sz w:val="20"/>
          <w:szCs w:val="20"/>
        </w:rPr>
        <w:t>d December 31, 2021 and 2020. The cost of debt securities is adjusted for the amortization of premiums and accretion of discounts to maturity. Such amortization and accretion are included in Interest income, net, in the Consolidated Statements of Operation</w:t>
      </w:r>
      <w:r>
        <w:rPr>
          <w:sz w:val="20"/>
          <w:szCs w:val="20"/>
        </w:rPr>
        <w:t xml:space="preserve">s. Gains and losses on securities sold are recorded based on the specific identification method and are included in Interest income, net, in the Consolidated Statements of Operations. The Company has not incurred any realized gains or losses from sales of </w:t>
      </w:r>
      <w:r>
        <w:rPr>
          <w:sz w:val="20"/>
          <w:szCs w:val="20"/>
        </w:rPr>
        <w:t>securities to date. The Company’s investment policy limits investments to certain types of instruments such as certificates of deposit, money market instruments, obligations issued by the U.S. government and U.S. government agencies as well as corporate de</w:t>
      </w:r>
      <w:r>
        <w:rPr>
          <w:sz w:val="20"/>
          <w:szCs w:val="20"/>
        </w:rPr>
        <w:t xml:space="preserve">bt securities, and places restrictions on maturities and concentration by type and issuer, except for securities issued by the U.S. government. </w:t>
      </w:r>
    </w:p>
    <w:p w:rsidR="00000000" w:rsidRDefault="00F22B2C">
      <w:pPr>
        <w:pStyle w:val="a3"/>
        <w:spacing w:before="0" w:beforeAutospacing="0" w:after="200" w:afterAutospacing="0"/>
        <w:divId w:val="1970433673"/>
        <w:rPr>
          <w:sz w:val="20"/>
          <w:szCs w:val="20"/>
        </w:rPr>
      </w:pPr>
      <w:r>
        <w:rPr>
          <w:b/>
          <w:bCs/>
          <w:i/>
          <w:iCs/>
          <w:sz w:val="20"/>
          <w:szCs w:val="20"/>
        </w:rPr>
        <w:t>Restricted Cash</w:t>
      </w:r>
    </w:p>
    <w:p w:rsidR="00000000" w:rsidRDefault="00F22B2C">
      <w:pPr>
        <w:pStyle w:val="a3"/>
        <w:spacing w:before="0" w:beforeAutospacing="0" w:after="200" w:afterAutospacing="0"/>
        <w:ind w:firstLine="547"/>
        <w:divId w:val="1970433673"/>
        <w:rPr>
          <w:sz w:val="20"/>
          <w:szCs w:val="20"/>
        </w:rPr>
      </w:pPr>
      <w:r>
        <w:rPr>
          <w:sz w:val="20"/>
          <w:szCs w:val="20"/>
        </w:rPr>
        <w:t>The Company maintains a required minimum balance, currently $6.1 million in a segregated bank a</w:t>
      </w:r>
      <w:r>
        <w:rPr>
          <w:sz w:val="20"/>
          <w:szCs w:val="20"/>
        </w:rPr>
        <w:t xml:space="preserve">ccount in connection with three letters of credit, one for $5.45 million for the benefit of the landlord for the </w:t>
      </w:r>
      <w:r>
        <w:rPr>
          <w:i/>
          <w:iCs/>
          <w:sz w:val="20"/>
          <w:szCs w:val="20"/>
        </w:rPr>
        <w:t>i</w:t>
      </w:r>
      <w:r>
        <w:rPr>
          <w:sz w:val="20"/>
          <w:szCs w:val="20"/>
        </w:rPr>
        <w:t>CTC used as a security deposit for the lease (See Note 10 - Leases), one for $0.1 million for the benefit of a utilities service provider, and</w:t>
      </w:r>
      <w:r>
        <w:rPr>
          <w:sz w:val="20"/>
          <w:szCs w:val="20"/>
        </w:rPr>
        <w:t xml:space="preserve"> one for $0.6 million for the benefit of the landlord for the Company’s new headquarters’ lease. The total amount is classified as Restricted Cash on the Consolidated Balance Sheets. The first letter of credit originally expired on May 28, 2020, however, i</w:t>
      </w:r>
      <w:r>
        <w:rPr>
          <w:sz w:val="20"/>
          <w:szCs w:val="20"/>
        </w:rPr>
        <w:t xml:space="preserve">t automatically extends for additional one-year periods, without written agreement, to May 28 in each succeeding calendar year, through at least 60 days after the lease expiration date. Further, on the expiration of the seventh year of the lease, and each </w:t>
      </w:r>
      <w:r>
        <w:rPr>
          <w:sz w:val="20"/>
          <w:szCs w:val="20"/>
        </w:rPr>
        <w:t xml:space="preserve">anniversary date thereafter, the letter of credit may be decreased by $1.0 million with a minimum security deposit of $1.5 million maintained through the end of the lease term. The second letter of credit of $0.1 million expired on March 9, 2021, however, </w:t>
      </w:r>
      <w:r>
        <w:rPr>
          <w:sz w:val="20"/>
          <w:szCs w:val="20"/>
        </w:rPr>
        <w:t>it automatically extends, without written agreement, to the expiration date of December 1, 2022. The third letter of credit of $0.6 million expires on February 1, 2032, however, it will be automatically extended, without written agreement, for one-year per</w:t>
      </w:r>
      <w:r>
        <w:rPr>
          <w:sz w:val="20"/>
          <w:szCs w:val="20"/>
        </w:rPr>
        <w:t>iods to February in each succeeding calendar year. As of December 31, 2021 and 2020, restricted cash consisted of $6.1 million and $5.5 million and these balances have been classified as a non-current asset on the Company’s Consolidated Balance Sheets.</w:t>
      </w:r>
    </w:p>
    <w:p w:rsidR="00000000" w:rsidRDefault="00F22B2C">
      <w:pPr>
        <w:pStyle w:val="a3"/>
        <w:spacing w:before="0" w:beforeAutospacing="0" w:after="200" w:afterAutospacing="0"/>
        <w:ind w:firstLine="547"/>
        <w:divId w:val="1970433673"/>
        <w:rPr>
          <w:sz w:val="20"/>
          <w:szCs w:val="20"/>
        </w:rPr>
      </w:pPr>
      <w:r>
        <w:rPr>
          <w:sz w:val="20"/>
          <w:szCs w:val="20"/>
        </w:rPr>
        <w:t>The</w:t>
      </w:r>
      <w:r>
        <w:rPr>
          <w:sz w:val="20"/>
          <w:szCs w:val="20"/>
        </w:rPr>
        <w:t xml:space="preserve"> following table provides a reconciliation of cash, cash equivalents and restricted cash reported within the Consolidated Balance Sheets that sum to the total of the same such amounts shown in the Consolidated Statements of Cash Flows (in thousands):</w:t>
      </w:r>
    </w:p>
    <w:tbl>
      <w:tblPr>
        <w:tblW w:w="5000" w:type="pct"/>
        <w:tblCellMar>
          <w:top w:w="15" w:type="dxa"/>
          <w:left w:w="0" w:type="dxa"/>
          <w:bottom w:w="15" w:type="dxa"/>
          <w:right w:w="0" w:type="dxa"/>
        </w:tblCellMar>
        <w:tblLook w:val="04A0" w:firstRow="1" w:lastRow="0" w:firstColumn="1" w:lastColumn="0" w:noHBand="0" w:noVBand="1"/>
      </w:tblPr>
      <w:tblGrid>
        <w:gridCol w:w="4907"/>
        <w:gridCol w:w="160"/>
        <w:gridCol w:w="134"/>
        <w:gridCol w:w="839"/>
        <w:gridCol w:w="160"/>
        <w:gridCol w:w="132"/>
        <w:gridCol w:w="841"/>
        <w:gridCol w:w="160"/>
        <w:gridCol w:w="132"/>
        <w:gridCol w:w="841"/>
      </w:tblGrid>
      <w:tr w:rsidR="00000000">
        <w:trPr>
          <w:divId w:val="1970433673"/>
          <w:trHeight w:val="20"/>
        </w:trPr>
        <w:tc>
          <w:tcPr>
            <w:tcW w:w="3269" w:type="pct"/>
            <w:tcMar>
              <w:top w:w="0" w:type="dxa"/>
              <w:left w:w="0" w:type="dxa"/>
              <w:bottom w:w="0" w:type="dxa"/>
              <w:right w:w="0" w:type="dxa"/>
            </w:tcMar>
            <w:vAlign w:val="bottom"/>
            <w:hideMark/>
          </w:tcPr>
          <w:p w:rsidR="00000000" w:rsidRDefault="00F22B2C">
            <w:pPr>
              <w:pStyle w:val="a3"/>
              <w:spacing w:before="0" w:beforeAutospacing="0" w:after="1" w:afterAutospacing="0"/>
              <w:divId w:val="84891260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0602715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45296892"/>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6621913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6042312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37674820"/>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5851033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4951721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144299960"/>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81492235"/>
              <w:rPr>
                <w:sz w:val="20"/>
                <w:szCs w:val="20"/>
              </w:rPr>
            </w:pPr>
            <w:r>
              <w:rPr>
                <w:sz w:val="2"/>
                <w:szCs w:val="2"/>
              </w:rPr>
              <w:t>​</w:t>
            </w:r>
          </w:p>
        </w:tc>
      </w:tr>
      <w:tr w:rsidR="00000000">
        <w:trPr>
          <w:divId w:val="1970433673"/>
        </w:trPr>
        <w:tc>
          <w:tcPr>
            <w:tcW w:w="3269"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r>
              <w:rPr>
                <w:sz w:val="16"/>
                <w:szCs w:val="16"/>
              </w:rPr>
              <w:t xml:space="preserve"> </w:t>
            </w:r>
          </w:p>
        </w:tc>
        <w:tc>
          <w:tcPr>
            <w:tcW w:w="10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475"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December 31, </w:t>
            </w:r>
          </w:p>
        </w:tc>
        <w:tc>
          <w:tcPr>
            <w:tcW w:w="10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473"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December 31, </w:t>
            </w:r>
          </w:p>
        </w:tc>
        <w:tc>
          <w:tcPr>
            <w:tcW w:w="10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47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December 31, </w:t>
            </w:r>
          </w:p>
        </w:tc>
      </w:tr>
      <w:tr w:rsidR="00000000">
        <w:trPr>
          <w:divId w:val="1970433673"/>
        </w:trPr>
        <w:tc>
          <w:tcPr>
            <w:tcW w:w="3269"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0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0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c>
          <w:tcPr>
            <w:tcW w:w="10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2019</w:t>
            </w:r>
          </w:p>
        </w:tc>
      </w:tr>
      <w:tr w:rsidR="00000000">
        <w:trPr>
          <w:divId w:val="1970433673"/>
        </w:trPr>
        <w:tc>
          <w:tcPr>
            <w:tcW w:w="3269"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Cash and cash equivalents</w:t>
            </w:r>
          </w:p>
        </w:tc>
        <w:tc>
          <w:tcPr>
            <w:tcW w:w="10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78,229</w:t>
            </w:r>
          </w:p>
        </w:tc>
        <w:tc>
          <w:tcPr>
            <w:tcW w:w="10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67,329</w:t>
            </w:r>
          </w:p>
        </w:tc>
        <w:tc>
          <w:tcPr>
            <w:tcW w:w="10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13,969</w:t>
            </w:r>
          </w:p>
        </w:tc>
      </w:tr>
      <w:tr w:rsidR="00000000">
        <w:trPr>
          <w:divId w:val="1970433673"/>
        </w:trPr>
        <w:tc>
          <w:tcPr>
            <w:tcW w:w="3269"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Restricted cash</w:t>
            </w:r>
          </w:p>
        </w:tc>
        <w:tc>
          <w:tcPr>
            <w:tcW w:w="10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6,084</w:t>
            </w:r>
          </w:p>
        </w:tc>
        <w:tc>
          <w:tcPr>
            <w:tcW w:w="10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5,525</w:t>
            </w:r>
          </w:p>
        </w:tc>
        <w:tc>
          <w:tcPr>
            <w:tcW w:w="10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5,450</w:t>
            </w:r>
          </w:p>
        </w:tc>
      </w:tr>
      <w:tr w:rsidR="00000000">
        <w:trPr>
          <w:divId w:val="1970433673"/>
        </w:trPr>
        <w:tc>
          <w:tcPr>
            <w:tcW w:w="3269"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Total cash, cash equivalents and restricted cash</w:t>
            </w:r>
          </w:p>
        </w:tc>
        <w:tc>
          <w:tcPr>
            <w:tcW w:w="10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84,313</w:t>
            </w:r>
          </w:p>
        </w:tc>
        <w:tc>
          <w:tcPr>
            <w:tcW w:w="10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72,854</w:t>
            </w:r>
          </w:p>
        </w:tc>
        <w:tc>
          <w:tcPr>
            <w:tcW w:w="10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19,419</w:t>
            </w:r>
          </w:p>
        </w:tc>
      </w:tr>
    </w:tbl>
    <w:p w:rsidR="00000000" w:rsidRDefault="00F22B2C">
      <w:pPr>
        <w:pStyle w:val="a3"/>
        <w:spacing w:before="0" w:beforeAutospacing="0" w:after="0" w:afterAutospacing="0"/>
        <w:ind w:firstLine="360"/>
        <w:divId w:val="1970433673"/>
        <w:rPr>
          <w:sz w:val="20"/>
          <w:szCs w:val="20"/>
        </w:rPr>
      </w:pPr>
      <w:r>
        <w:rPr>
          <w:sz w:val="20"/>
          <w:szCs w:val="20"/>
        </w:rPr>
        <w:t>​</w:t>
      </w:r>
    </w:p>
    <w:p w:rsidR="00000000" w:rsidRDefault="00F22B2C">
      <w:pPr>
        <w:pStyle w:val="a3"/>
        <w:spacing w:before="480" w:beforeAutospacing="0" w:after="0" w:afterAutospacing="0"/>
        <w:jc w:val="center"/>
        <w:divId w:val="661272267"/>
        <w:rPr>
          <w:sz w:val="20"/>
          <w:szCs w:val="20"/>
        </w:rPr>
      </w:pPr>
      <w:r>
        <w:rPr>
          <w:sz w:val="20"/>
          <w:szCs w:val="20"/>
        </w:rPr>
        <w:t>F-13</w:t>
      </w:r>
    </w:p>
    <w:p w:rsidR="00000000" w:rsidRDefault="00F22B2C">
      <w:pPr>
        <w:pStyle w:val="a3"/>
        <w:spacing w:before="0" w:beforeAutospacing="0" w:after="300" w:afterAutospacing="0"/>
        <w:divId w:val="899902910"/>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899902910"/>
        <w:rPr>
          <w:sz w:val="20"/>
          <w:szCs w:val="20"/>
        </w:rPr>
      </w:pPr>
      <w:r>
        <w:rPr>
          <w:b/>
          <w:bCs/>
          <w:sz w:val="20"/>
          <w:szCs w:val="20"/>
        </w:rPr>
        <w:t>IOVANCE BIOTHERAPEUTICS, INC.</w:t>
      </w:r>
    </w:p>
    <w:p w:rsidR="00000000" w:rsidRDefault="00F22B2C">
      <w:pPr>
        <w:pStyle w:val="a3"/>
        <w:spacing w:before="0" w:beforeAutospacing="0" w:after="300" w:afterAutospacing="0"/>
        <w:jc w:val="center"/>
        <w:divId w:val="899902910"/>
        <w:rPr>
          <w:sz w:val="20"/>
          <w:szCs w:val="20"/>
        </w:rPr>
      </w:pPr>
      <w:r>
        <w:rPr>
          <w:b/>
          <w:bCs/>
          <w:sz w:val="20"/>
          <w:szCs w:val="20"/>
        </w:rPr>
        <w:t>NOTES TO CONSOLIDATED FINANCIAL STATEMENTS</w:t>
      </w:r>
    </w:p>
    <w:p w:rsidR="00000000" w:rsidRDefault="00F22B2C">
      <w:pPr>
        <w:pStyle w:val="a3"/>
        <w:spacing w:before="0" w:beforeAutospacing="0" w:after="0" w:afterAutospacing="0"/>
        <w:divId w:val="1627465368"/>
        <w:rPr>
          <w:sz w:val="20"/>
          <w:szCs w:val="20"/>
        </w:rPr>
      </w:pPr>
      <w:r>
        <w:rPr>
          <w:b/>
          <w:bCs/>
          <w:i/>
          <w:iCs/>
          <w:sz w:val="20"/>
          <w:szCs w:val="20"/>
        </w:rPr>
        <w:t>Property and Equipment, net</w:t>
      </w:r>
    </w:p>
    <w:p w:rsidR="00000000" w:rsidRDefault="00F22B2C">
      <w:pPr>
        <w:pStyle w:val="a3"/>
        <w:spacing w:before="0" w:beforeAutospacing="0" w:after="0" w:afterAutospacing="0"/>
        <w:divId w:val="1627465368"/>
        <w:rPr>
          <w:sz w:val="20"/>
          <w:szCs w:val="20"/>
        </w:rPr>
      </w:pPr>
      <w:r>
        <w:rPr>
          <w:b/>
          <w:bCs/>
          <w:i/>
          <w:iCs/>
          <w:sz w:val="20"/>
          <w:szCs w:val="20"/>
        </w:rPr>
        <w:t>​</w:t>
      </w:r>
    </w:p>
    <w:p w:rsidR="00000000" w:rsidRDefault="00F22B2C">
      <w:pPr>
        <w:pStyle w:val="a3"/>
        <w:spacing w:before="0" w:beforeAutospacing="0" w:after="0" w:afterAutospacing="0"/>
        <w:ind w:firstLine="547"/>
        <w:divId w:val="1627465368"/>
        <w:rPr>
          <w:sz w:val="20"/>
          <w:szCs w:val="20"/>
        </w:rPr>
      </w:pPr>
      <w:r>
        <w:rPr>
          <w:sz w:val="20"/>
          <w:szCs w:val="20"/>
        </w:rPr>
        <w:t>Property and equipment are stated at cost, net of accumulated depreciation and amortization. The cost of property and equipment is depreciated or amortized on the straight-line method over the following estimated useful lives.</w:t>
      </w:r>
      <w:r>
        <w:rPr>
          <w:sz w:val="20"/>
          <w:szCs w:val="20"/>
        </w:rPr>
        <w:t xml:space="preserve"> The depreciation or amortization of capitalized construction in progress costs, a component of property and equipment, net, begins once the underlying asset is placed into service and is recognized over the estimated useful lives:</w:t>
      </w:r>
    </w:p>
    <w:p w:rsidR="00000000" w:rsidRDefault="00F22B2C">
      <w:pPr>
        <w:pStyle w:val="a3"/>
        <w:spacing w:before="0" w:beforeAutospacing="0" w:after="0" w:afterAutospacing="0"/>
        <w:ind w:firstLine="547"/>
        <w:divId w:val="16274653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35"/>
        <w:gridCol w:w="208"/>
        <w:gridCol w:w="5263"/>
      </w:tblGrid>
      <w:tr w:rsidR="00000000">
        <w:trPr>
          <w:divId w:val="1627465368"/>
        </w:trPr>
        <w:tc>
          <w:tcPr>
            <w:tcW w:w="1707"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Computer equipment</w:t>
            </w:r>
          </w:p>
        </w:tc>
        <w:tc>
          <w:tcPr>
            <w:tcW w:w="125"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   </w:t>
            </w:r>
            <w:r>
              <w:rPr>
                <w:sz w:val="20"/>
                <w:szCs w:val="20"/>
              </w:rPr>
              <w:t> </w:t>
            </w:r>
          </w:p>
        </w:tc>
        <w:tc>
          <w:tcPr>
            <w:tcW w:w="3167"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2 years</w:t>
            </w:r>
          </w:p>
        </w:tc>
      </w:tr>
      <w:tr w:rsidR="00000000">
        <w:trPr>
          <w:divId w:val="1627465368"/>
        </w:trPr>
        <w:tc>
          <w:tcPr>
            <w:tcW w:w="170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Computer software</w:t>
            </w:r>
          </w:p>
        </w:tc>
        <w:tc>
          <w:tcPr>
            <w:tcW w:w="125"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316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5 years</w:t>
            </w:r>
          </w:p>
        </w:tc>
      </w:tr>
      <w:tr w:rsidR="00000000">
        <w:trPr>
          <w:divId w:val="1627465368"/>
        </w:trPr>
        <w:tc>
          <w:tcPr>
            <w:tcW w:w="1707"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Office furniture and equipment</w:t>
            </w:r>
          </w:p>
        </w:tc>
        <w:tc>
          <w:tcPr>
            <w:tcW w:w="125"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3167"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5 years</w:t>
            </w:r>
          </w:p>
        </w:tc>
      </w:tr>
      <w:tr w:rsidR="00000000">
        <w:trPr>
          <w:divId w:val="1627465368"/>
        </w:trPr>
        <w:tc>
          <w:tcPr>
            <w:tcW w:w="170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Lab, process, and validation equipment</w:t>
            </w:r>
          </w:p>
        </w:tc>
        <w:tc>
          <w:tcPr>
            <w:tcW w:w="125"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316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5 years</w:t>
            </w:r>
          </w:p>
        </w:tc>
      </w:tr>
      <w:tr w:rsidR="00000000">
        <w:trPr>
          <w:divId w:val="1627465368"/>
        </w:trPr>
        <w:tc>
          <w:tcPr>
            <w:tcW w:w="1707"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Machinery and equipment</w:t>
            </w:r>
          </w:p>
        </w:tc>
        <w:tc>
          <w:tcPr>
            <w:tcW w:w="125"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3167"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5 – 7 years</w:t>
            </w:r>
          </w:p>
        </w:tc>
      </w:tr>
      <w:tr w:rsidR="00000000">
        <w:trPr>
          <w:divId w:val="1627465368"/>
        </w:trPr>
        <w:tc>
          <w:tcPr>
            <w:tcW w:w="170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Utility equipment</w:t>
            </w:r>
          </w:p>
        </w:tc>
        <w:tc>
          <w:tcPr>
            <w:tcW w:w="125"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3167" w:type="pct"/>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Lesser of the remaining economic life of the asset or the lease-term</w:t>
            </w:r>
          </w:p>
        </w:tc>
      </w:tr>
      <w:tr w:rsidR="00000000">
        <w:trPr>
          <w:divId w:val="1627465368"/>
        </w:trPr>
        <w:tc>
          <w:tcPr>
            <w:tcW w:w="1707"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Leasehold improvements</w:t>
            </w:r>
          </w:p>
        </w:tc>
        <w:tc>
          <w:tcPr>
            <w:tcW w:w="125"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w:t>
            </w:r>
          </w:p>
        </w:tc>
        <w:tc>
          <w:tcPr>
            <w:tcW w:w="3167" w:type="pct"/>
            <w:shd w:val="clear" w:color="auto" w:fill="CCEEFF"/>
            <w:tcMar>
              <w:top w:w="0" w:type="dxa"/>
              <w:left w:w="0" w:type="dxa"/>
              <w:bottom w:w="0" w:type="dxa"/>
              <w:right w:w="0" w:type="dxa"/>
            </w:tcMar>
            <w:hideMark/>
          </w:tcPr>
          <w:p w:rsidR="00000000" w:rsidRDefault="00F22B2C">
            <w:pPr>
              <w:pStyle w:val="a3"/>
              <w:spacing w:before="0" w:beforeAutospacing="0" w:after="0" w:afterAutospacing="0"/>
              <w:rPr>
                <w:sz w:val="20"/>
                <w:szCs w:val="20"/>
              </w:rPr>
            </w:pPr>
            <w:r>
              <w:rPr>
                <w:sz w:val="20"/>
                <w:szCs w:val="20"/>
              </w:rPr>
              <w:t>Lesser of the remaining economic life of the asset or the lease-term</w:t>
            </w:r>
          </w:p>
        </w:tc>
      </w:tr>
    </w:tbl>
    <w:p w:rsidR="00000000" w:rsidRDefault="00F22B2C">
      <w:pPr>
        <w:pStyle w:val="a3"/>
        <w:spacing w:before="0" w:beforeAutospacing="0" w:after="0" w:afterAutospacing="0"/>
        <w:divId w:val="1627465368"/>
        <w:rPr>
          <w:sz w:val="20"/>
          <w:szCs w:val="20"/>
        </w:rPr>
      </w:pPr>
      <w:r>
        <w:rPr>
          <w:sz w:val="20"/>
          <w:szCs w:val="20"/>
        </w:rPr>
        <w:t>​</w:t>
      </w:r>
    </w:p>
    <w:p w:rsidR="00000000" w:rsidRDefault="00F22B2C">
      <w:pPr>
        <w:pStyle w:val="a3"/>
        <w:spacing w:before="0" w:beforeAutospacing="0" w:after="200" w:afterAutospacing="0"/>
        <w:ind w:firstLine="547"/>
        <w:divId w:val="1627465368"/>
        <w:rPr>
          <w:sz w:val="20"/>
          <w:szCs w:val="20"/>
        </w:rPr>
      </w:pPr>
      <w:r>
        <w:rPr>
          <w:sz w:val="20"/>
          <w:szCs w:val="20"/>
        </w:rPr>
        <w:t>Expenditures for maintenance and repairs are charged to operations as incurred while renewals and betterments are capitalized. Gains and losses on disposals are included within operating expenses in the Consolidated Statements of Operations.</w:t>
      </w:r>
    </w:p>
    <w:p w:rsidR="00000000" w:rsidRDefault="00F22B2C">
      <w:pPr>
        <w:pStyle w:val="a3"/>
        <w:spacing w:before="0" w:beforeAutospacing="0" w:after="0" w:afterAutospacing="0"/>
        <w:ind w:firstLine="547"/>
        <w:divId w:val="1627465368"/>
        <w:rPr>
          <w:sz w:val="20"/>
          <w:szCs w:val="20"/>
        </w:rPr>
      </w:pPr>
      <w:r>
        <w:rPr>
          <w:sz w:val="20"/>
          <w:szCs w:val="20"/>
        </w:rPr>
        <w:t>Management ass</w:t>
      </w:r>
      <w:r>
        <w:rPr>
          <w:sz w:val="20"/>
          <w:szCs w:val="20"/>
        </w:rPr>
        <w:t xml:space="preserve">esses the carrying value of property and equipment whenever events or changes in circumstances indicate that the carrying value may not be recoverable. If there is indication of impairment, management prepares an estimate of future undiscounted cash flows </w:t>
      </w:r>
      <w:r>
        <w:rPr>
          <w:sz w:val="20"/>
          <w:szCs w:val="20"/>
        </w:rPr>
        <w:t>expected to result from the use of the asset and its eventual disposition. If these cash flows are less than the carrying amount of the asset, an impairment loss is recognized to write down the asset to its estimated fair value. For the years ended Decembe</w:t>
      </w:r>
      <w:r>
        <w:rPr>
          <w:sz w:val="20"/>
          <w:szCs w:val="20"/>
        </w:rPr>
        <w:t>r 31, 2021, 2020, and 2019, the Company did not recognize any impairments for its property and equipment.</w:t>
      </w:r>
    </w:p>
    <w:p w:rsidR="00000000" w:rsidRDefault="00F22B2C">
      <w:pPr>
        <w:pStyle w:val="a3"/>
        <w:spacing w:before="0" w:beforeAutospacing="0" w:after="0" w:afterAutospacing="0"/>
        <w:ind w:firstLine="547"/>
        <w:divId w:val="1627465368"/>
        <w:rPr>
          <w:sz w:val="20"/>
          <w:szCs w:val="20"/>
        </w:rPr>
      </w:pPr>
      <w:r>
        <w:rPr>
          <w:sz w:val="20"/>
          <w:szCs w:val="20"/>
        </w:rPr>
        <w:t>​</w:t>
      </w:r>
    </w:p>
    <w:p w:rsidR="00000000" w:rsidRDefault="00F22B2C">
      <w:pPr>
        <w:pStyle w:val="a3"/>
        <w:spacing w:before="0" w:beforeAutospacing="0" w:after="200" w:afterAutospacing="0"/>
        <w:divId w:val="1627465368"/>
        <w:rPr>
          <w:b/>
          <w:bCs/>
          <w:i/>
          <w:iCs/>
          <w:sz w:val="20"/>
          <w:szCs w:val="20"/>
        </w:rPr>
      </w:pPr>
      <w:r>
        <w:rPr>
          <w:b/>
          <w:bCs/>
          <w:i/>
          <w:iCs/>
          <w:sz w:val="20"/>
          <w:szCs w:val="20"/>
        </w:rPr>
        <w:t>Loss per Share</w:t>
      </w:r>
    </w:p>
    <w:p w:rsidR="00000000" w:rsidRDefault="00F22B2C">
      <w:pPr>
        <w:pStyle w:val="a3"/>
        <w:spacing w:before="0" w:beforeAutospacing="0" w:after="200" w:afterAutospacing="0"/>
        <w:ind w:firstLine="547"/>
        <w:divId w:val="1627465368"/>
        <w:rPr>
          <w:sz w:val="20"/>
          <w:szCs w:val="20"/>
        </w:rPr>
      </w:pPr>
      <w:r>
        <w:rPr>
          <w:sz w:val="20"/>
          <w:szCs w:val="20"/>
        </w:rPr>
        <w:t>Basic net loss per share is computed by dividing the net loss by the weighted average number of common shares outstanding during the period. Diluted net loss per share is computed by dividing the net loss by the sum of the weighted average number of shares</w:t>
      </w:r>
      <w:r>
        <w:rPr>
          <w:sz w:val="20"/>
          <w:szCs w:val="20"/>
        </w:rPr>
        <w:t xml:space="preserve"> of common stock outstanding and the dilutive common stock equivalent shares outstanding during the period. The Company’s potentially dilutive common stock equivalent shares, which include incremental common shares issuable upon (i) the exercise of outstan</w:t>
      </w:r>
      <w:r>
        <w:rPr>
          <w:sz w:val="20"/>
          <w:szCs w:val="20"/>
        </w:rPr>
        <w:t>ding stock options, (ii) purchases though the 2020 Employee Stock Purchase Plan (the “2020 ESPP”), (iii) vesting of restricted stock units, and (vi) conversion of preferred stock, are only included in the calculation of diluted net loss per share when thei</w:t>
      </w:r>
      <w:r>
        <w:rPr>
          <w:sz w:val="20"/>
          <w:szCs w:val="20"/>
        </w:rPr>
        <w:t>r effect is dilutive.</w:t>
      </w:r>
    </w:p>
    <w:p w:rsidR="00000000" w:rsidRDefault="00F22B2C">
      <w:pPr>
        <w:pStyle w:val="a3"/>
        <w:spacing w:before="0" w:beforeAutospacing="0" w:after="0" w:afterAutospacing="0"/>
        <w:ind w:firstLine="547"/>
        <w:divId w:val="1627465368"/>
        <w:rPr>
          <w:sz w:val="20"/>
          <w:szCs w:val="20"/>
        </w:rPr>
      </w:pPr>
      <w:r>
        <w:rPr>
          <w:sz w:val="20"/>
          <w:szCs w:val="20"/>
        </w:rPr>
        <w:t>As of December 31, 2021, 2020, and 2019, the following outstanding common stock equivalents have been excluded from the calculation of net loss per share because their impact would be anti-dilutive.</w:t>
      </w:r>
    </w:p>
    <w:p w:rsidR="00000000" w:rsidRDefault="00F22B2C">
      <w:pPr>
        <w:pStyle w:val="a3"/>
        <w:spacing w:before="0" w:beforeAutospacing="0" w:after="0" w:afterAutospacing="0"/>
        <w:ind w:firstLine="547"/>
        <w:divId w:val="1627465368"/>
        <w:rPr>
          <w:sz w:val="20"/>
          <w:szCs w:val="20"/>
        </w:rPr>
      </w:pPr>
      <w:r>
        <w:rPr>
          <w:sz w:val="20"/>
          <w:szCs w:val="20"/>
        </w:rPr>
        <w:t>​</w:t>
      </w:r>
    </w:p>
    <w:tbl>
      <w:tblPr>
        <w:tblW w:w="4006" w:type="pct"/>
        <w:tblCellMar>
          <w:top w:w="15" w:type="dxa"/>
          <w:left w:w="0" w:type="dxa"/>
          <w:bottom w:w="15" w:type="dxa"/>
          <w:right w:w="0" w:type="dxa"/>
        </w:tblCellMar>
        <w:tblLook w:val="04A0" w:firstRow="1" w:lastRow="0" w:firstColumn="1" w:lastColumn="0" w:noHBand="0" w:noVBand="1"/>
      </w:tblPr>
      <w:tblGrid>
        <w:gridCol w:w="3295"/>
        <w:gridCol w:w="160"/>
        <w:gridCol w:w="960"/>
        <w:gridCol w:w="160"/>
        <w:gridCol w:w="960"/>
        <w:gridCol w:w="160"/>
        <w:gridCol w:w="960"/>
      </w:tblGrid>
      <w:tr w:rsidR="00000000">
        <w:trPr>
          <w:divId w:val="1627465368"/>
          <w:trHeight w:val="20"/>
        </w:trPr>
        <w:tc>
          <w:tcPr>
            <w:tcW w:w="2971" w:type="pct"/>
            <w:tcMar>
              <w:top w:w="0" w:type="dxa"/>
              <w:left w:w="0" w:type="dxa"/>
              <w:bottom w:w="0" w:type="dxa"/>
              <w:right w:w="0" w:type="dxa"/>
            </w:tcMar>
            <w:vAlign w:val="bottom"/>
            <w:hideMark/>
          </w:tcPr>
          <w:p w:rsidR="00000000" w:rsidRDefault="00F22B2C">
            <w:pPr>
              <w:pStyle w:val="a3"/>
              <w:spacing w:before="0" w:beforeAutospacing="0" w:after="1" w:afterAutospacing="0"/>
              <w:divId w:val="106479273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67280173"/>
              <w:rPr>
                <w:sz w:val="20"/>
                <w:szCs w:val="20"/>
              </w:rPr>
            </w:pPr>
            <w:r>
              <w:rPr>
                <w:sz w:val="2"/>
                <w:szCs w:val="2"/>
              </w:rPr>
              <w:t>​</w:t>
            </w:r>
          </w:p>
        </w:tc>
        <w:tc>
          <w:tcPr>
            <w:tcW w:w="58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9968609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63207553"/>
              <w:rPr>
                <w:sz w:val="20"/>
                <w:szCs w:val="20"/>
              </w:rPr>
            </w:pPr>
            <w:r>
              <w:rPr>
                <w:sz w:val="2"/>
                <w:szCs w:val="2"/>
              </w:rPr>
              <w:t>​</w:t>
            </w:r>
          </w:p>
        </w:tc>
        <w:tc>
          <w:tcPr>
            <w:tcW w:w="58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0745991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414933941"/>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069567206"/>
              <w:rPr>
                <w:sz w:val="20"/>
                <w:szCs w:val="20"/>
              </w:rPr>
            </w:pPr>
            <w:r>
              <w:rPr>
                <w:sz w:val="2"/>
                <w:szCs w:val="2"/>
              </w:rPr>
              <w:t>​</w:t>
            </w:r>
          </w:p>
        </w:tc>
      </w:tr>
      <w:tr w:rsidR="00000000">
        <w:trPr>
          <w:divId w:val="1627465368"/>
        </w:trPr>
        <w:tc>
          <w:tcPr>
            <w:tcW w:w="297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936"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As of December</w:t>
            </w:r>
            <w:r>
              <w:rPr>
                <w:b/>
                <w:bCs/>
                <w:sz w:val="16"/>
                <w:szCs w:val="16"/>
              </w:rPr>
              <w:t> 31, </w:t>
            </w:r>
          </w:p>
        </w:tc>
      </w:tr>
      <w:tr w:rsidR="00000000">
        <w:trPr>
          <w:divId w:val="1627465368"/>
        </w:trPr>
        <w:tc>
          <w:tcPr>
            <w:tcW w:w="2971"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83"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83"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2019</w:t>
            </w:r>
          </w:p>
        </w:tc>
      </w:tr>
      <w:tr w:rsidR="00000000">
        <w:trPr>
          <w:divId w:val="1627465368"/>
        </w:trPr>
        <w:tc>
          <w:tcPr>
            <w:tcW w:w="297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Stock options</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12,520,865</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12,615,638</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9,494,712</w:t>
            </w:r>
          </w:p>
        </w:tc>
      </w:tr>
      <w:tr w:rsidR="00000000">
        <w:trPr>
          <w:divId w:val="1627465368"/>
        </w:trPr>
        <w:tc>
          <w:tcPr>
            <w:tcW w:w="297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Employee Stock Purchase Plan</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85,227</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37,259</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1627465368"/>
        </w:trPr>
        <w:tc>
          <w:tcPr>
            <w:tcW w:w="297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Restricted stock units</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1,110,010</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22,916</w:t>
            </w:r>
          </w:p>
        </w:tc>
      </w:tr>
      <w:tr w:rsidR="00000000">
        <w:trPr>
          <w:divId w:val="1627465368"/>
        </w:trPr>
        <w:tc>
          <w:tcPr>
            <w:tcW w:w="297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Series A Convertible Preferred Stock*</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97,000</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97,000</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97,000</w:t>
            </w:r>
          </w:p>
        </w:tc>
      </w:tr>
      <w:tr w:rsidR="00000000">
        <w:trPr>
          <w:divId w:val="1627465368"/>
        </w:trPr>
        <w:tc>
          <w:tcPr>
            <w:tcW w:w="297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Series B Convertible Preferred Stock*</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5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2,842,158</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3,581,119</w:t>
            </w:r>
          </w:p>
        </w:tc>
        <w:tc>
          <w:tcPr>
            <w:tcW w:w="9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3,581,119</w:t>
            </w:r>
          </w:p>
        </w:tc>
      </w:tr>
      <w:tr w:rsidR="00000000">
        <w:trPr>
          <w:divId w:val="1627465368"/>
        </w:trPr>
        <w:tc>
          <w:tcPr>
            <w:tcW w:w="297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583"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16,655,260</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3"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16,331,016</w:t>
            </w:r>
          </w:p>
        </w:tc>
        <w:tc>
          <w:tcPr>
            <w:tcW w:w="9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584"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13,195,747</w:t>
            </w:r>
          </w:p>
        </w:tc>
      </w:tr>
    </w:tbl>
    <w:p w:rsidR="00000000" w:rsidRDefault="00F22B2C">
      <w:pPr>
        <w:pStyle w:val="a3"/>
        <w:spacing w:before="0" w:beforeAutospacing="0" w:after="0" w:afterAutospacing="0"/>
        <w:divId w:val="1627465368"/>
        <w:rPr>
          <w:sz w:val="20"/>
          <w:szCs w:val="20"/>
        </w:rPr>
      </w:pPr>
      <w:r>
        <w:rPr>
          <w:sz w:val="20"/>
          <w:szCs w:val="20"/>
        </w:rPr>
        <w:t>​</w:t>
      </w:r>
    </w:p>
    <w:p w:rsidR="00000000" w:rsidRDefault="00F22B2C">
      <w:pPr>
        <w:pStyle w:val="a3"/>
        <w:spacing w:before="0" w:beforeAutospacing="0" w:after="200" w:afterAutospacing="0"/>
        <w:divId w:val="1627465368"/>
        <w:rPr>
          <w:b/>
          <w:bCs/>
          <w:sz w:val="20"/>
          <w:szCs w:val="20"/>
        </w:rPr>
      </w:pPr>
      <w:r>
        <w:rPr>
          <w:i/>
          <w:iCs/>
          <w:sz w:val="20"/>
          <w:szCs w:val="20"/>
        </w:rPr>
        <w:t>*on an as-converted basis</w:t>
      </w:r>
    </w:p>
    <w:p w:rsidR="00000000" w:rsidRDefault="00F22B2C">
      <w:pPr>
        <w:pStyle w:val="a3"/>
        <w:spacing w:before="0" w:beforeAutospacing="0" w:after="0" w:afterAutospacing="0"/>
        <w:ind w:firstLine="547"/>
        <w:divId w:val="1627465368"/>
        <w:rPr>
          <w:sz w:val="20"/>
          <w:szCs w:val="20"/>
        </w:rPr>
      </w:pPr>
      <w:r>
        <w:rPr>
          <w:sz w:val="20"/>
          <w:szCs w:val="20"/>
        </w:rPr>
        <w:t xml:space="preserve">The dilutive effect of potentially dilutive securities would be reflected in diluted earnings per common share by application of the treasury stock method. Under the treasury stock method, an increase in the fair market value of the Company's common stock </w:t>
      </w:r>
      <w:r>
        <w:rPr>
          <w:sz w:val="20"/>
          <w:szCs w:val="20"/>
        </w:rPr>
        <w:t>could result in a greater dilutive effect from potentially dilutive securities.</w:t>
      </w:r>
    </w:p>
    <w:p w:rsidR="00000000" w:rsidRDefault="00F22B2C">
      <w:pPr>
        <w:pStyle w:val="a3"/>
        <w:spacing w:before="0" w:beforeAutospacing="0" w:after="0" w:afterAutospacing="0"/>
        <w:ind w:firstLine="547"/>
        <w:divId w:val="1627465368"/>
        <w:rPr>
          <w:sz w:val="20"/>
          <w:szCs w:val="20"/>
        </w:rPr>
      </w:pPr>
      <w:r>
        <w:rPr>
          <w:sz w:val="20"/>
          <w:szCs w:val="20"/>
        </w:rPr>
        <w:t>​</w:t>
      </w:r>
    </w:p>
    <w:p w:rsidR="00000000" w:rsidRDefault="00F22B2C">
      <w:pPr>
        <w:pStyle w:val="a3"/>
        <w:spacing w:before="480" w:beforeAutospacing="0" w:after="0" w:afterAutospacing="0"/>
        <w:jc w:val="center"/>
        <w:divId w:val="855847663"/>
        <w:rPr>
          <w:sz w:val="20"/>
          <w:szCs w:val="20"/>
        </w:rPr>
      </w:pPr>
      <w:r>
        <w:rPr>
          <w:sz w:val="20"/>
          <w:szCs w:val="20"/>
        </w:rPr>
        <w:t>F-14</w:t>
      </w:r>
    </w:p>
    <w:p w:rsidR="00000000" w:rsidRDefault="00F22B2C">
      <w:pPr>
        <w:pStyle w:val="a3"/>
        <w:spacing w:before="0" w:beforeAutospacing="0" w:after="300" w:afterAutospacing="0"/>
        <w:divId w:val="283850220"/>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283850220"/>
        <w:rPr>
          <w:sz w:val="20"/>
          <w:szCs w:val="20"/>
        </w:rPr>
      </w:pPr>
      <w:r>
        <w:rPr>
          <w:b/>
          <w:bCs/>
          <w:sz w:val="20"/>
          <w:szCs w:val="20"/>
        </w:rPr>
        <w:t>IOVANCE BIOTHERAPEUTICS, INC.</w:t>
      </w:r>
    </w:p>
    <w:p w:rsidR="00000000" w:rsidRDefault="00F22B2C">
      <w:pPr>
        <w:pStyle w:val="a3"/>
        <w:spacing w:before="0" w:beforeAutospacing="0" w:after="300" w:afterAutospacing="0"/>
        <w:jc w:val="center"/>
        <w:divId w:val="283850220"/>
        <w:rPr>
          <w:sz w:val="20"/>
          <w:szCs w:val="20"/>
        </w:rPr>
      </w:pPr>
      <w:r>
        <w:rPr>
          <w:b/>
          <w:bCs/>
          <w:sz w:val="20"/>
          <w:szCs w:val="20"/>
        </w:rPr>
        <w:t>NOTES TO CONSOLIDATED FINANCIAL STATEMENTS</w:t>
      </w:r>
    </w:p>
    <w:p w:rsidR="00000000" w:rsidRDefault="00F22B2C">
      <w:pPr>
        <w:pStyle w:val="a3"/>
        <w:spacing w:before="0" w:beforeAutospacing="0" w:after="200" w:afterAutospacing="0"/>
        <w:divId w:val="1579706610"/>
        <w:rPr>
          <w:b/>
          <w:bCs/>
          <w:i/>
          <w:iCs/>
          <w:sz w:val="20"/>
          <w:szCs w:val="20"/>
        </w:rPr>
      </w:pPr>
      <w:r>
        <w:rPr>
          <w:b/>
          <w:bCs/>
          <w:i/>
          <w:iCs/>
          <w:sz w:val="20"/>
          <w:szCs w:val="20"/>
        </w:rPr>
        <w:t>Fair Value Measurements</w:t>
      </w:r>
    </w:p>
    <w:p w:rsidR="00000000" w:rsidRDefault="00F22B2C">
      <w:pPr>
        <w:pStyle w:val="a3"/>
        <w:spacing w:before="0" w:beforeAutospacing="0" w:after="240" w:afterAutospacing="0"/>
        <w:ind w:firstLine="547"/>
        <w:divId w:val="1579706610"/>
        <w:rPr>
          <w:sz w:val="20"/>
          <w:szCs w:val="20"/>
        </w:rPr>
      </w:pPr>
      <w:r>
        <w:rPr>
          <w:sz w:val="20"/>
          <w:szCs w:val="20"/>
        </w:rPr>
        <w:t>Under Accounting Standards C</w:t>
      </w:r>
      <w:r>
        <w:rPr>
          <w:sz w:val="20"/>
          <w:szCs w:val="20"/>
        </w:rPr>
        <w:t xml:space="preserve">odification (“ASC”) 820, </w:t>
      </w:r>
      <w:r>
        <w:rPr>
          <w:i/>
          <w:iCs/>
          <w:sz w:val="20"/>
          <w:szCs w:val="20"/>
        </w:rPr>
        <w:t>Fair Value Measurements and Disclosures</w:t>
      </w:r>
      <w:r>
        <w:rPr>
          <w:sz w:val="20"/>
          <w:szCs w:val="20"/>
        </w:rPr>
        <w:t>, fair value is defined as the price at which an asset could be exchanged, or a liability transferred in a transaction between knowledgeable, willing parties in the principal or most advantage</w:t>
      </w:r>
      <w:r>
        <w:rPr>
          <w:sz w:val="20"/>
          <w:szCs w:val="20"/>
        </w:rPr>
        <w:t>ous market for the asset or liability. Where available, fair value is based on observable market prices or parameters or derived from such prices or parameters. Where observable prices or parameters are not available, valuation models are applied.</w:t>
      </w:r>
    </w:p>
    <w:p w:rsidR="00000000" w:rsidRDefault="00F22B2C">
      <w:pPr>
        <w:pStyle w:val="a3"/>
        <w:spacing w:before="0" w:beforeAutospacing="0" w:after="200" w:afterAutospacing="0"/>
        <w:ind w:firstLine="547"/>
        <w:divId w:val="1579706610"/>
        <w:rPr>
          <w:sz w:val="20"/>
          <w:szCs w:val="20"/>
        </w:rPr>
      </w:pPr>
      <w:r>
        <w:rPr>
          <w:sz w:val="20"/>
          <w:szCs w:val="20"/>
        </w:rPr>
        <w:t>Assets and liabilities recorded at fair value in the Company’s financial statements are categorized based upon the level of judgment associated with the inputs used to measure their fair value. Hierarchical levels directly related to the amount of subjecti</w:t>
      </w:r>
      <w:r>
        <w:rPr>
          <w:sz w:val="20"/>
          <w:szCs w:val="20"/>
        </w:rPr>
        <w:t>vity associated with the inputs to fair valuation of these assets and liabilities, are as follows:</w:t>
      </w:r>
    </w:p>
    <w:tbl>
      <w:tblPr>
        <w:tblW w:w="5000" w:type="pct"/>
        <w:tblCellMar>
          <w:top w:w="15" w:type="dxa"/>
          <w:left w:w="15" w:type="dxa"/>
          <w:bottom w:w="15" w:type="dxa"/>
          <w:right w:w="15" w:type="dxa"/>
        </w:tblCellMar>
        <w:tblLook w:val="04A0" w:firstRow="1" w:lastRow="0" w:firstColumn="1" w:lastColumn="0" w:noHBand="0" w:noVBand="1"/>
      </w:tblPr>
      <w:tblGrid>
        <w:gridCol w:w="540"/>
        <w:gridCol w:w="196"/>
        <w:gridCol w:w="7570"/>
      </w:tblGrid>
      <w:tr w:rsidR="00000000">
        <w:trPr>
          <w:divId w:val="1579706610"/>
        </w:trPr>
        <w:tc>
          <w:tcPr>
            <w:tcW w:w="540" w:type="dxa"/>
            <w:vAlign w:val="center"/>
            <w:hideMark/>
          </w:tcPr>
          <w:p w:rsidR="00000000" w:rsidRDefault="00F22B2C">
            <w:pPr>
              <w:rPr>
                <w:sz w:val="20"/>
                <w:szCs w:val="20"/>
              </w:rPr>
            </w:pPr>
          </w:p>
        </w:tc>
        <w:tc>
          <w:tcPr>
            <w:tcW w:w="18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sz w:val="20"/>
                <w:szCs w:val="20"/>
              </w:rPr>
              <w:t>Level 1—These are investments where values are based on unadjusted quoted prices for identical assets in an active market that the Company has the ability</w:t>
            </w:r>
            <w:r>
              <w:rPr>
                <w:rFonts w:eastAsia="Times New Roman"/>
                <w:sz w:val="20"/>
                <w:szCs w:val="20"/>
              </w:rPr>
              <w:t xml:space="preserve"> to access.</w:t>
            </w:r>
          </w:p>
        </w:tc>
      </w:tr>
    </w:tbl>
    <w:p w:rsidR="00000000" w:rsidRDefault="00F22B2C">
      <w:pPr>
        <w:divId w:val="15797066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196"/>
        <w:gridCol w:w="7570"/>
      </w:tblGrid>
      <w:tr w:rsidR="00000000">
        <w:trPr>
          <w:divId w:val="1579706610"/>
        </w:trPr>
        <w:tc>
          <w:tcPr>
            <w:tcW w:w="540" w:type="dxa"/>
            <w:vAlign w:val="center"/>
            <w:hideMark/>
          </w:tcPr>
          <w:p w:rsidR="00000000" w:rsidRDefault="00F22B2C">
            <w:pPr>
              <w:rPr>
                <w:rFonts w:eastAsia="Times New Roman"/>
              </w:rPr>
            </w:pPr>
          </w:p>
        </w:tc>
        <w:tc>
          <w:tcPr>
            <w:tcW w:w="18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sz w:val="20"/>
                <w:szCs w:val="20"/>
              </w:rPr>
              <w:t>Level 2—</w:t>
            </w:r>
            <w:r>
              <w:rPr>
                <w:rFonts w:eastAsia="Times New Roman"/>
                <w:sz w:val="20"/>
                <w:szCs w:val="20"/>
              </w:rPr>
              <w:t>These are investments where values are based on quoted market prices in markets that are not active or model derived valuations in which all significant inputs are observable in active markets</w:t>
            </w:r>
          </w:p>
        </w:tc>
      </w:tr>
    </w:tbl>
    <w:p w:rsidR="00000000" w:rsidRDefault="00F22B2C">
      <w:pPr>
        <w:divId w:val="15797066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196"/>
        <w:gridCol w:w="7570"/>
      </w:tblGrid>
      <w:tr w:rsidR="00000000">
        <w:trPr>
          <w:divId w:val="1579706610"/>
        </w:trPr>
        <w:tc>
          <w:tcPr>
            <w:tcW w:w="540" w:type="dxa"/>
            <w:vAlign w:val="center"/>
            <w:hideMark/>
          </w:tcPr>
          <w:p w:rsidR="00000000" w:rsidRDefault="00F22B2C">
            <w:pPr>
              <w:rPr>
                <w:rFonts w:eastAsia="Times New Roman"/>
              </w:rPr>
            </w:pPr>
          </w:p>
        </w:tc>
        <w:tc>
          <w:tcPr>
            <w:tcW w:w="18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sz w:val="20"/>
                <w:szCs w:val="20"/>
              </w:rPr>
              <w:t>Level 3—These are financial instruments where values are d</w:t>
            </w:r>
            <w:r>
              <w:rPr>
                <w:rFonts w:eastAsia="Times New Roman"/>
                <w:sz w:val="20"/>
                <w:szCs w:val="20"/>
              </w:rPr>
              <w:t>erived from techniques in which one or more significant inputs are unobservable.</w:t>
            </w:r>
          </w:p>
        </w:tc>
      </w:tr>
    </w:tbl>
    <w:p w:rsidR="00000000" w:rsidRDefault="00F22B2C">
      <w:pPr>
        <w:pStyle w:val="a3"/>
        <w:spacing w:before="0" w:beforeAutospacing="0" w:after="200" w:afterAutospacing="0"/>
        <w:ind w:firstLine="547"/>
        <w:divId w:val="1579706610"/>
        <w:rPr>
          <w:sz w:val="20"/>
          <w:szCs w:val="20"/>
        </w:rPr>
      </w:pPr>
      <w:r>
        <w:rPr>
          <w:sz w:val="20"/>
          <w:szCs w:val="20"/>
        </w:rPr>
        <w:t>The Company’s financial instruments consist of cash, cash equivalents, short and long-term investments, and long-term notes payable, all of which are reported at their respec</w:t>
      </w:r>
      <w:r>
        <w:rPr>
          <w:sz w:val="20"/>
          <w:szCs w:val="20"/>
        </w:rPr>
        <w:t>tive fair value or approximate fair value on its Consolidated Balance Sheets.</w:t>
      </w:r>
    </w:p>
    <w:p w:rsidR="00000000" w:rsidRDefault="00F22B2C">
      <w:pPr>
        <w:pStyle w:val="a3"/>
        <w:spacing w:before="0" w:beforeAutospacing="0" w:after="0" w:afterAutospacing="0"/>
        <w:ind w:firstLine="547"/>
        <w:divId w:val="1579706610"/>
        <w:rPr>
          <w:sz w:val="20"/>
          <w:szCs w:val="20"/>
        </w:rPr>
      </w:pPr>
      <w:r>
        <w:rPr>
          <w:sz w:val="20"/>
          <w:szCs w:val="20"/>
        </w:rPr>
        <w:t>A financial instrument’s categorization within the valuation hierarchy is based upon the lowest level of input that is significant to the fair value measurement. The Company’s fi</w:t>
      </w:r>
      <w:r>
        <w:rPr>
          <w:sz w:val="20"/>
          <w:szCs w:val="20"/>
        </w:rPr>
        <w:t>nancial instruments consist of Level 1 and Level 2 assets. Where quoted prices are available in an active market, securities are classified as Level 1.</w:t>
      </w:r>
    </w:p>
    <w:p w:rsidR="00000000" w:rsidRDefault="00F22B2C">
      <w:pPr>
        <w:pStyle w:val="a3"/>
        <w:spacing w:before="0" w:beforeAutospacing="0" w:after="0" w:afterAutospacing="0"/>
        <w:ind w:firstLine="547"/>
        <w:divId w:val="1579706610"/>
        <w:rPr>
          <w:sz w:val="20"/>
          <w:szCs w:val="20"/>
        </w:rPr>
      </w:pPr>
      <w:r>
        <w:rPr>
          <w:sz w:val="20"/>
          <w:szCs w:val="20"/>
        </w:rPr>
        <w:t>​</w:t>
      </w:r>
    </w:p>
    <w:p w:rsidR="00000000" w:rsidRDefault="00F22B2C">
      <w:pPr>
        <w:pStyle w:val="a3"/>
        <w:spacing w:before="0" w:beforeAutospacing="0" w:after="0" w:afterAutospacing="0"/>
        <w:ind w:firstLine="547"/>
        <w:divId w:val="1579706610"/>
        <w:rPr>
          <w:sz w:val="20"/>
          <w:szCs w:val="20"/>
        </w:rPr>
      </w:pPr>
      <w:r>
        <w:rPr>
          <w:sz w:val="20"/>
          <w:szCs w:val="20"/>
        </w:rPr>
        <w:t>When quoted market prices are not available for a specific security, the Company estimates the fair va</w:t>
      </w:r>
      <w:r>
        <w:rPr>
          <w:sz w:val="20"/>
          <w:szCs w:val="20"/>
        </w:rPr>
        <w:t>lue by using quoted prices for identical or similar instruments in markets that are not active and model-based valuation techniques for which all significant inputs are observable in the market or can be corroborated by observable market data for substanti</w:t>
      </w:r>
      <w:r>
        <w:rPr>
          <w:sz w:val="20"/>
          <w:szCs w:val="20"/>
        </w:rPr>
        <w:t>ally the full term of the assets. Where applicable, these models project future cash flows and discount the future amounts to a present value using market-based observable inputs obtained from various third-party data providers, including but not limited t</w:t>
      </w:r>
      <w:r>
        <w:rPr>
          <w:sz w:val="20"/>
          <w:szCs w:val="20"/>
        </w:rPr>
        <w:t>o, benchmark yields, interest rate curves, reported trades, broker/dealer quotes, and market reference data. Level 2 assets consist of commercial paper and government agency securities. Level 2 inputs for the valuations are limited to quoted prices for sim</w:t>
      </w:r>
      <w:r>
        <w:rPr>
          <w:sz w:val="20"/>
          <w:szCs w:val="20"/>
        </w:rPr>
        <w:t>ilar assets or liabilities in active markets and inputs other than quoted prices that are observable for the asset.</w:t>
      </w:r>
    </w:p>
    <w:p w:rsidR="00000000" w:rsidRDefault="00F22B2C">
      <w:pPr>
        <w:pStyle w:val="a3"/>
        <w:spacing w:before="0" w:beforeAutospacing="0" w:after="0" w:afterAutospacing="0"/>
        <w:divId w:val="1579706610"/>
        <w:rPr>
          <w:sz w:val="20"/>
          <w:szCs w:val="20"/>
        </w:rPr>
      </w:pPr>
      <w:r>
        <w:rPr>
          <w:sz w:val="20"/>
          <w:szCs w:val="20"/>
        </w:rPr>
        <w:t>​</w:t>
      </w:r>
    </w:p>
    <w:p w:rsidR="00000000" w:rsidRDefault="00F22B2C">
      <w:pPr>
        <w:pStyle w:val="a3"/>
        <w:spacing w:before="0" w:beforeAutospacing="0" w:after="240" w:afterAutospacing="0"/>
        <w:divId w:val="1579706610"/>
        <w:rPr>
          <w:sz w:val="20"/>
          <w:szCs w:val="20"/>
        </w:rPr>
      </w:pPr>
      <w:r>
        <w:rPr>
          <w:b/>
          <w:bCs/>
          <w:i/>
          <w:iCs/>
          <w:sz w:val="20"/>
          <w:szCs w:val="20"/>
        </w:rPr>
        <w:t>Use of Estimates</w:t>
      </w:r>
    </w:p>
    <w:p w:rsidR="00000000" w:rsidRDefault="00F22B2C">
      <w:pPr>
        <w:pStyle w:val="a3"/>
        <w:spacing w:before="0" w:beforeAutospacing="0" w:after="200" w:afterAutospacing="0"/>
        <w:ind w:firstLine="547"/>
        <w:divId w:val="1579706610"/>
        <w:rPr>
          <w:sz w:val="20"/>
          <w:szCs w:val="20"/>
        </w:rPr>
      </w:pPr>
      <w:r>
        <w:rPr>
          <w:sz w:val="20"/>
          <w:szCs w:val="20"/>
        </w:rPr>
        <w:t>The preparation of financial statements in conformity with accounting principles generally accepted in the United States of America (“GAAP”) requires management to make estimates and assumptions that affect the reported amounts of assets and liabilities an</w:t>
      </w:r>
      <w:r>
        <w:rPr>
          <w:sz w:val="20"/>
          <w:szCs w:val="20"/>
        </w:rPr>
        <w:t>d disclosure of contingent assets and liabilities at the date of the financial statements and the reported amounts of expenses during the reporting period. Actual results could differ from those estimates. Significant items subject to such estimates and as</w:t>
      </w:r>
      <w:r>
        <w:rPr>
          <w:sz w:val="20"/>
          <w:szCs w:val="20"/>
        </w:rPr>
        <w:t>sumptions include assumptions made in the fair value of equity awards and related stock-based compensation, assumptions used in measuring operating right-of-use assets and operating lease liabilities, accounting for potential liabilities, including estimat</w:t>
      </w:r>
      <w:r>
        <w:rPr>
          <w:sz w:val="20"/>
          <w:szCs w:val="20"/>
        </w:rPr>
        <w:t>es inherent in accruals related to clinical trials, and the realizability of the Company’s deferred tax assets</w:t>
      </w:r>
      <w:r>
        <w:rPr>
          <w:sz w:val="20"/>
          <w:szCs w:val="20"/>
        </w:rPr>
        <w:t>.</w:t>
      </w:r>
    </w:p>
    <w:p w:rsidR="00000000" w:rsidRDefault="00F22B2C">
      <w:pPr>
        <w:pStyle w:val="a3"/>
        <w:spacing w:before="480" w:beforeAutospacing="0" w:after="0" w:afterAutospacing="0"/>
        <w:jc w:val="center"/>
        <w:divId w:val="751901254"/>
        <w:rPr>
          <w:sz w:val="20"/>
          <w:szCs w:val="20"/>
        </w:rPr>
      </w:pPr>
      <w:r>
        <w:rPr>
          <w:sz w:val="20"/>
          <w:szCs w:val="20"/>
        </w:rPr>
        <w:t>F-15</w:t>
      </w:r>
    </w:p>
    <w:p w:rsidR="00000000" w:rsidRDefault="00F22B2C">
      <w:pPr>
        <w:pStyle w:val="a3"/>
        <w:spacing w:before="0" w:beforeAutospacing="0" w:after="300" w:afterAutospacing="0"/>
        <w:divId w:val="464855874"/>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464855874"/>
        <w:rPr>
          <w:sz w:val="20"/>
          <w:szCs w:val="20"/>
        </w:rPr>
      </w:pPr>
      <w:r>
        <w:rPr>
          <w:b/>
          <w:bCs/>
          <w:sz w:val="20"/>
          <w:szCs w:val="20"/>
        </w:rPr>
        <w:t>IOVANCE BIOTHERAPEUTICS, INC.</w:t>
      </w:r>
    </w:p>
    <w:p w:rsidR="00000000" w:rsidRDefault="00F22B2C">
      <w:pPr>
        <w:pStyle w:val="a3"/>
        <w:spacing w:before="0" w:beforeAutospacing="0" w:after="300" w:afterAutospacing="0"/>
        <w:jc w:val="center"/>
        <w:divId w:val="464855874"/>
        <w:rPr>
          <w:sz w:val="20"/>
          <w:szCs w:val="20"/>
        </w:rPr>
      </w:pPr>
      <w:r>
        <w:rPr>
          <w:b/>
          <w:bCs/>
          <w:sz w:val="20"/>
          <w:szCs w:val="20"/>
        </w:rPr>
        <w:t>NOTES TO CONSOLIDATED FINANCIAL STATEMENTS</w:t>
      </w:r>
    </w:p>
    <w:p w:rsidR="00000000" w:rsidRDefault="00F22B2C">
      <w:pPr>
        <w:pStyle w:val="a3"/>
        <w:spacing w:before="0" w:beforeAutospacing="0" w:after="200" w:afterAutospacing="0"/>
        <w:divId w:val="758066229"/>
        <w:rPr>
          <w:b/>
          <w:bCs/>
          <w:i/>
          <w:iCs/>
          <w:sz w:val="20"/>
          <w:szCs w:val="20"/>
        </w:rPr>
      </w:pPr>
      <w:r>
        <w:rPr>
          <w:b/>
          <w:bCs/>
          <w:i/>
          <w:iCs/>
          <w:sz w:val="20"/>
          <w:szCs w:val="20"/>
        </w:rPr>
        <w:t>Principles of Consolid</w:t>
      </w:r>
      <w:r>
        <w:rPr>
          <w:b/>
          <w:bCs/>
          <w:i/>
          <w:iCs/>
          <w:sz w:val="20"/>
          <w:szCs w:val="20"/>
        </w:rPr>
        <w:t>ation</w:t>
      </w:r>
    </w:p>
    <w:p w:rsidR="00000000" w:rsidRDefault="00F22B2C">
      <w:pPr>
        <w:pStyle w:val="a3"/>
        <w:spacing w:before="0" w:beforeAutospacing="0" w:after="200" w:afterAutospacing="0"/>
        <w:ind w:firstLine="547"/>
        <w:divId w:val="758066229"/>
        <w:rPr>
          <w:sz w:val="20"/>
          <w:szCs w:val="20"/>
        </w:rPr>
      </w:pPr>
      <w:r>
        <w:rPr>
          <w:sz w:val="20"/>
          <w:szCs w:val="20"/>
        </w:rPr>
        <w:t xml:space="preserve">The accompanying consolidated financial statements include the accounts of Iovance Biotherapeutics, Inc. and its wholly-owned subsidiaries, Iovance Biotherapeutics Manufacturing LLC, Iovance Biotherapeutics GmbH, and Iovance Biotherapeutics B.V. All </w:t>
      </w:r>
      <w:r>
        <w:rPr>
          <w:sz w:val="20"/>
          <w:szCs w:val="20"/>
        </w:rPr>
        <w:t>intercompany accounts and transactions have been eliminated. The U.S. dollar is the functional currency for all the Company's consolidated operations.</w:t>
      </w:r>
    </w:p>
    <w:p w:rsidR="00000000" w:rsidRDefault="00F22B2C">
      <w:pPr>
        <w:pStyle w:val="a3"/>
        <w:spacing w:before="0" w:beforeAutospacing="0" w:after="200" w:afterAutospacing="0"/>
        <w:divId w:val="758066229"/>
        <w:rPr>
          <w:sz w:val="20"/>
          <w:szCs w:val="20"/>
        </w:rPr>
      </w:pPr>
      <w:r>
        <w:rPr>
          <w:b/>
          <w:bCs/>
          <w:i/>
          <w:iCs/>
          <w:sz w:val="20"/>
          <w:szCs w:val="20"/>
        </w:rPr>
        <w:t>Leases</w:t>
      </w:r>
    </w:p>
    <w:p w:rsidR="00000000" w:rsidRDefault="00F22B2C">
      <w:pPr>
        <w:pStyle w:val="a3"/>
        <w:spacing w:before="0" w:beforeAutospacing="0" w:after="200" w:afterAutospacing="0"/>
        <w:ind w:firstLine="547"/>
        <w:divId w:val="758066229"/>
        <w:rPr>
          <w:sz w:val="20"/>
          <w:szCs w:val="20"/>
        </w:rPr>
      </w:pPr>
      <w:r>
        <w:rPr>
          <w:sz w:val="20"/>
          <w:szCs w:val="20"/>
        </w:rPr>
        <w:t>The Company determines if an arrangement includes a lease at inception. Operating leases are inclu</w:t>
      </w:r>
      <w:r>
        <w:rPr>
          <w:sz w:val="20"/>
          <w:szCs w:val="20"/>
        </w:rPr>
        <w:t>ded in its Consolidated Balance Sheets as Operating lease right-of-use assets and Operating lease liabilities as of December 31, 2021. Operating lease right-of-use assets represent the Company’s right to use an underlying asset for the lease term and opera</w:t>
      </w:r>
      <w:r>
        <w:rPr>
          <w:sz w:val="20"/>
          <w:szCs w:val="20"/>
        </w:rPr>
        <w:t>ting lease liabilities represent the Company’s obligation to make lease payments arising from the lease. Operating lease right-of-use assets and liabilities are recognized at the lease commencement date based on the present value of lease payments over the</w:t>
      </w:r>
      <w:r>
        <w:rPr>
          <w:sz w:val="20"/>
          <w:szCs w:val="20"/>
        </w:rPr>
        <w:t xml:space="preserve"> lease term. In determining the net present value of lease payments, the Company uses an estimated incremental borrowing rate that is applicable to the Company based on the information available at the later of the lease commencement date or the date of ad</w:t>
      </w:r>
      <w:r>
        <w:rPr>
          <w:sz w:val="20"/>
          <w:szCs w:val="20"/>
        </w:rPr>
        <w:t>option of Accounting Standards Update (“ASU”) No. 2016-02 and No. 2018-10 (together “Topic 842”). The operating lease right-of-use assets also include any lease payments made less lease incentives. The Company’s leases may include options to extend or term</w:t>
      </w:r>
      <w:r>
        <w:rPr>
          <w:sz w:val="20"/>
          <w:szCs w:val="20"/>
        </w:rPr>
        <w:t>inate the lease, which is considered in the lease term when it is reasonably certain that the Company will exercise any such options. Lease expense is recognized on a straight-line basis over the expected lease term. The Company has elected not to apply th</w:t>
      </w:r>
      <w:r>
        <w:rPr>
          <w:sz w:val="20"/>
          <w:szCs w:val="20"/>
        </w:rPr>
        <w:t>e recognition requirements of Topic 842 for short-term leases.</w:t>
      </w:r>
    </w:p>
    <w:p w:rsidR="00000000" w:rsidRDefault="00F22B2C">
      <w:pPr>
        <w:pStyle w:val="a3"/>
        <w:spacing w:before="0" w:beforeAutospacing="0" w:after="200" w:afterAutospacing="0"/>
        <w:ind w:firstLine="547"/>
        <w:divId w:val="758066229"/>
        <w:rPr>
          <w:sz w:val="20"/>
          <w:szCs w:val="20"/>
        </w:rPr>
      </w:pPr>
      <w:r>
        <w:rPr>
          <w:sz w:val="20"/>
          <w:szCs w:val="20"/>
        </w:rPr>
        <w:t>For lease agreements entered into after the adoption of Topic 842 that include lease and non-lease components, such components are generally accounted for separately.</w:t>
      </w:r>
    </w:p>
    <w:p w:rsidR="00000000" w:rsidRDefault="00F22B2C">
      <w:pPr>
        <w:pStyle w:val="a3"/>
        <w:spacing w:before="0" w:beforeAutospacing="0" w:after="200" w:afterAutospacing="0"/>
        <w:divId w:val="758066229"/>
        <w:rPr>
          <w:b/>
          <w:bCs/>
          <w:i/>
          <w:iCs/>
          <w:sz w:val="20"/>
          <w:szCs w:val="20"/>
        </w:rPr>
      </w:pPr>
      <w:r>
        <w:rPr>
          <w:b/>
          <w:bCs/>
          <w:i/>
          <w:iCs/>
          <w:sz w:val="20"/>
          <w:szCs w:val="20"/>
        </w:rPr>
        <w:t>Stock-Based Compensation</w:t>
      </w:r>
    </w:p>
    <w:p w:rsidR="00000000" w:rsidRDefault="00F22B2C">
      <w:pPr>
        <w:pStyle w:val="a3"/>
        <w:spacing w:before="0" w:beforeAutospacing="0" w:after="200" w:afterAutospacing="0"/>
        <w:ind w:firstLine="547"/>
        <w:divId w:val="758066229"/>
        <w:rPr>
          <w:sz w:val="20"/>
          <w:szCs w:val="20"/>
        </w:rPr>
      </w:pPr>
      <w:r>
        <w:rPr>
          <w:sz w:val="20"/>
          <w:szCs w:val="20"/>
        </w:rPr>
        <w:t>T</w:t>
      </w:r>
      <w:r>
        <w:rPr>
          <w:sz w:val="20"/>
          <w:szCs w:val="20"/>
        </w:rPr>
        <w:t>he Company periodically grants stock options to employees as compensation for services rendered. The Company accounts for all stock-based payment awards made to employees, including the employee stock purchase plans, in accordance with the authoritative gu</w:t>
      </w:r>
      <w:r>
        <w:rPr>
          <w:sz w:val="20"/>
          <w:szCs w:val="20"/>
        </w:rPr>
        <w:t>idance provided by the Financial Accounting Standards Board (“FASB”) where the value of the award is measured on the date of grant and recognized over the vesting period. In accordance with ASU No. 2018-07,</w:t>
      </w:r>
      <w:r>
        <w:rPr>
          <w:sz w:val="20"/>
          <w:szCs w:val="20"/>
        </w:rPr>
        <w:t xml:space="preserve"> </w:t>
      </w:r>
      <w:r>
        <w:rPr>
          <w:i/>
          <w:iCs/>
          <w:sz w:val="20"/>
          <w:szCs w:val="20"/>
        </w:rPr>
        <w:t>Compensation-Stock Compensation</w:t>
      </w:r>
      <w:r>
        <w:rPr>
          <w:sz w:val="20"/>
          <w:szCs w:val="20"/>
        </w:rPr>
        <w:t xml:space="preserve"> (“Topic 718”), th</w:t>
      </w:r>
      <w:r>
        <w:rPr>
          <w:sz w:val="20"/>
          <w:szCs w:val="20"/>
        </w:rPr>
        <w:t>e Company accounts for stock option grants to non-employees in a similar manner as stock option grants to employees except for the term used in the grant date fair value, therefore no longer requiring a re-measurement at the then-current fair values at eac</w:t>
      </w:r>
      <w:r>
        <w:rPr>
          <w:sz w:val="20"/>
          <w:szCs w:val="20"/>
        </w:rPr>
        <w:t>h reporting date until the shares underlying the options have vested. The non-employee awards that contain a performance condition that affects the quantity or other terms of the award are measured based on the outcome that is probable.</w:t>
      </w:r>
    </w:p>
    <w:p w:rsidR="00000000" w:rsidRDefault="00F22B2C">
      <w:pPr>
        <w:pStyle w:val="a3"/>
        <w:spacing w:before="0" w:beforeAutospacing="0" w:after="200" w:afterAutospacing="0"/>
        <w:ind w:firstLine="547"/>
        <w:divId w:val="758066229"/>
        <w:rPr>
          <w:sz w:val="20"/>
          <w:szCs w:val="20"/>
        </w:rPr>
      </w:pPr>
      <w:r>
        <w:rPr>
          <w:sz w:val="20"/>
          <w:szCs w:val="20"/>
        </w:rPr>
        <w:t>The fair value of t</w:t>
      </w:r>
      <w:r>
        <w:rPr>
          <w:sz w:val="20"/>
          <w:szCs w:val="20"/>
        </w:rPr>
        <w:t>he Company’s common stock option grants is estimated using a Black-Scholes option pricing model, which uses certain assumptions related to risk-free interest rates, expected volatility, expected life of the common stock options, and future dividends. The s</w:t>
      </w:r>
      <w:r>
        <w:rPr>
          <w:sz w:val="20"/>
          <w:szCs w:val="20"/>
        </w:rPr>
        <w:t>tock-based compensation expense is recorded based upon the value derived from the Black-Scholes option pricing model. The assumptions used in the Black-Scholes option pricing model could affect compensation expense recorded in future periods.</w:t>
      </w:r>
    </w:p>
    <w:p w:rsidR="00000000" w:rsidRDefault="00F22B2C">
      <w:pPr>
        <w:pStyle w:val="a3"/>
        <w:spacing w:before="0" w:beforeAutospacing="0" w:after="200" w:afterAutospacing="0"/>
        <w:ind w:firstLine="547"/>
        <w:divId w:val="758066229"/>
        <w:rPr>
          <w:sz w:val="20"/>
          <w:szCs w:val="20"/>
        </w:rPr>
      </w:pPr>
      <w:r>
        <w:rPr>
          <w:sz w:val="20"/>
          <w:szCs w:val="20"/>
        </w:rPr>
        <w:t>The Company i</w:t>
      </w:r>
      <w:r>
        <w:rPr>
          <w:sz w:val="20"/>
          <w:szCs w:val="20"/>
        </w:rPr>
        <w:t>ssues restricted stock units (“RSUs”) and restricted stock awards (“RSAs”) from time to time as part of its equity incentive plans. The Company measures the compensation cost with respect to RSUs and RSAs issued to employees based upon the estimated fair v</w:t>
      </w:r>
      <w:r>
        <w:rPr>
          <w:sz w:val="20"/>
          <w:szCs w:val="20"/>
        </w:rPr>
        <w:t>alue of the equity instruments at the date of the grant, which is recognized as an expense over the period during which an employee is required to provide services in exchange for the awards.</w:t>
      </w:r>
    </w:p>
    <w:p w:rsidR="00000000" w:rsidRDefault="00F22B2C">
      <w:pPr>
        <w:pStyle w:val="a3"/>
        <w:spacing w:before="0" w:beforeAutospacing="0" w:after="200" w:afterAutospacing="0"/>
        <w:ind w:firstLine="547"/>
        <w:divId w:val="758066229"/>
        <w:rPr>
          <w:sz w:val="20"/>
          <w:szCs w:val="20"/>
        </w:rPr>
      </w:pPr>
      <w:r>
        <w:rPr>
          <w:sz w:val="20"/>
          <w:szCs w:val="20"/>
        </w:rPr>
        <w:t>The fair value of RSUs and RSAs is based on the closing price of</w:t>
      </w:r>
      <w:r>
        <w:rPr>
          <w:sz w:val="20"/>
          <w:szCs w:val="20"/>
        </w:rPr>
        <w:t xml:space="preserve"> the Company’s common stock on the grant date.</w:t>
      </w:r>
    </w:p>
    <w:p w:rsidR="00000000" w:rsidRDefault="00F22B2C">
      <w:pPr>
        <w:pStyle w:val="a3"/>
        <w:spacing w:before="0" w:beforeAutospacing="0" w:after="200" w:afterAutospacing="0"/>
        <w:divId w:val="758066229"/>
        <w:rPr>
          <w:b/>
          <w:bCs/>
          <w:i/>
          <w:iCs/>
          <w:sz w:val="20"/>
          <w:szCs w:val="20"/>
        </w:rPr>
      </w:pPr>
      <w:r>
        <w:rPr>
          <w:b/>
          <w:bCs/>
          <w:i/>
          <w:iCs/>
          <w:sz w:val="20"/>
          <w:szCs w:val="20"/>
        </w:rPr>
        <w:t>Accrued Research and Development Costs</w:t>
      </w:r>
    </w:p>
    <w:p w:rsidR="00000000" w:rsidRDefault="00F22B2C">
      <w:pPr>
        <w:pStyle w:val="a3"/>
        <w:spacing w:before="0" w:beforeAutospacing="0" w:after="0" w:afterAutospacing="0"/>
        <w:ind w:firstLine="547"/>
        <w:divId w:val="758066229"/>
        <w:rPr>
          <w:sz w:val="20"/>
          <w:szCs w:val="20"/>
        </w:rPr>
      </w:pPr>
      <w:r>
        <w:rPr>
          <w:sz w:val="20"/>
          <w:szCs w:val="20"/>
        </w:rPr>
        <w:t>Research and development costs are expensed as incurred. Clinical development costs compose a significant component of research and development costs. The Company has a history of contracting with third parties, including contract research organizations (“</w:t>
      </w:r>
      <w:r>
        <w:rPr>
          <w:sz w:val="20"/>
          <w:szCs w:val="20"/>
        </w:rPr>
        <w:t xml:space="preserve">CROs”), independent clinical investigators, and contract manufacturing organizations (“CMOs”) that perform various clinical trial activities on the Company’s behalf in connection with the ongoing development of the Company’s product candidates. </w:t>
      </w:r>
    </w:p>
    <w:p w:rsidR="00000000" w:rsidRDefault="00F22B2C">
      <w:pPr>
        <w:pStyle w:val="a3"/>
        <w:spacing w:before="480" w:beforeAutospacing="0" w:after="0" w:afterAutospacing="0"/>
        <w:jc w:val="center"/>
        <w:divId w:val="2037727630"/>
        <w:rPr>
          <w:sz w:val="20"/>
          <w:szCs w:val="20"/>
        </w:rPr>
      </w:pPr>
      <w:r>
        <w:rPr>
          <w:sz w:val="20"/>
          <w:szCs w:val="20"/>
        </w:rPr>
        <w:t>F-16</w:t>
      </w:r>
    </w:p>
    <w:p w:rsidR="00000000" w:rsidRDefault="00F22B2C">
      <w:pPr>
        <w:pStyle w:val="a3"/>
        <w:spacing w:before="0" w:beforeAutospacing="0" w:after="300" w:afterAutospacing="0"/>
        <w:divId w:val="555166753"/>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555166753"/>
        <w:rPr>
          <w:sz w:val="20"/>
          <w:szCs w:val="20"/>
        </w:rPr>
      </w:pPr>
      <w:r>
        <w:rPr>
          <w:b/>
          <w:bCs/>
          <w:sz w:val="20"/>
          <w:szCs w:val="20"/>
        </w:rPr>
        <w:t>IOVANCE BIOTHERAPEUTICS, INC.</w:t>
      </w:r>
    </w:p>
    <w:p w:rsidR="00000000" w:rsidRDefault="00F22B2C">
      <w:pPr>
        <w:pStyle w:val="a3"/>
        <w:spacing w:before="0" w:beforeAutospacing="0" w:after="300" w:afterAutospacing="0"/>
        <w:jc w:val="center"/>
        <w:divId w:val="555166753"/>
        <w:rPr>
          <w:sz w:val="20"/>
          <w:szCs w:val="20"/>
        </w:rPr>
      </w:pPr>
      <w:r>
        <w:rPr>
          <w:b/>
          <w:bCs/>
          <w:sz w:val="20"/>
          <w:szCs w:val="20"/>
        </w:rPr>
        <w:t>NOTES TO CONSOLIDATED FINANCIAL STATEMENTS</w:t>
      </w:r>
    </w:p>
    <w:p w:rsidR="00000000" w:rsidRDefault="00F22B2C">
      <w:pPr>
        <w:pStyle w:val="a3"/>
        <w:spacing w:before="0" w:beforeAutospacing="0" w:after="0" w:afterAutospacing="0"/>
        <w:divId w:val="1927567810"/>
        <w:rPr>
          <w:sz w:val="20"/>
          <w:szCs w:val="20"/>
        </w:rPr>
      </w:pPr>
      <w:r>
        <w:rPr>
          <w:sz w:val="20"/>
          <w:szCs w:val="20"/>
        </w:rPr>
        <w:t>The financial terms of these contracts are subject to negotiations and may vary from contract to contract and may result in uneven payment flow.</w:t>
      </w:r>
      <w:r>
        <w:rPr>
          <w:sz w:val="20"/>
          <w:szCs w:val="20"/>
        </w:rPr>
        <w:t xml:space="preserve"> The Company accrues and expenses costs for clinical trial activities performed by third parties based upon estimates of work completed to date for each clinical trial in accordance with agreements established with CROs, hospitals, and clinical investigato</w:t>
      </w:r>
      <w:r>
        <w:rPr>
          <w:sz w:val="20"/>
          <w:szCs w:val="20"/>
        </w:rPr>
        <w:t>rs. Accruals for CROs and CMOs are recorded based on estimates of services received and efforts expended pursuant to agreements established with CROs, CMOs and other outside service providers. The Company determines its estimates through discussions with i</w:t>
      </w:r>
      <w:r>
        <w:rPr>
          <w:sz w:val="20"/>
          <w:szCs w:val="20"/>
        </w:rPr>
        <w:t>nternal clinical stakeholders and outside service providers as to the progress or stage of completion of clinical trials or services and the contracted fee to be paid for such services.</w:t>
      </w:r>
    </w:p>
    <w:p w:rsidR="00000000" w:rsidRDefault="00F22B2C">
      <w:pPr>
        <w:pStyle w:val="a3"/>
        <w:spacing w:before="0" w:beforeAutospacing="0" w:after="0" w:afterAutospacing="0"/>
        <w:ind w:firstLine="547"/>
        <w:divId w:val="1927567810"/>
        <w:rPr>
          <w:sz w:val="20"/>
          <w:szCs w:val="20"/>
        </w:rPr>
      </w:pPr>
      <w:r>
        <w:rPr>
          <w:sz w:val="20"/>
          <w:szCs w:val="20"/>
        </w:rPr>
        <w:t>​</w:t>
      </w:r>
    </w:p>
    <w:p w:rsidR="00000000" w:rsidRDefault="00F22B2C">
      <w:pPr>
        <w:pStyle w:val="a3"/>
        <w:spacing w:before="0" w:beforeAutospacing="0" w:after="0" w:afterAutospacing="0"/>
        <w:ind w:firstLine="547"/>
        <w:divId w:val="1927567810"/>
        <w:rPr>
          <w:sz w:val="20"/>
          <w:szCs w:val="20"/>
        </w:rPr>
      </w:pPr>
      <w:r>
        <w:rPr>
          <w:sz w:val="20"/>
          <w:szCs w:val="20"/>
        </w:rPr>
        <w:t>Included in the Company’s clinical development costs are investigato</w:t>
      </w:r>
      <w:r>
        <w:rPr>
          <w:sz w:val="20"/>
          <w:szCs w:val="20"/>
        </w:rPr>
        <w:t xml:space="preserve">r costs, which are costs associated with treatments administered at clinical sites as required under each clinical study protocol. The Company’s estimates for clinical investigator costs and timing of expense recognition will depend on a number of factors </w:t>
      </w:r>
      <w:r>
        <w:rPr>
          <w:sz w:val="20"/>
          <w:szCs w:val="20"/>
        </w:rPr>
        <w:t>that include, but are not limited to, (i) the overall number of patients that enroll in the trial at each individual site, (ii) the length of study enrollment period, (iii) discontinuation and completion rates of patients, (iv) duration of patient safety f</w:t>
      </w:r>
      <w:r>
        <w:rPr>
          <w:sz w:val="20"/>
          <w:szCs w:val="20"/>
        </w:rPr>
        <w:t>ollow-ups, (v) the number of sites included in the clinical trial, and (vi) the contracted fee of each participating site for patient treatment while on study, which can vary greatly for several reasons including, but not limited to, geographic region, med</w:t>
      </w:r>
      <w:r>
        <w:rPr>
          <w:sz w:val="20"/>
          <w:szCs w:val="20"/>
        </w:rPr>
        <w:t>ical center or physician costs, and overhead costs. In addition, the Company’s estimates for per patient trial costs will vary based on a number of factors that include, but are not limited to, the extent of additional treatments that may be administered b</w:t>
      </w:r>
      <w:r>
        <w:rPr>
          <w:sz w:val="20"/>
          <w:szCs w:val="20"/>
        </w:rPr>
        <w:t>y investigators as a result of patient health status, recoverability of patient costs through insurance carriers of patients, and unanticipated cost of injuries incurred as a result of the study treatment. The Company accrues for estimated expenses resulti</w:t>
      </w:r>
      <w:r>
        <w:rPr>
          <w:sz w:val="20"/>
          <w:szCs w:val="20"/>
        </w:rPr>
        <w:t>ng from obligations under investigator site agreements as the timing of payments does not always timely align with the periods over which the treatments are administered by the clinical investigators. These estimates are typically based on contracted amoun</w:t>
      </w:r>
      <w:r>
        <w:rPr>
          <w:sz w:val="20"/>
          <w:szCs w:val="20"/>
        </w:rPr>
        <w:t xml:space="preserve">ts, patient visit data, discussions with internal clinical stakeholders and outside service providers, and historical look-back analysis of actual payments made to date. </w:t>
      </w:r>
    </w:p>
    <w:p w:rsidR="00000000" w:rsidRDefault="00F22B2C">
      <w:pPr>
        <w:pStyle w:val="a3"/>
        <w:spacing w:before="0" w:beforeAutospacing="0" w:after="0" w:afterAutospacing="0"/>
        <w:ind w:firstLine="547"/>
        <w:divId w:val="1927567810"/>
        <w:rPr>
          <w:sz w:val="20"/>
          <w:szCs w:val="20"/>
        </w:rPr>
      </w:pPr>
      <w:r>
        <w:rPr>
          <w:sz w:val="20"/>
          <w:szCs w:val="20"/>
        </w:rPr>
        <w:t>​</w:t>
      </w:r>
    </w:p>
    <w:p w:rsidR="00000000" w:rsidRDefault="00F22B2C">
      <w:pPr>
        <w:pStyle w:val="a3"/>
        <w:spacing w:before="0" w:beforeAutospacing="0" w:after="0" w:afterAutospacing="0"/>
        <w:ind w:firstLine="547"/>
        <w:divId w:val="1927567810"/>
        <w:rPr>
          <w:sz w:val="20"/>
          <w:szCs w:val="20"/>
        </w:rPr>
      </w:pPr>
      <w:r>
        <w:rPr>
          <w:sz w:val="20"/>
          <w:szCs w:val="20"/>
        </w:rPr>
        <w:t>The Company makes judgements and estimates in determining the accrual balance in ea</w:t>
      </w:r>
      <w:r>
        <w:rPr>
          <w:sz w:val="20"/>
          <w:szCs w:val="20"/>
        </w:rPr>
        <w:t xml:space="preserve">ch reporting period. </w:t>
      </w:r>
    </w:p>
    <w:p w:rsidR="00000000" w:rsidRDefault="00F22B2C">
      <w:pPr>
        <w:pStyle w:val="a3"/>
        <w:spacing w:before="0" w:beforeAutospacing="0" w:after="0" w:afterAutospacing="0"/>
        <w:ind w:firstLine="547"/>
        <w:divId w:val="1927567810"/>
        <w:rPr>
          <w:sz w:val="20"/>
          <w:szCs w:val="20"/>
        </w:rPr>
      </w:pPr>
      <w:r>
        <w:rPr>
          <w:sz w:val="20"/>
          <w:szCs w:val="20"/>
        </w:rPr>
        <w:t>​</w:t>
      </w:r>
    </w:p>
    <w:p w:rsidR="00000000" w:rsidRDefault="00F22B2C">
      <w:pPr>
        <w:pStyle w:val="a3"/>
        <w:spacing w:before="0" w:beforeAutospacing="0" w:after="0" w:afterAutospacing="0"/>
        <w:ind w:firstLine="547"/>
        <w:divId w:val="1927567810"/>
        <w:rPr>
          <w:sz w:val="20"/>
          <w:szCs w:val="20"/>
        </w:rPr>
      </w:pPr>
      <w:r>
        <w:rPr>
          <w:sz w:val="20"/>
          <w:szCs w:val="20"/>
        </w:rPr>
        <w:t>In the event advance payments are made to a CRO, CMO or other outside service provider, the payments are recorded within prepaid expenses and other current assets in the Consolidated Balance Sheets and subsequently recognized as res</w:t>
      </w:r>
      <w:r>
        <w:rPr>
          <w:sz w:val="20"/>
          <w:szCs w:val="20"/>
        </w:rPr>
        <w:t>earch and development expense in the Consolidated Statements of Operations when the associated services have been performed. As actual costs become known, the Company adjusts its estimates, liabilities and assets. Inputs used in the determination of estima</w:t>
      </w:r>
      <w:r>
        <w:rPr>
          <w:sz w:val="20"/>
          <w:szCs w:val="20"/>
        </w:rPr>
        <w:t>tes discussed above may vary from actual, which will result in adjustments to research and development expense in future periods. Changes in these estimates that result in material changes to the Company’s accruals could materially affect its results of op</w:t>
      </w:r>
      <w:r>
        <w:rPr>
          <w:sz w:val="20"/>
          <w:szCs w:val="20"/>
        </w:rPr>
        <w:t>erations. The Company’s historical estimates have not been materially different from actual amounts recorded.</w:t>
      </w:r>
    </w:p>
    <w:p w:rsidR="00000000" w:rsidRDefault="00F22B2C">
      <w:pPr>
        <w:pStyle w:val="a3"/>
        <w:spacing w:before="0" w:beforeAutospacing="0" w:after="0" w:afterAutospacing="0"/>
        <w:ind w:firstLine="547"/>
        <w:divId w:val="1927567810"/>
        <w:rPr>
          <w:sz w:val="20"/>
          <w:szCs w:val="20"/>
        </w:rPr>
      </w:pPr>
      <w:r>
        <w:rPr>
          <w:sz w:val="20"/>
          <w:szCs w:val="20"/>
        </w:rPr>
        <w:t>​</w:t>
      </w:r>
    </w:p>
    <w:p w:rsidR="00000000" w:rsidRDefault="00F22B2C">
      <w:pPr>
        <w:pStyle w:val="a3"/>
        <w:spacing w:before="0" w:beforeAutospacing="0" w:after="240" w:afterAutospacing="0"/>
        <w:divId w:val="1927567810"/>
        <w:rPr>
          <w:sz w:val="20"/>
          <w:szCs w:val="20"/>
        </w:rPr>
      </w:pPr>
      <w:r>
        <w:rPr>
          <w:b/>
          <w:bCs/>
          <w:i/>
          <w:iCs/>
          <w:sz w:val="20"/>
          <w:szCs w:val="20"/>
        </w:rPr>
        <w:t>General and Administrative Expenses</w:t>
      </w:r>
    </w:p>
    <w:p w:rsidR="00000000" w:rsidRDefault="00F22B2C">
      <w:pPr>
        <w:pStyle w:val="a3"/>
        <w:spacing w:before="0" w:beforeAutospacing="0" w:after="240" w:afterAutospacing="0"/>
        <w:ind w:firstLine="547"/>
        <w:divId w:val="1927567810"/>
        <w:rPr>
          <w:sz w:val="20"/>
          <w:szCs w:val="20"/>
        </w:rPr>
      </w:pPr>
      <w:r>
        <w:rPr>
          <w:sz w:val="20"/>
          <w:szCs w:val="20"/>
        </w:rPr>
        <w:t>General and administrative expenses consist primarily of salaries and other related costs, including stock-b</w:t>
      </w:r>
      <w:r>
        <w:rPr>
          <w:sz w:val="20"/>
          <w:szCs w:val="20"/>
        </w:rPr>
        <w:t>ased compensation, for personnel in executive, finance, accounting, legal, investor relations, facilities, business development, marketing, commercial and human resources functions. Other significant costs include facility costs not otherwise included in r</w:t>
      </w:r>
      <w:r>
        <w:rPr>
          <w:sz w:val="20"/>
          <w:szCs w:val="20"/>
        </w:rPr>
        <w:t>esearch and development expenses, sublicense royalty expenses, legal fees relating to corporate matters, insurance, public company expenses relating to maintaining compliance with Nasdaq listing rules and Securities and Exchange Commission (“SEC”) requirem</w:t>
      </w:r>
      <w:r>
        <w:rPr>
          <w:sz w:val="20"/>
          <w:szCs w:val="20"/>
        </w:rPr>
        <w:t>ents, investor relations costs, and fees for accounting and consulting services. General and administrative costs are expensed as incurred.</w:t>
      </w:r>
    </w:p>
    <w:p w:rsidR="00000000" w:rsidRDefault="00F22B2C">
      <w:pPr>
        <w:pStyle w:val="a3"/>
        <w:spacing w:before="0" w:beforeAutospacing="0" w:after="200" w:afterAutospacing="0"/>
        <w:divId w:val="1927567810"/>
        <w:rPr>
          <w:b/>
          <w:bCs/>
          <w:i/>
          <w:iCs/>
          <w:sz w:val="20"/>
          <w:szCs w:val="20"/>
        </w:rPr>
      </w:pPr>
      <w:r>
        <w:rPr>
          <w:b/>
          <w:bCs/>
          <w:i/>
          <w:iCs/>
          <w:sz w:val="20"/>
          <w:szCs w:val="20"/>
        </w:rPr>
        <w:t>Income Taxes</w:t>
      </w:r>
    </w:p>
    <w:p w:rsidR="00000000" w:rsidRDefault="00F22B2C">
      <w:pPr>
        <w:pStyle w:val="a3"/>
        <w:spacing w:before="0" w:beforeAutospacing="0" w:after="240" w:afterAutospacing="0"/>
        <w:ind w:firstLine="547"/>
        <w:divId w:val="1927567810"/>
        <w:rPr>
          <w:sz w:val="20"/>
          <w:szCs w:val="20"/>
        </w:rPr>
      </w:pPr>
      <w:r>
        <w:rPr>
          <w:sz w:val="20"/>
          <w:szCs w:val="20"/>
        </w:rPr>
        <w:t xml:space="preserve">The Company accounts for income taxes using the asset and liability method whereby deferred tax assets </w:t>
      </w:r>
      <w:r>
        <w:rPr>
          <w:sz w:val="20"/>
          <w:szCs w:val="20"/>
        </w:rPr>
        <w:t>are recognized for deductible temporary differences, and deferred tax liabilities are recognized for taxable temporary differences. Temporary differences are the differences between the reported amounts of assets and liabilities and their tax bases. Deferr</w:t>
      </w:r>
      <w:r>
        <w:rPr>
          <w:sz w:val="20"/>
          <w:szCs w:val="20"/>
        </w:rPr>
        <w:t xml:space="preserve">ed tax assets are reduced by a valuation allowance when, in the opinion of management, it is more likely than not that some or all of the deferred tax assets will not be realized. Deferred tax assets and liabilities are adjusted for the effects of changes </w:t>
      </w:r>
      <w:r>
        <w:rPr>
          <w:sz w:val="20"/>
          <w:szCs w:val="20"/>
        </w:rPr>
        <w:t>in tax laws and rates on the date of enactment.</w:t>
      </w:r>
    </w:p>
    <w:p w:rsidR="00000000" w:rsidRDefault="00F22B2C">
      <w:pPr>
        <w:pStyle w:val="a3"/>
        <w:spacing w:before="0" w:beforeAutospacing="0" w:after="0" w:afterAutospacing="0"/>
        <w:ind w:firstLine="547"/>
        <w:divId w:val="1927567810"/>
        <w:rPr>
          <w:sz w:val="20"/>
          <w:szCs w:val="20"/>
        </w:rPr>
      </w:pPr>
      <w:r>
        <w:rPr>
          <w:sz w:val="20"/>
          <w:szCs w:val="20"/>
        </w:rPr>
        <w:t xml:space="preserve">ASC Topic 740, </w:t>
      </w:r>
      <w:r>
        <w:rPr>
          <w:i/>
          <w:iCs/>
          <w:sz w:val="20"/>
          <w:szCs w:val="20"/>
        </w:rPr>
        <w:t>Income Taxes</w:t>
      </w:r>
      <w:r>
        <w:rPr>
          <w:sz w:val="20"/>
          <w:szCs w:val="20"/>
        </w:rPr>
        <w:t>, clarifies the accounting for uncertainty in income taxes recognized in an enterprise’s financial statements and prescribes a recognition threshold and measurement attribute for th</w:t>
      </w:r>
      <w:r>
        <w:rPr>
          <w:sz w:val="20"/>
          <w:szCs w:val="20"/>
        </w:rPr>
        <w:t xml:space="preserve">e financial statement recognition and measurement of a tax position taken or expected to be taken in a tax return. ASC Topic 740 provides guidance on de-recognition, classification, </w:t>
      </w:r>
    </w:p>
    <w:p w:rsidR="00000000" w:rsidRDefault="00F22B2C">
      <w:pPr>
        <w:pStyle w:val="a3"/>
        <w:spacing w:before="480" w:beforeAutospacing="0" w:after="0" w:afterAutospacing="0"/>
        <w:jc w:val="center"/>
        <w:divId w:val="2027095950"/>
        <w:rPr>
          <w:sz w:val="20"/>
          <w:szCs w:val="20"/>
        </w:rPr>
      </w:pPr>
      <w:r>
        <w:rPr>
          <w:sz w:val="20"/>
          <w:szCs w:val="20"/>
        </w:rPr>
        <w:t>F-17</w:t>
      </w:r>
    </w:p>
    <w:p w:rsidR="00000000" w:rsidRDefault="00F22B2C">
      <w:pPr>
        <w:pStyle w:val="a3"/>
        <w:spacing w:before="0" w:beforeAutospacing="0" w:after="300" w:afterAutospacing="0"/>
        <w:divId w:val="664281296"/>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664281296"/>
        <w:rPr>
          <w:sz w:val="20"/>
          <w:szCs w:val="20"/>
        </w:rPr>
      </w:pPr>
      <w:r>
        <w:rPr>
          <w:b/>
          <w:bCs/>
          <w:sz w:val="20"/>
          <w:szCs w:val="20"/>
        </w:rPr>
        <w:t>IOVANCE BIOTHERAPEUTICS, INC.</w:t>
      </w:r>
    </w:p>
    <w:p w:rsidR="00000000" w:rsidRDefault="00F22B2C">
      <w:pPr>
        <w:pStyle w:val="a3"/>
        <w:spacing w:before="0" w:beforeAutospacing="0" w:after="300" w:afterAutospacing="0"/>
        <w:jc w:val="center"/>
        <w:divId w:val="664281296"/>
        <w:rPr>
          <w:sz w:val="20"/>
          <w:szCs w:val="20"/>
        </w:rPr>
      </w:pPr>
      <w:r>
        <w:rPr>
          <w:b/>
          <w:bCs/>
          <w:sz w:val="20"/>
          <w:szCs w:val="20"/>
        </w:rPr>
        <w:t>NOTES TO CONSOLIDATED FINANCIAL STATEMENTS</w:t>
      </w:r>
    </w:p>
    <w:p w:rsidR="00000000" w:rsidRDefault="00F22B2C">
      <w:pPr>
        <w:pStyle w:val="a3"/>
        <w:spacing w:before="0" w:beforeAutospacing="0" w:after="240" w:afterAutospacing="0"/>
        <w:divId w:val="1193036790"/>
        <w:rPr>
          <w:sz w:val="20"/>
          <w:szCs w:val="20"/>
        </w:rPr>
      </w:pPr>
      <w:r>
        <w:rPr>
          <w:sz w:val="20"/>
          <w:szCs w:val="20"/>
        </w:rPr>
        <w:t>interest and penalties, accounting in interim periods, disclosure, and transition. The Company will classify as income tax expense any interest and penalties. The Company has no mater</w:t>
      </w:r>
      <w:r>
        <w:rPr>
          <w:sz w:val="20"/>
          <w:szCs w:val="20"/>
        </w:rPr>
        <w:t>ial uncertain tax positions for any of the reporting periods presented.</w:t>
      </w:r>
    </w:p>
    <w:p w:rsidR="00000000" w:rsidRDefault="00F22B2C">
      <w:pPr>
        <w:pStyle w:val="a3"/>
        <w:spacing w:before="0" w:beforeAutospacing="0" w:after="200" w:afterAutospacing="0"/>
        <w:divId w:val="1193036790"/>
        <w:rPr>
          <w:b/>
          <w:bCs/>
          <w:i/>
          <w:iCs/>
          <w:sz w:val="20"/>
          <w:szCs w:val="20"/>
        </w:rPr>
      </w:pPr>
      <w:r>
        <w:rPr>
          <w:b/>
          <w:bCs/>
          <w:i/>
          <w:iCs/>
          <w:sz w:val="20"/>
          <w:szCs w:val="20"/>
        </w:rPr>
        <w:t>Concentrations</w:t>
      </w:r>
    </w:p>
    <w:p w:rsidR="00000000" w:rsidRDefault="00F22B2C">
      <w:pPr>
        <w:pStyle w:val="a3"/>
        <w:spacing w:before="0" w:beforeAutospacing="0" w:after="200" w:afterAutospacing="0"/>
        <w:ind w:firstLine="547"/>
        <w:divId w:val="1193036790"/>
        <w:rPr>
          <w:sz w:val="20"/>
          <w:szCs w:val="20"/>
        </w:rPr>
      </w:pPr>
      <w:r>
        <w:rPr>
          <w:sz w:val="20"/>
          <w:szCs w:val="20"/>
        </w:rPr>
        <w:t>The Company is subject to credit risk from its portfolio of cash, cash equivalents and investments. Under its investment policy, the Company limits amounts invested in s</w:t>
      </w:r>
      <w:r>
        <w:rPr>
          <w:sz w:val="20"/>
          <w:szCs w:val="20"/>
        </w:rPr>
        <w:t>uch securities by credit rating, maturity, industry group, investment type and issuer, except for securities issued by the U.S. government. The Company does not believe it is exposed to any significant concentrations of credit risk from these financial ins</w:t>
      </w:r>
      <w:r>
        <w:rPr>
          <w:sz w:val="20"/>
          <w:szCs w:val="20"/>
        </w:rPr>
        <w:t>truments. The Company maintains cash, cash equivalents and investment balances at four financial institutions. Management believes that the financial institutions which hold its cash are financially sound and, accordingly, minimal credit risk exists. As of</w:t>
      </w:r>
      <w:r>
        <w:rPr>
          <w:sz w:val="20"/>
          <w:szCs w:val="20"/>
        </w:rPr>
        <w:t xml:space="preserve"> December 31, 2021, and 2020, respectively, the Company’s cash balances were in excess of insured limits maintained at the financial institutions.</w:t>
      </w:r>
    </w:p>
    <w:p w:rsidR="00000000" w:rsidRDefault="00F22B2C">
      <w:pPr>
        <w:pStyle w:val="a3"/>
        <w:spacing w:before="0" w:beforeAutospacing="0" w:after="200" w:afterAutospacing="0"/>
        <w:divId w:val="1193036790"/>
        <w:rPr>
          <w:sz w:val="20"/>
          <w:szCs w:val="20"/>
        </w:rPr>
      </w:pPr>
      <w:r>
        <w:rPr>
          <w:b/>
          <w:bCs/>
          <w:i/>
          <w:iCs/>
          <w:sz w:val="20"/>
          <w:szCs w:val="20"/>
        </w:rPr>
        <w:t>Segment Reporting</w:t>
      </w:r>
    </w:p>
    <w:p w:rsidR="00000000" w:rsidRDefault="00F22B2C">
      <w:pPr>
        <w:pStyle w:val="a3"/>
        <w:spacing w:before="0" w:beforeAutospacing="0" w:after="200" w:afterAutospacing="0"/>
        <w:ind w:firstLine="547"/>
        <w:divId w:val="1193036790"/>
        <w:rPr>
          <w:sz w:val="20"/>
          <w:szCs w:val="20"/>
        </w:rPr>
      </w:pPr>
      <w:r>
        <w:rPr>
          <w:sz w:val="20"/>
          <w:szCs w:val="20"/>
        </w:rPr>
        <w:t>The Company operates in one segment, focused on developing and commercializing therapies us</w:t>
      </w:r>
      <w:r>
        <w:rPr>
          <w:sz w:val="20"/>
          <w:szCs w:val="20"/>
        </w:rPr>
        <w:t>ing autologous TIL for the treatment of metastatic melanoma and other solid tumor cancers</w:t>
      </w:r>
    </w:p>
    <w:p w:rsidR="00000000" w:rsidRDefault="00F22B2C">
      <w:pPr>
        <w:pStyle w:val="a3"/>
        <w:spacing w:before="0" w:beforeAutospacing="0" w:after="200" w:afterAutospacing="0"/>
        <w:divId w:val="1193036790"/>
        <w:rPr>
          <w:b/>
          <w:bCs/>
          <w:i/>
          <w:iCs/>
          <w:sz w:val="20"/>
          <w:szCs w:val="20"/>
        </w:rPr>
      </w:pPr>
      <w:r>
        <w:rPr>
          <w:b/>
          <w:bCs/>
          <w:i/>
          <w:iCs/>
          <w:sz w:val="20"/>
          <w:szCs w:val="20"/>
        </w:rPr>
        <w:t>Recently Issued and Adopted Accounting Standards</w:t>
      </w:r>
    </w:p>
    <w:p w:rsidR="00000000" w:rsidRDefault="00F22B2C">
      <w:pPr>
        <w:pStyle w:val="a3"/>
        <w:spacing w:before="0" w:beforeAutospacing="0" w:after="200" w:afterAutospacing="0"/>
        <w:divId w:val="1193036790"/>
        <w:rPr>
          <w:sz w:val="20"/>
          <w:szCs w:val="20"/>
        </w:rPr>
      </w:pPr>
      <w:r>
        <w:rPr>
          <w:i/>
          <w:iCs/>
          <w:sz w:val="20"/>
          <w:szCs w:val="20"/>
        </w:rPr>
        <w:t>Income Taxes</w:t>
      </w:r>
    </w:p>
    <w:p w:rsidR="00000000" w:rsidRDefault="00F22B2C">
      <w:pPr>
        <w:pStyle w:val="a3"/>
        <w:spacing w:before="0" w:beforeAutospacing="0" w:after="200" w:afterAutospacing="0"/>
        <w:ind w:firstLine="547"/>
        <w:divId w:val="1193036790"/>
        <w:rPr>
          <w:sz w:val="20"/>
          <w:szCs w:val="20"/>
        </w:rPr>
      </w:pPr>
      <w:r>
        <w:rPr>
          <w:sz w:val="20"/>
          <w:szCs w:val="20"/>
        </w:rPr>
        <w:t xml:space="preserve">In December 2019, the FASB issued ASU No. 2019-12, </w:t>
      </w:r>
      <w:r>
        <w:rPr>
          <w:i/>
          <w:iCs/>
          <w:sz w:val="20"/>
          <w:szCs w:val="20"/>
        </w:rPr>
        <w:t xml:space="preserve">Income Taxes (Topic 740): Simplifying the Accounting </w:t>
      </w:r>
      <w:r>
        <w:rPr>
          <w:i/>
          <w:iCs/>
          <w:sz w:val="20"/>
          <w:szCs w:val="20"/>
        </w:rPr>
        <w:t>for Income Taxes</w:t>
      </w:r>
      <w:r>
        <w:rPr>
          <w:sz w:val="20"/>
          <w:szCs w:val="20"/>
        </w:rPr>
        <w:t>, which simplifies accounting for income taxes by eliminating certain exceptions to the guidance in Topic 740 related to the approach for allocating income tax expense or benefit for the year to continuing operations, discontinued operation</w:t>
      </w:r>
      <w:r>
        <w:rPr>
          <w:sz w:val="20"/>
          <w:szCs w:val="20"/>
        </w:rPr>
        <w:t>s, other comprehensive income, and other charges or credits recorded directly to stockholders’ equity; the methodology for calculating income tax expense or benefit in an interim period; and recognition of deferred tax liabilities outside basis difference.</w:t>
      </w:r>
      <w:r>
        <w:rPr>
          <w:sz w:val="20"/>
          <w:szCs w:val="20"/>
        </w:rPr>
        <w:t xml:space="preserve"> This ASU became effective for the Company on January 1, 2021, however, the adoption of this new standard did not have a material impact on its condensed consolidated financial statements and related disclosures.</w:t>
      </w:r>
    </w:p>
    <w:p w:rsidR="00000000" w:rsidRDefault="00F22B2C">
      <w:pPr>
        <w:pStyle w:val="a3"/>
        <w:spacing w:before="0" w:beforeAutospacing="0" w:after="0" w:afterAutospacing="0"/>
        <w:divId w:val="1193036790"/>
        <w:rPr>
          <w:sz w:val="20"/>
          <w:szCs w:val="20"/>
        </w:rPr>
      </w:pPr>
      <w:r>
        <w:rPr>
          <w:sz w:val="2"/>
          <w:szCs w:val="2"/>
        </w:rPr>
        <w:t>​</w:t>
      </w:r>
    </w:p>
    <w:p w:rsidR="00000000" w:rsidRDefault="00F22B2C">
      <w:pPr>
        <w:pStyle w:val="a3"/>
        <w:spacing w:before="0" w:beforeAutospacing="0" w:after="0" w:afterAutospacing="0"/>
        <w:ind w:firstLine="360"/>
        <w:divId w:val="1193036790"/>
        <w:rPr>
          <w:sz w:val="20"/>
          <w:szCs w:val="20"/>
        </w:rPr>
      </w:pPr>
      <w:r>
        <w:rPr>
          <w:sz w:val="20"/>
          <w:szCs w:val="20"/>
        </w:rPr>
        <w:t>​</w:t>
      </w:r>
    </w:p>
    <w:p w:rsidR="00000000" w:rsidRDefault="00F22B2C">
      <w:pPr>
        <w:pStyle w:val="a3"/>
        <w:spacing w:before="0" w:beforeAutospacing="0" w:after="200" w:afterAutospacing="0"/>
        <w:divId w:val="1193036790"/>
        <w:rPr>
          <w:b/>
          <w:bCs/>
          <w:sz w:val="20"/>
          <w:szCs w:val="20"/>
        </w:rPr>
      </w:pPr>
      <w:r>
        <w:rPr>
          <w:b/>
          <w:bCs/>
          <w:sz w:val="20"/>
          <w:szCs w:val="20"/>
        </w:rPr>
        <w:t>NOTE 3. CASH EQUIVALENTS AND INVESTMENT</w:t>
      </w:r>
      <w:r>
        <w:rPr>
          <w:b/>
          <w:bCs/>
          <w:sz w:val="20"/>
          <w:szCs w:val="20"/>
        </w:rPr>
        <w:t>S</w:t>
      </w:r>
    </w:p>
    <w:p w:rsidR="00000000" w:rsidRDefault="00F22B2C">
      <w:pPr>
        <w:pStyle w:val="a3"/>
        <w:spacing w:before="0" w:beforeAutospacing="0" w:after="0" w:afterAutospacing="0"/>
        <w:ind w:firstLine="547"/>
        <w:divId w:val="1193036790"/>
        <w:rPr>
          <w:sz w:val="20"/>
          <w:szCs w:val="20"/>
        </w:rPr>
      </w:pPr>
      <w:r>
        <w:rPr>
          <w:sz w:val="20"/>
          <w:szCs w:val="20"/>
        </w:rPr>
        <w:t>The amortized cost and fair value of cash equivalents and investments as of December 31, 2021 and December 31, 2020 were as follows (in thousands):</w:t>
      </w:r>
    </w:p>
    <w:p w:rsidR="00000000" w:rsidRDefault="00F22B2C">
      <w:pPr>
        <w:pStyle w:val="a3"/>
        <w:spacing w:before="0" w:beforeAutospacing="0" w:after="0" w:afterAutospacing="0"/>
        <w:ind w:firstLine="547"/>
        <w:divId w:val="119303679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62"/>
        <w:gridCol w:w="187"/>
        <w:gridCol w:w="117"/>
        <w:gridCol w:w="735"/>
        <w:gridCol w:w="187"/>
        <w:gridCol w:w="117"/>
        <w:gridCol w:w="734"/>
        <w:gridCol w:w="186"/>
        <w:gridCol w:w="116"/>
        <w:gridCol w:w="734"/>
        <w:gridCol w:w="186"/>
        <w:gridCol w:w="116"/>
        <w:gridCol w:w="729"/>
      </w:tblGrid>
      <w:tr w:rsidR="00000000">
        <w:trPr>
          <w:divId w:val="1193036790"/>
          <w:trHeight w:val="2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divId w:val="159266220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769537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43595374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89797531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8654456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99187546"/>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02736789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0789828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64908893"/>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00120093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48944995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13291652"/>
              <w:rPr>
                <w:sz w:val="20"/>
                <w:szCs w:val="20"/>
              </w:rPr>
            </w:pPr>
            <w:r>
              <w:rPr>
                <w:sz w:val="2"/>
                <w:szCs w:val="2"/>
              </w:rPr>
              <w:t>​</w:t>
            </w:r>
          </w:p>
        </w:tc>
        <w:tc>
          <w:tcPr>
            <w:tcW w:w="43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50768444"/>
              <w:rPr>
                <w:sz w:val="20"/>
                <w:szCs w:val="20"/>
              </w:rPr>
            </w:pPr>
            <w:r>
              <w:rPr>
                <w:sz w:val="2"/>
                <w:szCs w:val="2"/>
              </w:rPr>
              <w:t>​</w:t>
            </w:r>
          </w:p>
        </w:tc>
      </w:tr>
      <w:tr w:rsidR="00000000">
        <w:trPr>
          <w:divId w:val="119303679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16"/>
                <w:szCs w:val="16"/>
              </w:rPr>
              <w:t>​</w:t>
            </w:r>
          </w:p>
        </w:tc>
      </w:tr>
      <w:tr w:rsidR="00000000">
        <w:trPr>
          <w:divId w:val="119303679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512" w:type="pct"/>
            <w:gridSpan w:val="2"/>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xml:space="preserve">Amortized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16"/>
                <w:szCs w:val="16"/>
              </w:rPr>
              <w:t>​</w:t>
            </w:r>
          </w:p>
        </w:tc>
      </w:tr>
      <w:tr w:rsidR="00000000">
        <w:trPr>
          <w:divId w:val="1193036790"/>
        </w:trPr>
        <w:tc>
          <w:tcPr>
            <w:tcW w:w="2503" w:type="pct"/>
            <w:tcBorders>
              <w:bottom w:val="single" w:sz="6" w:space="0" w:color="000000"/>
            </w:tcBorders>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As of December 31, 2021</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Cost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Losses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    </w:t>
            </w:r>
          </w:p>
        </w:tc>
        <w:tc>
          <w:tcPr>
            <w:tcW w:w="50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Fair Value</w:t>
            </w:r>
          </w:p>
        </w:tc>
      </w:tr>
      <w:tr w:rsidR="00000000">
        <w:trPr>
          <w:divId w:val="1193036790"/>
        </w:trPr>
        <w:tc>
          <w:tcPr>
            <w:tcW w:w="250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247,287</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(520)</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246,767</w:t>
            </w:r>
          </w:p>
        </w:tc>
      </w:tr>
      <w:tr w:rsidR="00000000">
        <w:trPr>
          <w:divId w:val="119303679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5,104</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(7)</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5,097</w:t>
            </w:r>
          </w:p>
        </w:tc>
      </w:tr>
      <w:tr w:rsidR="00000000">
        <w:trPr>
          <w:divId w:val="1193036790"/>
        </w:trPr>
        <w:tc>
          <w:tcPr>
            <w:tcW w:w="250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Corporate securities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35,627</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(39)</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35,588</w:t>
            </w:r>
          </w:p>
        </w:tc>
      </w:tr>
      <w:tr w:rsidR="00000000">
        <w:trPr>
          <w:divId w:val="119303679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Commercial paper</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235,352</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10</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(46)</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235,316</w:t>
            </w:r>
          </w:p>
        </w:tc>
      </w:tr>
      <w:tr w:rsidR="00000000">
        <w:trPr>
          <w:divId w:val="1193036790"/>
        </w:trPr>
        <w:tc>
          <w:tcPr>
            <w:tcW w:w="250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Money market funds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56,250</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56,250</w:t>
            </w:r>
          </w:p>
        </w:tc>
      </w:tr>
      <w:tr w:rsidR="00000000">
        <w:trPr>
          <w:divId w:val="119303679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Total investments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579,620</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10</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(612)</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579,018</w:t>
            </w:r>
          </w:p>
        </w:tc>
      </w:tr>
    </w:tbl>
    <w:p w:rsidR="00000000" w:rsidRDefault="00F22B2C">
      <w:pPr>
        <w:pStyle w:val="a3"/>
        <w:spacing w:before="0" w:beforeAutospacing="0" w:after="0" w:afterAutospacing="0"/>
        <w:ind w:firstLine="547"/>
        <w:divId w:val="119303679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62"/>
        <w:gridCol w:w="187"/>
        <w:gridCol w:w="117"/>
        <w:gridCol w:w="735"/>
        <w:gridCol w:w="187"/>
        <w:gridCol w:w="117"/>
        <w:gridCol w:w="734"/>
        <w:gridCol w:w="186"/>
        <w:gridCol w:w="116"/>
        <w:gridCol w:w="734"/>
        <w:gridCol w:w="186"/>
        <w:gridCol w:w="116"/>
        <w:gridCol w:w="729"/>
      </w:tblGrid>
      <w:tr w:rsidR="00000000">
        <w:trPr>
          <w:divId w:val="1193036790"/>
          <w:trHeight w:val="2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divId w:val="1886796455"/>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02015332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682051383"/>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6568912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1852081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047415655"/>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6799703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1981833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515995281"/>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20405456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32955352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2379883"/>
              <w:rPr>
                <w:sz w:val="20"/>
                <w:szCs w:val="20"/>
              </w:rPr>
            </w:pPr>
            <w:r>
              <w:rPr>
                <w:sz w:val="2"/>
                <w:szCs w:val="2"/>
              </w:rPr>
              <w:t>​</w:t>
            </w:r>
          </w:p>
        </w:tc>
        <w:tc>
          <w:tcPr>
            <w:tcW w:w="43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716315191"/>
              <w:rPr>
                <w:sz w:val="20"/>
                <w:szCs w:val="20"/>
              </w:rPr>
            </w:pPr>
            <w:r>
              <w:rPr>
                <w:sz w:val="2"/>
                <w:szCs w:val="2"/>
              </w:rPr>
              <w:t>​</w:t>
            </w:r>
          </w:p>
        </w:tc>
      </w:tr>
      <w:tr w:rsidR="00000000">
        <w:trPr>
          <w:divId w:val="119303679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16"/>
                <w:szCs w:val="16"/>
              </w:rPr>
              <w:t>​</w:t>
            </w:r>
          </w:p>
        </w:tc>
      </w:tr>
      <w:tr w:rsidR="00000000">
        <w:trPr>
          <w:divId w:val="119303679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512" w:type="pct"/>
            <w:gridSpan w:val="2"/>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xml:space="preserve">Amortized </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16"/>
                <w:szCs w:val="16"/>
              </w:rPr>
              <w:t>​</w:t>
            </w:r>
          </w:p>
        </w:tc>
      </w:tr>
      <w:tr w:rsidR="00000000">
        <w:trPr>
          <w:divId w:val="1193036790"/>
        </w:trPr>
        <w:tc>
          <w:tcPr>
            <w:tcW w:w="2503" w:type="pct"/>
            <w:tcBorders>
              <w:bottom w:val="single" w:sz="6" w:space="0" w:color="000000"/>
            </w:tcBorders>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As of December 31, 2020</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Cost</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Losses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    </w:t>
            </w:r>
          </w:p>
        </w:tc>
        <w:tc>
          <w:tcPr>
            <w:tcW w:w="50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Fair Value</w:t>
            </w:r>
          </w:p>
        </w:tc>
      </w:tr>
      <w:tr w:rsidR="00000000">
        <w:trPr>
          <w:divId w:val="1193036790"/>
        </w:trPr>
        <w:tc>
          <w:tcPr>
            <w:tcW w:w="250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470,108</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30</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(29)</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470,109</w:t>
            </w:r>
          </w:p>
        </w:tc>
      </w:tr>
      <w:tr w:rsidR="00000000">
        <w:trPr>
          <w:divId w:val="119303679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91,981</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20</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3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91,999</w:t>
            </w:r>
          </w:p>
        </w:tc>
      </w:tr>
      <w:tr w:rsidR="00000000">
        <w:trPr>
          <w:divId w:val="1193036790"/>
        </w:trPr>
        <w:tc>
          <w:tcPr>
            <w:tcW w:w="250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Money market funds</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49,720</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49,720</w:t>
            </w:r>
          </w:p>
        </w:tc>
      </w:tr>
      <w:tr w:rsidR="00000000">
        <w:trPr>
          <w:divId w:val="1193036790"/>
        </w:trPr>
        <w:tc>
          <w:tcPr>
            <w:tcW w:w="2503"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Total</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611,809</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50</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(31)</w:t>
            </w:r>
          </w:p>
        </w:tc>
        <w:tc>
          <w:tcPr>
            <w:tcW w:w="11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611,828</w:t>
            </w:r>
          </w:p>
        </w:tc>
      </w:tr>
    </w:tbl>
    <w:p w:rsidR="00000000" w:rsidRDefault="00F22B2C">
      <w:pPr>
        <w:pStyle w:val="a3"/>
        <w:spacing w:before="0" w:beforeAutospacing="0" w:after="0" w:afterAutospacing="0"/>
        <w:divId w:val="1193036790"/>
        <w:rPr>
          <w:sz w:val="20"/>
          <w:szCs w:val="20"/>
        </w:rPr>
      </w:pPr>
      <w:r>
        <w:rPr>
          <w:sz w:val="20"/>
          <w:szCs w:val="20"/>
        </w:rPr>
        <w:t>​</w:t>
      </w:r>
    </w:p>
    <w:p w:rsidR="00000000" w:rsidRDefault="00F22B2C">
      <w:pPr>
        <w:pStyle w:val="a3"/>
        <w:spacing w:before="480" w:beforeAutospacing="0" w:after="0" w:afterAutospacing="0"/>
        <w:jc w:val="center"/>
        <w:divId w:val="766998573"/>
        <w:rPr>
          <w:sz w:val="20"/>
          <w:szCs w:val="20"/>
        </w:rPr>
      </w:pPr>
      <w:r>
        <w:rPr>
          <w:sz w:val="20"/>
          <w:szCs w:val="20"/>
        </w:rPr>
        <w:t>F-18</w:t>
      </w:r>
    </w:p>
    <w:p w:rsidR="00000000" w:rsidRDefault="00F22B2C">
      <w:pPr>
        <w:pStyle w:val="a3"/>
        <w:spacing w:before="0" w:beforeAutospacing="0" w:after="300" w:afterAutospacing="0"/>
        <w:divId w:val="1806119839"/>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806119839"/>
        <w:rPr>
          <w:sz w:val="20"/>
          <w:szCs w:val="20"/>
        </w:rPr>
      </w:pPr>
      <w:r>
        <w:rPr>
          <w:b/>
          <w:bCs/>
          <w:sz w:val="20"/>
          <w:szCs w:val="20"/>
        </w:rPr>
        <w:t>IOVANCE BIOTHERAPEUTICS, INC.</w:t>
      </w:r>
    </w:p>
    <w:p w:rsidR="00000000" w:rsidRDefault="00F22B2C">
      <w:pPr>
        <w:pStyle w:val="a3"/>
        <w:spacing w:before="0" w:beforeAutospacing="0" w:after="300" w:afterAutospacing="0"/>
        <w:jc w:val="center"/>
        <w:divId w:val="1806119839"/>
        <w:rPr>
          <w:sz w:val="20"/>
          <w:szCs w:val="20"/>
        </w:rPr>
      </w:pPr>
      <w:r>
        <w:rPr>
          <w:b/>
          <w:bCs/>
          <w:sz w:val="20"/>
          <w:szCs w:val="20"/>
        </w:rPr>
        <w:t>NOTES TO CONSOLIDATED FINANCIAL STATEMENTS</w:t>
      </w:r>
    </w:p>
    <w:p w:rsidR="00000000" w:rsidRDefault="00F22B2C">
      <w:pPr>
        <w:pStyle w:val="a3"/>
        <w:spacing w:before="0" w:beforeAutospacing="0" w:after="0" w:afterAutospacing="0"/>
        <w:ind w:firstLine="547"/>
        <w:divId w:val="1784962404"/>
        <w:rPr>
          <w:sz w:val="20"/>
          <w:szCs w:val="20"/>
        </w:rPr>
      </w:pPr>
      <w:r>
        <w:rPr>
          <w:sz w:val="20"/>
          <w:szCs w:val="20"/>
        </w:rPr>
        <w:t>The fair value of cash equivalents and investments as of December 31, 2021 and December 31, 2020 are classified as follows in the Company’s Consolidated Balance Sheets (in thousands):</w:t>
      </w:r>
    </w:p>
    <w:p w:rsidR="00000000" w:rsidRDefault="00F22B2C">
      <w:pPr>
        <w:pStyle w:val="a3"/>
        <w:spacing w:before="0" w:beforeAutospacing="0" w:after="0" w:afterAutospacing="0"/>
        <w:ind w:firstLine="547"/>
        <w:divId w:val="1784962404"/>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4531"/>
        <w:gridCol w:w="6"/>
        <w:gridCol w:w="135"/>
        <w:gridCol w:w="838"/>
        <w:gridCol w:w="160"/>
        <w:gridCol w:w="135"/>
        <w:gridCol w:w="838"/>
      </w:tblGrid>
      <w:tr w:rsidR="00000000">
        <w:trPr>
          <w:divId w:val="1784962404"/>
          <w:trHeight w:val="20"/>
        </w:trPr>
        <w:tc>
          <w:tcPr>
            <w:tcW w:w="3750" w:type="pct"/>
            <w:tcMar>
              <w:top w:w="0" w:type="dxa"/>
              <w:left w:w="0" w:type="dxa"/>
              <w:bottom w:w="0" w:type="dxa"/>
              <w:right w:w="0" w:type="dxa"/>
            </w:tcMar>
            <w:vAlign w:val="center"/>
            <w:hideMark/>
          </w:tcPr>
          <w:p w:rsidR="00000000" w:rsidRDefault="00F22B2C">
            <w:pPr>
              <w:pStyle w:val="a3"/>
              <w:spacing w:before="0" w:beforeAutospacing="0" w:after="1" w:afterAutospacing="0"/>
              <w:divId w:val="2116826775"/>
              <w:rPr>
                <w:sz w:val="20"/>
                <w:szCs w:val="20"/>
              </w:rPr>
            </w:pPr>
            <w:r>
              <w:rPr>
                <w:sz w:val="2"/>
                <w:szCs w:val="2"/>
              </w:rPr>
              <w:t>​</w:t>
            </w:r>
          </w:p>
        </w:tc>
        <w:tc>
          <w:tcPr>
            <w:tcW w:w="2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500267470"/>
              <w:rPr>
                <w:sz w:val="20"/>
                <w:szCs w:val="20"/>
              </w:rPr>
            </w:pPr>
            <w:r>
              <w:rPr>
                <w:sz w:val="2"/>
                <w:szCs w:val="2"/>
              </w:rPr>
              <w:t>​</w:t>
            </w:r>
          </w:p>
        </w:tc>
        <w:tc>
          <w:tcPr>
            <w:tcW w:w="78" w:type="pct"/>
            <w:noWrap/>
            <w:tcMar>
              <w:top w:w="0" w:type="dxa"/>
              <w:left w:w="0" w:type="dxa"/>
              <w:bottom w:w="0" w:type="dxa"/>
              <w:right w:w="0" w:type="dxa"/>
            </w:tcMar>
            <w:vAlign w:val="center"/>
            <w:hideMark/>
          </w:tcPr>
          <w:p w:rsidR="00000000" w:rsidRDefault="00F22B2C">
            <w:pPr>
              <w:pStyle w:val="a3"/>
              <w:spacing w:before="0" w:beforeAutospacing="0" w:after="1" w:afterAutospacing="0"/>
              <w:divId w:val="1596941778"/>
              <w:rPr>
                <w:sz w:val="20"/>
                <w:szCs w:val="20"/>
              </w:rPr>
            </w:pPr>
            <w:r>
              <w:rPr>
                <w:sz w:val="2"/>
                <w:szCs w:val="2"/>
              </w:rPr>
              <w:t>​</w:t>
            </w:r>
          </w:p>
        </w:tc>
        <w:tc>
          <w:tcPr>
            <w:tcW w:w="485" w:type="pct"/>
            <w:noWrap/>
            <w:tcMar>
              <w:top w:w="0" w:type="dxa"/>
              <w:left w:w="0" w:type="dxa"/>
              <w:bottom w:w="0" w:type="dxa"/>
              <w:right w:w="0" w:type="dxa"/>
            </w:tcMar>
            <w:vAlign w:val="center"/>
            <w:hideMark/>
          </w:tcPr>
          <w:p w:rsidR="00000000" w:rsidRDefault="00F22B2C">
            <w:pPr>
              <w:pStyle w:val="a3"/>
              <w:spacing w:before="0" w:beforeAutospacing="0" w:after="1" w:afterAutospacing="0"/>
              <w:divId w:val="1791123984"/>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54292866"/>
              <w:rPr>
                <w:sz w:val="20"/>
                <w:szCs w:val="20"/>
              </w:rPr>
            </w:pPr>
            <w:r>
              <w:rPr>
                <w:sz w:val="2"/>
                <w:szCs w:val="2"/>
              </w:rPr>
              <w:t>​</w:t>
            </w:r>
          </w:p>
        </w:tc>
        <w:tc>
          <w:tcPr>
            <w:tcW w:w="78" w:type="pct"/>
            <w:noWrap/>
            <w:tcMar>
              <w:top w:w="0" w:type="dxa"/>
              <w:left w:w="0" w:type="dxa"/>
              <w:bottom w:w="0" w:type="dxa"/>
              <w:right w:w="0" w:type="dxa"/>
            </w:tcMar>
            <w:vAlign w:val="center"/>
            <w:hideMark/>
          </w:tcPr>
          <w:p w:rsidR="00000000" w:rsidRDefault="00F22B2C">
            <w:pPr>
              <w:pStyle w:val="a3"/>
              <w:spacing w:before="0" w:beforeAutospacing="0" w:after="1" w:afterAutospacing="0"/>
              <w:divId w:val="1126630579"/>
              <w:rPr>
                <w:sz w:val="20"/>
                <w:szCs w:val="20"/>
              </w:rPr>
            </w:pPr>
            <w:r>
              <w:rPr>
                <w:sz w:val="2"/>
                <w:szCs w:val="2"/>
              </w:rPr>
              <w:t>​</w:t>
            </w:r>
          </w:p>
        </w:tc>
        <w:tc>
          <w:tcPr>
            <w:tcW w:w="484" w:type="pct"/>
            <w:noWrap/>
            <w:tcMar>
              <w:top w:w="0" w:type="dxa"/>
              <w:left w:w="0" w:type="dxa"/>
              <w:bottom w:w="0" w:type="dxa"/>
              <w:right w:w="0" w:type="dxa"/>
            </w:tcMar>
            <w:vAlign w:val="center"/>
            <w:hideMark/>
          </w:tcPr>
          <w:p w:rsidR="00000000" w:rsidRDefault="00F22B2C">
            <w:pPr>
              <w:pStyle w:val="a3"/>
              <w:spacing w:before="0" w:beforeAutospacing="0" w:after="1" w:afterAutospacing="0"/>
              <w:divId w:val="1569263250"/>
              <w:rPr>
                <w:sz w:val="20"/>
                <w:szCs w:val="20"/>
              </w:rPr>
            </w:pPr>
            <w:r>
              <w:rPr>
                <w:sz w:val="2"/>
                <w:szCs w:val="2"/>
              </w:rPr>
              <w:t>​</w:t>
            </w:r>
          </w:p>
        </w:tc>
      </w:tr>
      <w:tr w:rsidR="00000000">
        <w:trPr>
          <w:divId w:val="1784962404"/>
        </w:trPr>
        <w:tc>
          <w:tcPr>
            <w:tcW w:w="3750"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2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December 31, </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December 31, </w:t>
            </w:r>
          </w:p>
        </w:tc>
      </w:tr>
      <w:tr w:rsidR="00000000">
        <w:trPr>
          <w:divId w:val="1784962404"/>
        </w:trPr>
        <w:tc>
          <w:tcPr>
            <w:tcW w:w="375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Classified as:</w:t>
            </w:r>
          </w:p>
        </w:tc>
        <w:tc>
          <w:tcPr>
            <w:tcW w:w="2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r>
      <w:tr w:rsidR="00000000">
        <w:trPr>
          <w:divId w:val="1784962404"/>
        </w:trPr>
        <w:tc>
          <w:tcPr>
            <w:tcW w:w="3750" w:type="pct"/>
            <w:shd w:val="clear" w:color="auto" w:fill="CCEEFF"/>
            <w:tcMar>
              <w:top w:w="0" w:type="dxa"/>
              <w:left w:w="0" w:type="dxa"/>
              <w:bottom w:w="0" w:type="dxa"/>
              <w:right w:w="0" w:type="dxa"/>
            </w:tcMar>
            <w:vAlign w:val="center"/>
            <w:hideMark/>
          </w:tcPr>
          <w:p w:rsidR="00000000" w:rsidRDefault="00F22B2C">
            <w:pPr>
              <w:pStyle w:val="a3"/>
              <w:spacing w:before="0" w:beforeAutospacing="0" w:after="1" w:afterAutospacing="0"/>
              <w:rPr>
                <w:sz w:val="20"/>
                <w:szCs w:val="20"/>
              </w:rPr>
            </w:pPr>
            <w:r>
              <w:rPr>
                <w:sz w:val="20"/>
                <w:szCs w:val="20"/>
              </w:rPr>
              <w:t>Cash equivalents</w:t>
            </w:r>
          </w:p>
        </w:tc>
        <w:tc>
          <w:tcPr>
            <w:tcW w:w="2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ind w:right="60"/>
              <w:jc w:val="right"/>
              <w:rPr>
                <w:sz w:val="20"/>
                <w:szCs w:val="20"/>
              </w:rPr>
            </w:pPr>
            <w:r>
              <w:rPr>
                <w:sz w:val="20"/>
                <w:szCs w:val="20"/>
              </w:rPr>
              <w:t>61,249</w:t>
            </w:r>
          </w:p>
        </w:tc>
        <w:tc>
          <w:tcPr>
            <w:tcW w:w="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ind w:right="60"/>
              <w:jc w:val="right"/>
              <w:rPr>
                <w:sz w:val="20"/>
                <w:szCs w:val="20"/>
              </w:rPr>
            </w:pPr>
            <w:r>
              <w:rPr>
                <w:sz w:val="20"/>
                <w:szCs w:val="20"/>
              </w:rPr>
              <w:t>49,720</w:t>
            </w:r>
          </w:p>
        </w:tc>
      </w:tr>
      <w:tr w:rsidR="00000000">
        <w:trPr>
          <w:divId w:val="1784962404"/>
        </w:trPr>
        <w:tc>
          <w:tcPr>
            <w:tcW w:w="3750" w:type="pct"/>
            <w:tcMar>
              <w:top w:w="0" w:type="dxa"/>
              <w:left w:w="0" w:type="dxa"/>
              <w:bottom w:w="0" w:type="dxa"/>
              <w:right w:w="0" w:type="dxa"/>
            </w:tcMar>
            <w:vAlign w:val="center"/>
            <w:hideMark/>
          </w:tcPr>
          <w:p w:rsidR="00000000" w:rsidRDefault="00F22B2C">
            <w:pPr>
              <w:pStyle w:val="a3"/>
              <w:spacing w:before="0" w:beforeAutospacing="0" w:after="1" w:afterAutospacing="0"/>
              <w:rPr>
                <w:sz w:val="20"/>
                <w:szCs w:val="20"/>
              </w:rPr>
            </w:pPr>
            <w:r>
              <w:rPr>
                <w:sz w:val="20"/>
                <w:szCs w:val="20"/>
              </w:rPr>
              <w:t>Short-term investments</w:t>
            </w:r>
          </w:p>
        </w:tc>
        <w:tc>
          <w:tcPr>
            <w:tcW w:w="29" w:type="pct"/>
            <w:noWrap/>
            <w:tcMar>
              <w:top w:w="0" w:type="dxa"/>
              <w:left w:w="0" w:type="dxa"/>
              <w:bottom w:w="0" w:type="dxa"/>
              <w:right w:w="0" w:type="dxa"/>
            </w:tcMar>
            <w:vAlign w:val="center"/>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78" w:type="pct"/>
            <w:noWrap/>
            <w:tcMar>
              <w:top w:w="0" w:type="dxa"/>
              <w:left w:w="0" w:type="dxa"/>
              <w:bottom w:w="0" w:type="dxa"/>
              <w:right w:w="0" w:type="dxa"/>
            </w:tcMar>
            <w:vAlign w:val="center"/>
            <w:hideMark/>
          </w:tcPr>
          <w:p w:rsidR="00000000" w:rsidRDefault="00F22B2C">
            <w:pPr>
              <w:pStyle w:val="a3"/>
              <w:spacing w:before="0" w:beforeAutospacing="0" w:after="1" w:afterAutospacing="0"/>
              <w:rPr>
                <w:sz w:val="20"/>
                <w:szCs w:val="20"/>
              </w:rPr>
            </w:pPr>
            <w:r>
              <w:rPr>
                <w:sz w:val="20"/>
                <w:szCs w:val="20"/>
              </w:rPr>
              <w:t>​</w:t>
            </w:r>
          </w:p>
        </w:tc>
        <w:tc>
          <w:tcPr>
            <w:tcW w:w="485" w:type="pct"/>
            <w:noWrap/>
            <w:tcMar>
              <w:top w:w="0" w:type="dxa"/>
              <w:left w:w="0" w:type="dxa"/>
              <w:bottom w:w="0" w:type="dxa"/>
              <w:right w:w="0" w:type="dxa"/>
            </w:tcMar>
            <w:vAlign w:val="center"/>
            <w:hideMark/>
          </w:tcPr>
          <w:p w:rsidR="00000000" w:rsidRDefault="00F22B2C">
            <w:pPr>
              <w:pStyle w:val="a3"/>
              <w:spacing w:before="0" w:beforeAutospacing="0" w:after="1" w:afterAutospacing="0"/>
              <w:ind w:right="60"/>
              <w:jc w:val="right"/>
              <w:rPr>
                <w:sz w:val="20"/>
                <w:szCs w:val="20"/>
              </w:rPr>
            </w:pPr>
            <w:r>
              <w:rPr>
                <w:sz w:val="20"/>
                <w:szCs w:val="20"/>
              </w:rPr>
              <w:t>426,181</w:t>
            </w:r>
          </w:p>
        </w:tc>
        <w:tc>
          <w:tcPr>
            <w:tcW w:w="93" w:type="pct"/>
            <w:noWrap/>
            <w:tcMar>
              <w:top w:w="0" w:type="dxa"/>
              <w:left w:w="0" w:type="dxa"/>
              <w:bottom w:w="0" w:type="dxa"/>
              <w:right w:w="0" w:type="dxa"/>
            </w:tcMar>
            <w:vAlign w:val="center"/>
            <w:hideMark/>
          </w:tcPr>
          <w:p w:rsidR="00000000" w:rsidRDefault="00F22B2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center"/>
            <w:hideMark/>
          </w:tcPr>
          <w:p w:rsidR="00000000" w:rsidRDefault="00F22B2C">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center"/>
            <w:hideMark/>
          </w:tcPr>
          <w:p w:rsidR="00000000" w:rsidRDefault="00F22B2C">
            <w:pPr>
              <w:pStyle w:val="a3"/>
              <w:spacing w:before="0" w:beforeAutospacing="0" w:after="1" w:afterAutospacing="0"/>
              <w:ind w:right="60"/>
              <w:jc w:val="right"/>
              <w:rPr>
                <w:sz w:val="20"/>
                <w:szCs w:val="20"/>
              </w:rPr>
            </w:pPr>
            <w:r>
              <w:rPr>
                <w:sz w:val="20"/>
                <w:szCs w:val="20"/>
              </w:rPr>
              <w:t>562,108</w:t>
            </w:r>
          </w:p>
        </w:tc>
      </w:tr>
      <w:tr w:rsidR="00000000">
        <w:trPr>
          <w:divId w:val="1784962404"/>
        </w:trPr>
        <w:tc>
          <w:tcPr>
            <w:tcW w:w="375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Long-term investments</w:t>
            </w:r>
          </w:p>
        </w:tc>
        <w:tc>
          <w:tcPr>
            <w:tcW w:w="29"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91,588</w:t>
            </w:r>
          </w:p>
        </w:tc>
        <w:tc>
          <w:tcPr>
            <w:tcW w:w="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1784962404"/>
        </w:trPr>
        <w:tc>
          <w:tcPr>
            <w:tcW w:w="3750"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Total investments</w:t>
            </w:r>
          </w:p>
        </w:tc>
        <w:tc>
          <w:tcPr>
            <w:tcW w:w="29" w:type="pct"/>
            <w:noWrap/>
            <w:tcMar>
              <w:top w:w="0" w:type="dxa"/>
              <w:left w:w="0" w:type="dxa"/>
              <w:bottom w:w="0" w:type="dxa"/>
              <w:right w:w="0" w:type="dxa"/>
            </w:tcMar>
            <w:vAlign w:val="center"/>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579,018</w:t>
            </w:r>
          </w:p>
        </w:tc>
        <w:tc>
          <w:tcPr>
            <w:tcW w:w="9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611,828</w:t>
            </w:r>
          </w:p>
        </w:tc>
      </w:tr>
    </w:tbl>
    <w:p w:rsidR="00000000" w:rsidRDefault="00F22B2C">
      <w:pPr>
        <w:pStyle w:val="a3"/>
        <w:spacing w:before="0" w:beforeAutospacing="0" w:after="0" w:afterAutospacing="0"/>
        <w:ind w:firstLine="547"/>
        <w:divId w:val="1784962404"/>
        <w:rPr>
          <w:sz w:val="20"/>
          <w:szCs w:val="20"/>
        </w:rPr>
      </w:pPr>
      <w:r>
        <w:rPr>
          <w:sz w:val="20"/>
          <w:szCs w:val="20"/>
        </w:rPr>
        <w:t>​</w:t>
      </w:r>
    </w:p>
    <w:p w:rsidR="00000000" w:rsidRDefault="00F22B2C">
      <w:pPr>
        <w:pStyle w:val="a3"/>
        <w:spacing w:before="0" w:beforeAutospacing="0" w:after="0" w:afterAutospacing="0"/>
        <w:ind w:firstLine="547"/>
        <w:divId w:val="1784962404"/>
        <w:rPr>
          <w:sz w:val="20"/>
          <w:szCs w:val="20"/>
        </w:rPr>
      </w:pPr>
      <w:r>
        <w:rPr>
          <w:sz w:val="20"/>
          <w:szCs w:val="20"/>
        </w:rPr>
        <w:t xml:space="preserve">Cash equivalents in the tables above exclude cash demand deposits of $17.0 million and $17.6 </w:t>
      </w:r>
      <w:r>
        <w:rPr>
          <w:sz w:val="20"/>
          <w:szCs w:val="20"/>
        </w:rPr>
        <w:t>million as of December 31, 2021 and 2020, respectively. Unrealized gains and losses are included in accumulated other comprehensive (loss) income, and as of December 31, 2021 and 2020 no unrealized losses on available-for-sale securities have resulted from</w:t>
      </w:r>
      <w:r>
        <w:rPr>
          <w:sz w:val="20"/>
          <w:szCs w:val="20"/>
        </w:rPr>
        <w:t xml:space="preserve"> credit risk. All available-for-sale securities held as of December 31, 2021 and December 31, 2020 had contractual maturities of less than two years. No significant available-for-sale securities held as of the periods presented have been in a continuous un</w:t>
      </w:r>
      <w:r>
        <w:rPr>
          <w:sz w:val="20"/>
          <w:szCs w:val="20"/>
        </w:rPr>
        <w:t>realized loss position for more than 12 months. The Company determined that it has the ability and intent to hold all marketable securities that have been in a continuous loss position until maturity or recovery. To date, the Company has not recorded any i</w:t>
      </w:r>
      <w:r>
        <w:rPr>
          <w:sz w:val="20"/>
          <w:szCs w:val="20"/>
        </w:rPr>
        <w:t xml:space="preserve">mpairment charges on its marketable securities. </w:t>
      </w:r>
    </w:p>
    <w:p w:rsidR="00000000" w:rsidRDefault="00F22B2C">
      <w:pPr>
        <w:pStyle w:val="a3"/>
        <w:spacing w:before="0" w:beforeAutospacing="0" w:after="0" w:afterAutospacing="0"/>
        <w:ind w:firstLine="547"/>
        <w:divId w:val="1784962404"/>
        <w:rPr>
          <w:sz w:val="20"/>
          <w:szCs w:val="20"/>
        </w:rPr>
      </w:pPr>
      <w:r>
        <w:rPr>
          <w:sz w:val="20"/>
          <w:szCs w:val="20"/>
        </w:rPr>
        <w:t>​</w:t>
      </w:r>
    </w:p>
    <w:p w:rsidR="00000000" w:rsidRDefault="00F22B2C">
      <w:pPr>
        <w:pStyle w:val="a3"/>
        <w:spacing w:before="0" w:beforeAutospacing="0" w:after="0" w:afterAutospacing="0"/>
        <w:divId w:val="1784962404"/>
        <w:rPr>
          <w:sz w:val="20"/>
          <w:szCs w:val="20"/>
        </w:rPr>
      </w:pPr>
      <w:r>
        <w:rPr>
          <w:b/>
          <w:bCs/>
          <w:i/>
          <w:iCs/>
          <w:sz w:val="20"/>
          <w:szCs w:val="20"/>
        </w:rPr>
        <w:t>Recurring Fair Value Measurements</w:t>
      </w:r>
    </w:p>
    <w:p w:rsidR="00000000" w:rsidRDefault="00F22B2C">
      <w:pPr>
        <w:pStyle w:val="a3"/>
        <w:spacing w:before="0" w:beforeAutospacing="0" w:after="0" w:afterAutospacing="0"/>
        <w:divId w:val="1784962404"/>
        <w:rPr>
          <w:sz w:val="20"/>
          <w:szCs w:val="20"/>
        </w:rPr>
      </w:pPr>
      <w:r>
        <w:rPr>
          <w:b/>
          <w:bCs/>
          <w:sz w:val="20"/>
          <w:szCs w:val="20"/>
        </w:rPr>
        <w:t>​</w:t>
      </w:r>
    </w:p>
    <w:p w:rsidR="00000000" w:rsidRDefault="00F22B2C">
      <w:pPr>
        <w:pStyle w:val="a3"/>
        <w:spacing w:before="0" w:beforeAutospacing="0" w:after="0" w:afterAutospacing="0"/>
        <w:ind w:firstLine="547"/>
        <w:divId w:val="1784962404"/>
        <w:rPr>
          <w:sz w:val="20"/>
          <w:szCs w:val="20"/>
        </w:rPr>
      </w:pPr>
      <w:r>
        <w:rPr>
          <w:sz w:val="20"/>
          <w:szCs w:val="20"/>
        </w:rPr>
        <w:t>The following table summarizes the Company’</w:t>
      </w:r>
      <w:r>
        <w:rPr>
          <w:sz w:val="20"/>
          <w:szCs w:val="20"/>
        </w:rPr>
        <w:t>s available-for-sale investments by contractual maturity (in thousands):</w:t>
      </w:r>
    </w:p>
    <w:p w:rsidR="00000000" w:rsidRDefault="00F22B2C">
      <w:pPr>
        <w:pStyle w:val="a3"/>
        <w:spacing w:before="0" w:beforeAutospacing="0" w:after="0" w:afterAutospacing="0"/>
        <w:ind w:firstLine="547"/>
        <w:divId w:val="1784962404"/>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392"/>
        <w:gridCol w:w="203"/>
        <w:gridCol w:w="149"/>
        <w:gridCol w:w="931"/>
        <w:gridCol w:w="160"/>
        <w:gridCol w:w="100"/>
        <w:gridCol w:w="710"/>
      </w:tblGrid>
      <w:tr w:rsidR="00000000">
        <w:trPr>
          <w:divId w:val="1784962404"/>
          <w:trHeight w:val="20"/>
        </w:trPr>
        <w:tc>
          <w:tcPr>
            <w:tcW w:w="3432" w:type="pct"/>
            <w:tcMar>
              <w:top w:w="0" w:type="dxa"/>
              <w:left w:w="0" w:type="dxa"/>
              <w:bottom w:w="0" w:type="dxa"/>
              <w:right w:w="0" w:type="dxa"/>
            </w:tcMar>
            <w:vAlign w:val="center"/>
            <w:hideMark/>
          </w:tcPr>
          <w:p w:rsidR="00000000" w:rsidRDefault="00F22B2C">
            <w:pPr>
              <w:pStyle w:val="a3"/>
              <w:spacing w:before="0" w:beforeAutospacing="0" w:after="1" w:afterAutospacing="0"/>
              <w:divId w:val="632057286"/>
              <w:rPr>
                <w:sz w:val="20"/>
                <w:szCs w:val="20"/>
              </w:rPr>
            </w:pPr>
            <w:r>
              <w:rPr>
                <w:sz w:val="2"/>
                <w:szCs w:val="2"/>
              </w:rPr>
              <w:t>​</w:t>
            </w:r>
          </w:p>
        </w:tc>
        <w:tc>
          <w:tcPr>
            <w:tcW w:w="280" w:type="pct"/>
            <w:noWrap/>
            <w:tcMar>
              <w:top w:w="0" w:type="dxa"/>
              <w:left w:w="0" w:type="dxa"/>
              <w:bottom w:w="0" w:type="dxa"/>
              <w:right w:w="0" w:type="dxa"/>
            </w:tcMar>
            <w:vAlign w:val="center"/>
            <w:hideMark/>
          </w:tcPr>
          <w:p w:rsidR="00000000" w:rsidRDefault="00F22B2C">
            <w:pPr>
              <w:pStyle w:val="a3"/>
              <w:spacing w:before="0" w:beforeAutospacing="0" w:after="1" w:afterAutospacing="0"/>
              <w:divId w:val="156655311"/>
              <w:rPr>
                <w:sz w:val="20"/>
                <w:szCs w:val="20"/>
              </w:rPr>
            </w:pPr>
            <w:r>
              <w:rPr>
                <w:sz w:val="2"/>
                <w:szCs w:val="2"/>
              </w:rPr>
              <w:t>​</w:t>
            </w:r>
          </w:p>
        </w:tc>
        <w:tc>
          <w:tcPr>
            <w:tcW w:w="86" w:type="pct"/>
            <w:noWrap/>
            <w:tcMar>
              <w:top w:w="0" w:type="dxa"/>
              <w:left w:w="0" w:type="dxa"/>
              <w:bottom w:w="0" w:type="dxa"/>
              <w:right w:w="0" w:type="dxa"/>
            </w:tcMar>
            <w:vAlign w:val="center"/>
            <w:hideMark/>
          </w:tcPr>
          <w:p w:rsidR="00000000" w:rsidRDefault="00F22B2C">
            <w:pPr>
              <w:pStyle w:val="a3"/>
              <w:spacing w:before="0" w:beforeAutospacing="0" w:after="1" w:afterAutospacing="0"/>
              <w:divId w:val="917714670"/>
              <w:rPr>
                <w:sz w:val="20"/>
                <w:szCs w:val="20"/>
              </w:rPr>
            </w:pPr>
            <w:r>
              <w:rPr>
                <w:sz w:val="2"/>
                <w:szCs w:val="2"/>
              </w:rPr>
              <w:t>​</w:t>
            </w:r>
          </w:p>
        </w:tc>
        <w:tc>
          <w:tcPr>
            <w:tcW w:w="538" w:type="pct"/>
            <w:noWrap/>
            <w:tcMar>
              <w:top w:w="0" w:type="dxa"/>
              <w:left w:w="0" w:type="dxa"/>
              <w:bottom w:w="0" w:type="dxa"/>
              <w:right w:w="0" w:type="dxa"/>
            </w:tcMar>
            <w:vAlign w:val="center"/>
            <w:hideMark/>
          </w:tcPr>
          <w:p w:rsidR="00000000" w:rsidRDefault="00F22B2C">
            <w:pPr>
              <w:pStyle w:val="a3"/>
              <w:spacing w:before="0" w:beforeAutospacing="0" w:after="1" w:afterAutospacing="0"/>
              <w:divId w:val="1733694086"/>
              <w:rPr>
                <w:sz w:val="20"/>
                <w:szCs w:val="20"/>
              </w:rPr>
            </w:pPr>
            <w:r>
              <w:rPr>
                <w:sz w:val="2"/>
                <w:szCs w:val="2"/>
              </w:rPr>
              <w:t>​</w:t>
            </w:r>
          </w:p>
        </w:tc>
        <w:tc>
          <w:tcPr>
            <w:tcW w:w="141" w:type="pct"/>
            <w:noWrap/>
            <w:tcMar>
              <w:top w:w="0" w:type="dxa"/>
              <w:left w:w="0" w:type="dxa"/>
              <w:bottom w:w="0" w:type="dxa"/>
              <w:right w:w="0" w:type="dxa"/>
            </w:tcMar>
            <w:vAlign w:val="center"/>
            <w:hideMark/>
          </w:tcPr>
          <w:p w:rsidR="00000000" w:rsidRDefault="00F22B2C">
            <w:pPr>
              <w:pStyle w:val="a3"/>
              <w:spacing w:before="0" w:beforeAutospacing="0" w:after="1" w:afterAutospacing="0"/>
              <w:divId w:val="400639396"/>
              <w:rPr>
                <w:sz w:val="20"/>
                <w:szCs w:val="20"/>
              </w:rPr>
            </w:pPr>
            <w:r>
              <w:rPr>
                <w:sz w:val="2"/>
                <w:szCs w:val="2"/>
              </w:rPr>
              <w:t>​</w:t>
            </w:r>
          </w:p>
        </w:tc>
        <w:tc>
          <w:tcPr>
            <w:tcW w:w="57" w:type="pct"/>
            <w:noWrap/>
            <w:tcMar>
              <w:top w:w="0" w:type="dxa"/>
              <w:left w:w="0" w:type="dxa"/>
              <w:bottom w:w="0" w:type="dxa"/>
              <w:right w:w="0" w:type="dxa"/>
            </w:tcMar>
            <w:vAlign w:val="center"/>
            <w:hideMark/>
          </w:tcPr>
          <w:p w:rsidR="00000000" w:rsidRDefault="00F22B2C">
            <w:pPr>
              <w:pStyle w:val="a3"/>
              <w:spacing w:before="0" w:beforeAutospacing="0" w:after="1" w:afterAutospacing="0"/>
              <w:divId w:val="1796481928"/>
              <w:rPr>
                <w:sz w:val="20"/>
                <w:szCs w:val="20"/>
              </w:rPr>
            </w:pPr>
            <w:r>
              <w:rPr>
                <w:sz w:val="2"/>
                <w:szCs w:val="2"/>
              </w:rPr>
              <w:t>​</w:t>
            </w:r>
          </w:p>
        </w:tc>
        <w:tc>
          <w:tcPr>
            <w:tcW w:w="462" w:type="pct"/>
            <w:noWrap/>
            <w:tcMar>
              <w:top w:w="0" w:type="dxa"/>
              <w:left w:w="0" w:type="dxa"/>
              <w:bottom w:w="0" w:type="dxa"/>
              <w:right w:w="0" w:type="dxa"/>
            </w:tcMar>
            <w:vAlign w:val="center"/>
            <w:hideMark/>
          </w:tcPr>
          <w:p w:rsidR="00000000" w:rsidRDefault="00F22B2C">
            <w:pPr>
              <w:pStyle w:val="a3"/>
              <w:spacing w:before="0" w:beforeAutospacing="0" w:after="1" w:afterAutospacing="0"/>
              <w:divId w:val="1854999282"/>
              <w:rPr>
                <w:sz w:val="20"/>
                <w:szCs w:val="20"/>
              </w:rPr>
            </w:pPr>
            <w:r>
              <w:rPr>
                <w:sz w:val="2"/>
                <w:szCs w:val="2"/>
              </w:rPr>
              <w:t>​</w:t>
            </w:r>
          </w:p>
        </w:tc>
      </w:tr>
      <w:tr w:rsidR="00000000">
        <w:trPr>
          <w:divId w:val="1784962404"/>
        </w:trPr>
        <w:tc>
          <w:tcPr>
            <w:tcW w:w="343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28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287" w:type="pct"/>
            <w:gridSpan w:val="5"/>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December 31, 2021</w:t>
            </w:r>
          </w:p>
        </w:tc>
      </w:tr>
      <w:tr w:rsidR="00000000">
        <w:trPr>
          <w:divId w:val="1784962404"/>
        </w:trPr>
        <w:tc>
          <w:tcPr>
            <w:tcW w:w="3432"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28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625"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Amortized Cost</w:t>
            </w:r>
          </w:p>
        </w:tc>
        <w:tc>
          <w:tcPr>
            <w:tcW w:w="141"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Fair Value</w:t>
            </w:r>
          </w:p>
        </w:tc>
      </w:tr>
      <w:tr w:rsidR="00000000">
        <w:trPr>
          <w:divId w:val="1784962404"/>
        </w:trPr>
        <w:tc>
          <w:tcPr>
            <w:tcW w:w="3432" w:type="pct"/>
            <w:shd w:val="clear" w:color="auto" w:fill="CCEEFF"/>
            <w:tcMar>
              <w:top w:w="0" w:type="dxa"/>
              <w:left w:w="0" w:type="dxa"/>
              <w:bottom w:w="0" w:type="dxa"/>
              <w:right w:w="0" w:type="dxa"/>
            </w:tcMar>
            <w:vAlign w:val="center"/>
            <w:hideMark/>
          </w:tcPr>
          <w:p w:rsidR="00000000" w:rsidRDefault="00F22B2C">
            <w:pPr>
              <w:pStyle w:val="a3"/>
              <w:spacing w:before="0" w:beforeAutospacing="0" w:after="1" w:afterAutospacing="0"/>
              <w:rPr>
                <w:sz w:val="20"/>
                <w:szCs w:val="20"/>
              </w:rPr>
            </w:pPr>
            <w:r>
              <w:rPr>
                <w:sz w:val="20"/>
                <w:szCs w:val="20"/>
              </w:rPr>
              <w:t>Within one year</w:t>
            </w:r>
          </w:p>
        </w:tc>
        <w:tc>
          <w:tcPr>
            <w:tcW w:w="280"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86"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ind w:right="60"/>
              <w:jc w:val="right"/>
              <w:rPr>
                <w:sz w:val="20"/>
                <w:szCs w:val="20"/>
              </w:rPr>
            </w:pPr>
            <w:r>
              <w:rPr>
                <w:sz w:val="20"/>
                <w:szCs w:val="20"/>
              </w:rPr>
              <w:t>487,718</w:t>
            </w:r>
          </w:p>
        </w:tc>
        <w:tc>
          <w:tcPr>
            <w:tcW w:w="141"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57"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ind w:right="60"/>
              <w:jc w:val="right"/>
              <w:rPr>
                <w:sz w:val="20"/>
                <w:szCs w:val="20"/>
              </w:rPr>
            </w:pPr>
            <w:r>
              <w:rPr>
                <w:sz w:val="20"/>
                <w:szCs w:val="20"/>
              </w:rPr>
              <w:t>487,430</w:t>
            </w:r>
          </w:p>
        </w:tc>
      </w:tr>
      <w:tr w:rsidR="00000000">
        <w:trPr>
          <w:divId w:val="1784962404"/>
        </w:trPr>
        <w:tc>
          <w:tcPr>
            <w:tcW w:w="343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One year to two years</w:t>
            </w:r>
          </w:p>
        </w:tc>
        <w:tc>
          <w:tcPr>
            <w:tcW w:w="280" w:type="pct"/>
            <w:noWrap/>
            <w:tcMar>
              <w:top w:w="0" w:type="dxa"/>
              <w:left w:w="0" w:type="dxa"/>
              <w:bottom w:w="0" w:type="dxa"/>
              <w:right w:w="0" w:type="dxa"/>
            </w:tcMar>
            <w:vAlign w:val="center"/>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53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91,902</w:t>
            </w:r>
          </w:p>
        </w:tc>
        <w:tc>
          <w:tcPr>
            <w:tcW w:w="141" w:type="pct"/>
            <w:noWrap/>
            <w:tcMar>
              <w:top w:w="0" w:type="dxa"/>
              <w:left w:w="0" w:type="dxa"/>
              <w:bottom w:w="0" w:type="dxa"/>
              <w:right w:w="0" w:type="dxa"/>
            </w:tcMar>
            <w:vAlign w:val="center"/>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91,588</w:t>
            </w:r>
          </w:p>
        </w:tc>
      </w:tr>
      <w:tr w:rsidR="00000000">
        <w:trPr>
          <w:divId w:val="1784962404"/>
        </w:trPr>
        <w:tc>
          <w:tcPr>
            <w:tcW w:w="343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Total investments</w:t>
            </w:r>
          </w:p>
        </w:tc>
        <w:tc>
          <w:tcPr>
            <w:tcW w:w="280"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579,620</w:t>
            </w:r>
          </w:p>
        </w:tc>
        <w:tc>
          <w:tcPr>
            <w:tcW w:w="141" w:type="pct"/>
            <w:shd w:val="clear" w:color="auto" w:fill="CCEEFF"/>
            <w:noWrap/>
            <w:tcMar>
              <w:top w:w="0" w:type="dxa"/>
              <w:left w:w="0" w:type="dxa"/>
              <w:bottom w:w="0" w:type="dxa"/>
              <w:right w:w="0" w:type="dxa"/>
            </w:tcMar>
            <w:vAlign w:val="center"/>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579,018</w:t>
            </w:r>
          </w:p>
        </w:tc>
      </w:tr>
    </w:tbl>
    <w:p w:rsidR="00000000" w:rsidRDefault="00F22B2C">
      <w:pPr>
        <w:pStyle w:val="a3"/>
        <w:spacing w:before="0" w:beforeAutospacing="0" w:after="0" w:afterAutospacing="0"/>
        <w:ind w:firstLine="547"/>
        <w:divId w:val="1784962404"/>
        <w:rPr>
          <w:sz w:val="20"/>
          <w:szCs w:val="20"/>
        </w:rPr>
      </w:pPr>
      <w:r>
        <w:rPr>
          <w:sz w:val="20"/>
          <w:szCs w:val="20"/>
        </w:rPr>
        <w:t>​</w:t>
      </w:r>
    </w:p>
    <w:p w:rsidR="00000000" w:rsidRDefault="00F22B2C">
      <w:pPr>
        <w:pStyle w:val="a3"/>
        <w:spacing w:before="0" w:beforeAutospacing="0" w:after="0" w:afterAutospacing="0"/>
        <w:ind w:firstLine="547"/>
        <w:divId w:val="1784962404"/>
        <w:rPr>
          <w:sz w:val="20"/>
          <w:szCs w:val="20"/>
        </w:rPr>
      </w:pPr>
      <w:r>
        <w:rPr>
          <w:sz w:val="20"/>
          <w:szCs w:val="20"/>
        </w:rPr>
        <w:t>​</w:t>
      </w:r>
    </w:p>
    <w:p w:rsidR="00000000" w:rsidRDefault="00F22B2C">
      <w:pPr>
        <w:pStyle w:val="a3"/>
        <w:spacing w:before="0" w:beforeAutospacing="0" w:after="0" w:afterAutospacing="0"/>
        <w:ind w:firstLine="547"/>
        <w:divId w:val="1784962404"/>
        <w:rPr>
          <w:sz w:val="20"/>
          <w:szCs w:val="20"/>
        </w:rPr>
      </w:pPr>
      <w:r>
        <w:rPr>
          <w:sz w:val="20"/>
          <w:szCs w:val="20"/>
        </w:rPr>
        <w:t>As of December 31, 2021 and 2020, the fair value of the Company’</w:t>
      </w:r>
      <w:r>
        <w:rPr>
          <w:sz w:val="20"/>
          <w:szCs w:val="20"/>
        </w:rPr>
        <w:t>s financial assets, which consist of cash equivalents and short-term and long-term investments classified as available-for-sale securities, were measured on a recurring basis were categorized in the table below based upon the lowest level of significant in</w:t>
      </w:r>
      <w:r>
        <w:rPr>
          <w:sz w:val="20"/>
          <w:szCs w:val="20"/>
        </w:rPr>
        <w:t>put to the valuations (in thousands):</w:t>
      </w:r>
    </w:p>
    <w:p w:rsidR="00000000" w:rsidRDefault="00F22B2C">
      <w:pPr>
        <w:pStyle w:val="a3"/>
        <w:spacing w:before="0" w:beforeAutospacing="0" w:after="200" w:afterAutospacing="0"/>
        <w:divId w:val="178496240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1"/>
        <w:gridCol w:w="175"/>
        <w:gridCol w:w="112"/>
        <w:gridCol w:w="710"/>
        <w:gridCol w:w="175"/>
        <w:gridCol w:w="112"/>
        <w:gridCol w:w="710"/>
        <w:gridCol w:w="175"/>
        <w:gridCol w:w="112"/>
        <w:gridCol w:w="703"/>
        <w:gridCol w:w="175"/>
        <w:gridCol w:w="113"/>
        <w:gridCol w:w="713"/>
      </w:tblGrid>
      <w:tr w:rsidR="00000000">
        <w:trPr>
          <w:divId w:val="1784962404"/>
          <w:trHeight w:val="20"/>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divId w:val="120857066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3312406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917206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1264913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90672277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775638219"/>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66300389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99349153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676032578"/>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7410197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1729779"/>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16756552"/>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32335369"/>
              <w:rPr>
                <w:sz w:val="20"/>
                <w:szCs w:val="20"/>
              </w:rPr>
            </w:pPr>
            <w:r>
              <w:rPr>
                <w:sz w:val="2"/>
                <w:szCs w:val="2"/>
              </w:rPr>
              <w:t>​</w:t>
            </w:r>
          </w:p>
        </w:tc>
      </w:tr>
      <w:tr w:rsidR="00000000">
        <w:trPr>
          <w:divId w:val="1784962404"/>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2291" w:type="pct"/>
            <w:gridSpan w:val="11"/>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Assets at Fair Value as of December 31, 2021</w:t>
            </w:r>
          </w:p>
        </w:tc>
      </w:tr>
      <w:tr w:rsidR="00000000">
        <w:trPr>
          <w:divId w:val="1784962404"/>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Total</w:t>
            </w:r>
          </w:p>
        </w:tc>
      </w:tr>
      <w:tr w:rsidR="00000000">
        <w:trPr>
          <w:divId w:val="1784962404"/>
        </w:trPr>
        <w:tc>
          <w:tcPr>
            <w:tcW w:w="260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246,767</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246,767</w:t>
            </w:r>
          </w:p>
        </w:tc>
      </w:tr>
      <w:tr w:rsidR="00000000">
        <w:trPr>
          <w:divId w:val="1784962404"/>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5,097</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5,097</w:t>
            </w:r>
          </w:p>
        </w:tc>
      </w:tr>
      <w:tr w:rsidR="00000000">
        <w:trPr>
          <w:divId w:val="1784962404"/>
        </w:trPr>
        <w:tc>
          <w:tcPr>
            <w:tcW w:w="260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Corporate securities</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35,588</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35,588</w:t>
            </w:r>
          </w:p>
        </w:tc>
      </w:tr>
      <w:tr w:rsidR="00000000">
        <w:trPr>
          <w:divId w:val="1784962404"/>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Commercial paper</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235,316</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235,316</w:t>
            </w:r>
          </w:p>
        </w:tc>
      </w:tr>
      <w:tr w:rsidR="00000000">
        <w:trPr>
          <w:divId w:val="1784962404"/>
        </w:trPr>
        <w:tc>
          <w:tcPr>
            <w:tcW w:w="260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Money market funds</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56,250</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56,250</w:t>
            </w:r>
          </w:p>
        </w:tc>
      </w:tr>
      <w:tr w:rsidR="00000000">
        <w:trPr>
          <w:divId w:val="1784962404"/>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Total</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303,017</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276,001</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579,018</w:t>
            </w:r>
          </w:p>
        </w:tc>
      </w:tr>
    </w:tbl>
    <w:p w:rsidR="00000000" w:rsidRDefault="00F22B2C">
      <w:pPr>
        <w:pStyle w:val="a3"/>
        <w:spacing w:before="0" w:beforeAutospacing="0" w:after="200" w:afterAutospacing="0"/>
        <w:divId w:val="178496240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1"/>
        <w:gridCol w:w="175"/>
        <w:gridCol w:w="112"/>
        <w:gridCol w:w="711"/>
        <w:gridCol w:w="175"/>
        <w:gridCol w:w="113"/>
        <w:gridCol w:w="704"/>
        <w:gridCol w:w="176"/>
        <w:gridCol w:w="113"/>
        <w:gridCol w:w="704"/>
        <w:gridCol w:w="176"/>
        <w:gridCol w:w="113"/>
        <w:gridCol w:w="713"/>
      </w:tblGrid>
      <w:tr w:rsidR="00000000">
        <w:trPr>
          <w:divId w:val="1784962404"/>
          <w:trHeight w:val="20"/>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divId w:val="206748921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7158617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73972126"/>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3766611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79031937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22062088"/>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2260224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13602078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34603829"/>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08151883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85854392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4984741"/>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225525891"/>
              <w:rPr>
                <w:sz w:val="20"/>
                <w:szCs w:val="20"/>
              </w:rPr>
            </w:pPr>
            <w:r>
              <w:rPr>
                <w:sz w:val="2"/>
                <w:szCs w:val="2"/>
              </w:rPr>
              <w:t>​</w:t>
            </w:r>
          </w:p>
        </w:tc>
      </w:tr>
      <w:tr w:rsidR="00000000">
        <w:trPr>
          <w:divId w:val="1784962404"/>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2291" w:type="pct"/>
            <w:gridSpan w:val="11"/>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Assets at Fair Value as of December 31, 2020</w:t>
            </w:r>
          </w:p>
        </w:tc>
      </w:tr>
      <w:tr w:rsidR="00000000">
        <w:trPr>
          <w:divId w:val="1784962404"/>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Total</w:t>
            </w:r>
          </w:p>
        </w:tc>
      </w:tr>
      <w:tr w:rsidR="00000000">
        <w:trPr>
          <w:divId w:val="1784962404"/>
        </w:trPr>
        <w:tc>
          <w:tcPr>
            <w:tcW w:w="260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470,109</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470,109</w:t>
            </w:r>
          </w:p>
        </w:tc>
      </w:tr>
      <w:tr w:rsidR="00000000">
        <w:trPr>
          <w:divId w:val="1784962404"/>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91,999</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91,999</w:t>
            </w:r>
          </w:p>
        </w:tc>
      </w:tr>
      <w:tr w:rsidR="00000000">
        <w:trPr>
          <w:divId w:val="1784962404"/>
        </w:trPr>
        <w:tc>
          <w:tcPr>
            <w:tcW w:w="260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Money market funds</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49,720</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49,720</w:t>
            </w:r>
          </w:p>
        </w:tc>
      </w:tr>
      <w:tr w:rsidR="00000000">
        <w:trPr>
          <w:divId w:val="1784962404"/>
        </w:trPr>
        <w:tc>
          <w:tcPr>
            <w:tcW w:w="2601"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Total</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611,828</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611,828</w:t>
            </w:r>
          </w:p>
        </w:tc>
      </w:tr>
    </w:tbl>
    <w:p w:rsidR="00000000" w:rsidRDefault="00F22B2C">
      <w:pPr>
        <w:pStyle w:val="a3"/>
        <w:spacing w:before="0" w:beforeAutospacing="0" w:after="0" w:afterAutospacing="0"/>
        <w:ind w:firstLine="547"/>
        <w:divId w:val="1784962404"/>
        <w:rPr>
          <w:sz w:val="20"/>
          <w:szCs w:val="20"/>
        </w:rPr>
      </w:pPr>
      <w:r>
        <w:rPr>
          <w:sz w:val="20"/>
          <w:szCs w:val="20"/>
        </w:rPr>
        <w:t>​</w:t>
      </w:r>
    </w:p>
    <w:p w:rsidR="00000000" w:rsidRDefault="00F22B2C">
      <w:pPr>
        <w:pStyle w:val="a3"/>
        <w:spacing w:before="0" w:beforeAutospacing="0" w:after="0" w:afterAutospacing="0"/>
        <w:ind w:firstLine="547"/>
        <w:divId w:val="1784962404"/>
        <w:rPr>
          <w:sz w:val="20"/>
          <w:szCs w:val="20"/>
        </w:rPr>
      </w:pPr>
      <w:r>
        <w:rPr>
          <w:sz w:val="20"/>
          <w:szCs w:val="20"/>
        </w:rPr>
        <w:t xml:space="preserve">Level 2 assets consist of commercial paper and government agency securities. Level 2 inputs for the valuations are limited to quoted prices for similar assets or liabilities in active markets and inputs other than quoted prices that are observable for the </w:t>
      </w:r>
      <w:r>
        <w:rPr>
          <w:sz w:val="20"/>
          <w:szCs w:val="20"/>
        </w:rPr>
        <w:t>asset.</w:t>
      </w:r>
    </w:p>
    <w:p w:rsidR="00000000" w:rsidRDefault="00F22B2C">
      <w:pPr>
        <w:pStyle w:val="a3"/>
        <w:spacing w:before="0" w:beforeAutospacing="0" w:after="0" w:afterAutospacing="0"/>
        <w:ind w:firstLine="547"/>
        <w:divId w:val="1784962404"/>
        <w:rPr>
          <w:sz w:val="20"/>
          <w:szCs w:val="20"/>
        </w:rPr>
      </w:pPr>
      <w:r>
        <w:rPr>
          <w:sz w:val="2"/>
          <w:szCs w:val="2"/>
        </w:rPr>
        <w:t>​</w:t>
      </w:r>
    </w:p>
    <w:p w:rsidR="00000000" w:rsidRDefault="00F22B2C">
      <w:pPr>
        <w:pStyle w:val="a3"/>
        <w:spacing w:before="480" w:beforeAutospacing="0" w:after="0" w:afterAutospacing="0"/>
        <w:jc w:val="center"/>
        <w:divId w:val="1975403509"/>
        <w:rPr>
          <w:sz w:val="20"/>
          <w:szCs w:val="20"/>
        </w:rPr>
      </w:pPr>
      <w:r>
        <w:rPr>
          <w:sz w:val="20"/>
          <w:szCs w:val="20"/>
        </w:rPr>
        <w:t>F-19</w:t>
      </w:r>
    </w:p>
    <w:p w:rsidR="00000000" w:rsidRDefault="00F22B2C">
      <w:pPr>
        <w:pStyle w:val="a3"/>
        <w:spacing w:before="0" w:beforeAutospacing="0" w:after="300" w:afterAutospacing="0"/>
        <w:divId w:val="2107070258"/>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2107070258"/>
        <w:rPr>
          <w:sz w:val="20"/>
          <w:szCs w:val="20"/>
        </w:rPr>
      </w:pPr>
      <w:r>
        <w:rPr>
          <w:b/>
          <w:bCs/>
          <w:sz w:val="20"/>
          <w:szCs w:val="20"/>
        </w:rPr>
        <w:t>IOVANCE BIOTHERAPEUTICS, INC.</w:t>
      </w:r>
    </w:p>
    <w:p w:rsidR="00000000" w:rsidRDefault="00F22B2C">
      <w:pPr>
        <w:pStyle w:val="a3"/>
        <w:spacing w:before="0" w:beforeAutospacing="0" w:after="300" w:afterAutospacing="0"/>
        <w:jc w:val="center"/>
        <w:divId w:val="2107070258"/>
        <w:rPr>
          <w:sz w:val="20"/>
          <w:szCs w:val="20"/>
        </w:rPr>
      </w:pPr>
      <w:r>
        <w:rPr>
          <w:b/>
          <w:bCs/>
          <w:sz w:val="20"/>
          <w:szCs w:val="20"/>
        </w:rPr>
        <w:t>NOTES TO CONSOLIDATED FINANCIAL STATEMENTS</w:t>
      </w:r>
    </w:p>
    <w:p w:rsidR="00000000" w:rsidRDefault="00F22B2C">
      <w:pPr>
        <w:pStyle w:val="a3"/>
        <w:spacing w:before="0" w:beforeAutospacing="0" w:after="200" w:afterAutospacing="0"/>
        <w:divId w:val="264584382"/>
        <w:rPr>
          <w:b/>
          <w:bCs/>
          <w:sz w:val="20"/>
          <w:szCs w:val="20"/>
        </w:rPr>
      </w:pPr>
      <w:r>
        <w:rPr>
          <w:b/>
          <w:bCs/>
          <w:sz w:val="20"/>
          <w:szCs w:val="20"/>
        </w:rPr>
        <w:t>NOTE 4. PROPERTY AND EQUIPMENT, NET</w:t>
      </w:r>
    </w:p>
    <w:p w:rsidR="00000000" w:rsidRDefault="00F22B2C">
      <w:pPr>
        <w:pStyle w:val="a3"/>
        <w:spacing w:before="0" w:beforeAutospacing="0" w:after="0" w:afterAutospacing="0"/>
        <w:ind w:firstLine="547"/>
        <w:divId w:val="264584382"/>
        <w:rPr>
          <w:sz w:val="20"/>
          <w:szCs w:val="20"/>
        </w:rPr>
      </w:pPr>
      <w:r>
        <w:rPr>
          <w:sz w:val="20"/>
          <w:szCs w:val="20"/>
        </w:rPr>
        <w:t>Property and equipment, net consists of the following (in thousands):</w:t>
      </w:r>
    </w:p>
    <w:p w:rsidR="00000000" w:rsidRDefault="00F22B2C">
      <w:pPr>
        <w:pStyle w:val="a3"/>
        <w:spacing w:before="0" w:beforeAutospacing="0" w:after="0" w:afterAutospacing="0"/>
        <w:ind w:firstLine="547"/>
        <w:divId w:val="2645843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40"/>
        <w:gridCol w:w="160"/>
        <w:gridCol w:w="135"/>
        <w:gridCol w:w="838"/>
        <w:gridCol w:w="160"/>
        <w:gridCol w:w="135"/>
        <w:gridCol w:w="838"/>
      </w:tblGrid>
      <w:tr w:rsidR="00000000">
        <w:trPr>
          <w:divId w:val="264584382"/>
          <w:trHeight w:val="20"/>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divId w:val="77549091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9195895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756294488"/>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6177850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6121472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4688043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95921052"/>
              <w:rPr>
                <w:sz w:val="20"/>
                <w:szCs w:val="20"/>
              </w:rPr>
            </w:pPr>
            <w:r>
              <w:rPr>
                <w:sz w:val="2"/>
                <w:szCs w:val="2"/>
              </w:rPr>
              <w:t>​</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December 31, </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December 31, </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r>
      <w:tr w:rsidR="00000000">
        <w:trPr>
          <w:divId w:val="264584382"/>
        </w:trPr>
        <w:tc>
          <w:tcPr>
            <w:tcW w:w="369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Leasehold improvements</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57,817</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2,573</w:t>
            </w:r>
          </w:p>
        </w:tc>
      </w:tr>
      <w:tr w:rsidR="00000000">
        <w:trPr>
          <w:divId w:val="264584382"/>
        </w:trPr>
        <w:tc>
          <w:tcPr>
            <w:tcW w:w="369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Lab, process, and validation equipment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8,686</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4,656</w:t>
            </w:r>
          </w:p>
        </w:tc>
      </w:tr>
      <w:tr w:rsidR="00000000">
        <w:trPr>
          <w:divId w:val="264584382"/>
        </w:trPr>
        <w:tc>
          <w:tcPr>
            <w:tcW w:w="369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Utility equipment</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4,179</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Office furniture and equipment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1,244</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480</w:t>
            </w:r>
          </w:p>
        </w:tc>
      </w:tr>
      <w:tr w:rsidR="00000000">
        <w:trPr>
          <w:divId w:val="264584382"/>
        </w:trPr>
        <w:tc>
          <w:tcPr>
            <w:tcW w:w="369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Computer software</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1,163</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Computer equipment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674</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270</w:t>
            </w:r>
          </w:p>
        </w:tc>
      </w:tr>
      <w:tr w:rsidR="00000000">
        <w:trPr>
          <w:divId w:val="264584382"/>
        </w:trPr>
        <w:tc>
          <w:tcPr>
            <w:tcW w:w="369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Machinery and equipment</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82</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Construction in progress</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35,782</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56,758</w:t>
            </w:r>
          </w:p>
        </w:tc>
      </w:tr>
      <w:tr w:rsidR="00000000">
        <w:trPr>
          <w:divId w:val="264584382"/>
        </w:trPr>
        <w:tc>
          <w:tcPr>
            <w:tcW w:w="369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Total Property and equipment, cost</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109,627</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64,737</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Less: Accumulated depreciation and amortization</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(8,689)</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(5,578)</w:t>
            </w:r>
          </w:p>
        </w:tc>
      </w:tr>
      <w:tr w:rsidR="00000000">
        <w:trPr>
          <w:divId w:val="264584382"/>
        </w:trPr>
        <w:tc>
          <w:tcPr>
            <w:tcW w:w="369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Property and equipment, net</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100,938</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59,159</w:t>
            </w:r>
          </w:p>
        </w:tc>
      </w:tr>
    </w:tbl>
    <w:p w:rsidR="00000000" w:rsidRDefault="00F22B2C">
      <w:pPr>
        <w:pStyle w:val="a3"/>
        <w:spacing w:before="0" w:beforeAutospacing="0" w:after="0" w:afterAutospacing="0"/>
        <w:divId w:val="264584382"/>
        <w:rPr>
          <w:sz w:val="20"/>
          <w:szCs w:val="20"/>
        </w:rPr>
      </w:pPr>
      <w:r>
        <w:rPr>
          <w:sz w:val="20"/>
          <w:szCs w:val="20"/>
        </w:rPr>
        <w:t>​</w:t>
      </w:r>
    </w:p>
    <w:p w:rsidR="00000000" w:rsidRDefault="00F22B2C">
      <w:pPr>
        <w:pStyle w:val="a3"/>
        <w:spacing w:before="0" w:beforeAutospacing="0" w:after="0" w:afterAutospacing="0"/>
        <w:ind w:firstLine="547"/>
        <w:divId w:val="264584382"/>
        <w:rPr>
          <w:sz w:val="20"/>
          <w:szCs w:val="20"/>
        </w:rPr>
      </w:pPr>
      <w:r>
        <w:rPr>
          <w:sz w:val="20"/>
          <w:szCs w:val="20"/>
        </w:rPr>
        <w:t xml:space="preserve">Depreciation expense for the years ended December 31, 2021, 2020, and 2019 was approximately $3.1 million, $1.1 million and $1.2 </w:t>
      </w:r>
      <w:r>
        <w:rPr>
          <w:sz w:val="20"/>
          <w:szCs w:val="20"/>
        </w:rPr>
        <w:t xml:space="preserve">million, respectively. During the year ended December 31, 2021, the Company placed $62.4 million of assets related to the </w:t>
      </w:r>
      <w:r>
        <w:rPr>
          <w:i/>
          <w:iCs/>
          <w:sz w:val="20"/>
          <w:szCs w:val="20"/>
        </w:rPr>
        <w:t>i</w:t>
      </w:r>
      <w:r>
        <w:rPr>
          <w:sz w:val="20"/>
          <w:szCs w:val="20"/>
        </w:rPr>
        <w:t>CTC in service and initiated depreciation of these assets. The depreciation expense related to these assets for the year ended Decemb</w:t>
      </w:r>
      <w:r>
        <w:rPr>
          <w:sz w:val="20"/>
          <w:szCs w:val="20"/>
        </w:rPr>
        <w:t>er 31, 2021 was $1.</w:t>
      </w:r>
      <w:r>
        <w:rPr>
          <w:sz w:val="20"/>
          <w:szCs w:val="20"/>
        </w:rPr>
        <w:t>6</w:t>
      </w:r>
      <w:r>
        <w:rPr>
          <w:sz w:val="20"/>
          <w:szCs w:val="20"/>
        </w:rPr>
        <w:t xml:space="preserve"> million.</w:t>
      </w:r>
      <w:r>
        <w:rPr>
          <w:sz w:val="20"/>
          <w:szCs w:val="20"/>
        </w:rPr>
        <w:t xml:space="preserve"> </w:t>
      </w:r>
    </w:p>
    <w:p w:rsidR="00000000" w:rsidRDefault="00F22B2C">
      <w:pPr>
        <w:pStyle w:val="a3"/>
        <w:spacing w:before="0" w:beforeAutospacing="0" w:after="0" w:afterAutospacing="0"/>
        <w:ind w:firstLine="547"/>
        <w:divId w:val="264584382"/>
        <w:rPr>
          <w:sz w:val="20"/>
          <w:szCs w:val="20"/>
        </w:rPr>
      </w:pPr>
      <w:r>
        <w:rPr>
          <w:sz w:val="2"/>
          <w:szCs w:val="2"/>
        </w:rPr>
        <w:t>​</w:t>
      </w:r>
    </w:p>
    <w:p w:rsidR="00000000" w:rsidRDefault="00F22B2C">
      <w:pPr>
        <w:pStyle w:val="a3"/>
        <w:spacing w:before="0" w:beforeAutospacing="0" w:after="0" w:afterAutospacing="0"/>
        <w:ind w:firstLine="547"/>
        <w:divId w:val="264584382"/>
        <w:rPr>
          <w:sz w:val="20"/>
          <w:szCs w:val="20"/>
        </w:rPr>
      </w:pPr>
      <w:r>
        <w:rPr>
          <w:sz w:val="20"/>
          <w:szCs w:val="20"/>
        </w:rPr>
        <w:t>​</w:t>
      </w:r>
    </w:p>
    <w:p w:rsidR="00000000" w:rsidRDefault="00F22B2C">
      <w:pPr>
        <w:pStyle w:val="a3"/>
        <w:spacing w:before="0" w:beforeAutospacing="0" w:after="200" w:afterAutospacing="0"/>
        <w:divId w:val="264584382"/>
        <w:rPr>
          <w:b/>
          <w:bCs/>
          <w:sz w:val="20"/>
          <w:szCs w:val="20"/>
        </w:rPr>
      </w:pPr>
      <w:r>
        <w:rPr>
          <w:b/>
          <w:bCs/>
          <w:sz w:val="20"/>
          <w:szCs w:val="20"/>
        </w:rPr>
        <w:t>NOTE 5. ACCRUED EXPENSES</w:t>
      </w:r>
    </w:p>
    <w:p w:rsidR="00000000" w:rsidRDefault="00F22B2C">
      <w:pPr>
        <w:pStyle w:val="a3"/>
        <w:spacing w:before="0" w:beforeAutospacing="0" w:after="0" w:afterAutospacing="0"/>
        <w:ind w:firstLine="547"/>
        <w:divId w:val="264584382"/>
        <w:rPr>
          <w:sz w:val="20"/>
          <w:szCs w:val="20"/>
        </w:rPr>
      </w:pPr>
      <w:r>
        <w:rPr>
          <w:sz w:val="20"/>
          <w:szCs w:val="20"/>
        </w:rPr>
        <w:t>Accrued expenses consist of the following (in thousands):</w:t>
      </w:r>
    </w:p>
    <w:p w:rsidR="00000000" w:rsidRDefault="00F22B2C">
      <w:pPr>
        <w:pStyle w:val="a3"/>
        <w:spacing w:before="0" w:beforeAutospacing="0" w:after="0" w:afterAutospacing="0"/>
        <w:ind w:firstLine="547"/>
        <w:divId w:val="2645843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71"/>
        <w:gridCol w:w="129"/>
        <w:gridCol w:w="135"/>
        <w:gridCol w:w="838"/>
        <w:gridCol w:w="160"/>
        <w:gridCol w:w="135"/>
        <w:gridCol w:w="838"/>
      </w:tblGrid>
      <w:tr w:rsidR="00000000">
        <w:trPr>
          <w:divId w:val="264584382"/>
          <w:trHeight w:val="20"/>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divId w:val="191424319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565556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047490607"/>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77112127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4140980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61582365"/>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796070339"/>
              <w:rPr>
                <w:sz w:val="20"/>
                <w:szCs w:val="20"/>
              </w:rPr>
            </w:pPr>
            <w:r>
              <w:rPr>
                <w:sz w:val="2"/>
                <w:szCs w:val="2"/>
              </w:rPr>
              <w:t>​</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December 31, </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December 31, </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r>
      <w:tr w:rsidR="00000000">
        <w:trPr>
          <w:divId w:val="264584382"/>
        </w:trPr>
        <w:tc>
          <w:tcPr>
            <w:tcW w:w="369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Accrued payroll and employee related expenses</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21,513</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9,032</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Clinical related</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20"/>
                <w:szCs w:val="20"/>
              </w:rPr>
              <w:t>​</w:t>
            </w:r>
          </w:p>
        </w:tc>
        <w:tc>
          <w:tcPr>
            <w:tcW w:w="46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18,167</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20"/>
                <w:szCs w:val="20"/>
              </w:rPr>
              <w:t>​</w:t>
            </w:r>
          </w:p>
        </w:tc>
        <w:tc>
          <w:tcPr>
            <w:tcW w:w="4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15,661</w:t>
            </w:r>
          </w:p>
        </w:tc>
      </w:tr>
      <w:tr w:rsidR="00000000">
        <w:trPr>
          <w:divId w:val="264584382"/>
        </w:trPr>
        <w:tc>
          <w:tcPr>
            <w:tcW w:w="369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Manufacturing related</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6,566</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3,266</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Facilities related</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4,857</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4,342</w:t>
            </w:r>
          </w:p>
        </w:tc>
      </w:tr>
      <w:tr w:rsidR="00000000">
        <w:trPr>
          <w:divId w:val="264584382"/>
        </w:trPr>
        <w:tc>
          <w:tcPr>
            <w:tcW w:w="369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Legal and related services</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1,907</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1,061</w:t>
            </w:r>
          </w:p>
        </w:tc>
      </w:tr>
      <w:tr w:rsidR="00000000">
        <w:trPr>
          <w:divId w:val="264584382"/>
        </w:trPr>
        <w:tc>
          <w:tcPr>
            <w:tcW w:w="369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Other accrued expenses</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3,756</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1,712</w:t>
            </w:r>
          </w:p>
        </w:tc>
      </w:tr>
      <w:tr w:rsidR="00000000">
        <w:trPr>
          <w:divId w:val="264584382"/>
        </w:trPr>
        <w:tc>
          <w:tcPr>
            <w:tcW w:w="369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Total accrued expenses</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56,766</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35,074</w:t>
            </w:r>
          </w:p>
        </w:tc>
      </w:tr>
    </w:tbl>
    <w:p w:rsidR="00000000" w:rsidRDefault="00F22B2C">
      <w:pPr>
        <w:pStyle w:val="a3"/>
        <w:spacing w:before="0" w:beforeAutospacing="0" w:after="0" w:afterAutospacing="0"/>
        <w:ind w:firstLine="547"/>
        <w:divId w:val="264584382"/>
        <w:rPr>
          <w:sz w:val="20"/>
          <w:szCs w:val="20"/>
        </w:rPr>
      </w:pPr>
      <w:r>
        <w:rPr>
          <w:sz w:val="2"/>
          <w:szCs w:val="2"/>
        </w:rPr>
        <w:t>​</w:t>
      </w:r>
    </w:p>
    <w:p w:rsidR="00000000" w:rsidRDefault="00F22B2C">
      <w:pPr>
        <w:pStyle w:val="a3"/>
        <w:spacing w:before="0" w:beforeAutospacing="0" w:after="0" w:afterAutospacing="0"/>
        <w:divId w:val="264584382"/>
        <w:rPr>
          <w:sz w:val="20"/>
          <w:szCs w:val="20"/>
        </w:rPr>
      </w:pPr>
      <w:r>
        <w:rPr>
          <w:sz w:val="20"/>
          <w:szCs w:val="20"/>
        </w:rPr>
        <w:t>​</w:t>
      </w:r>
    </w:p>
    <w:p w:rsidR="00000000" w:rsidRDefault="00F22B2C">
      <w:pPr>
        <w:pStyle w:val="a3"/>
        <w:spacing w:before="0" w:beforeAutospacing="0" w:after="200" w:afterAutospacing="0"/>
        <w:divId w:val="264584382"/>
        <w:rPr>
          <w:b/>
          <w:bCs/>
          <w:sz w:val="20"/>
          <w:szCs w:val="20"/>
        </w:rPr>
      </w:pPr>
      <w:r>
        <w:rPr>
          <w:b/>
          <w:bCs/>
          <w:sz w:val="20"/>
          <w:szCs w:val="20"/>
        </w:rPr>
        <w:t>NOTE 6. STOCKHOLDERS’ EQUITY</w:t>
      </w:r>
    </w:p>
    <w:p w:rsidR="00000000" w:rsidRDefault="00F22B2C">
      <w:pPr>
        <w:pStyle w:val="a3"/>
        <w:spacing w:before="0" w:beforeAutospacing="0" w:after="200" w:afterAutospacing="0"/>
        <w:divId w:val="264584382"/>
        <w:rPr>
          <w:sz w:val="20"/>
          <w:szCs w:val="20"/>
        </w:rPr>
      </w:pPr>
      <w:r>
        <w:rPr>
          <w:b/>
          <w:bCs/>
          <w:i/>
          <w:iCs/>
          <w:sz w:val="20"/>
          <w:szCs w:val="20"/>
        </w:rPr>
        <w:t>Common Stoc</w:t>
      </w:r>
      <w:r>
        <w:rPr>
          <w:b/>
          <w:bCs/>
          <w:i/>
          <w:iCs/>
          <w:sz w:val="20"/>
          <w:szCs w:val="20"/>
        </w:rPr>
        <w:t>k</w:t>
      </w:r>
    </w:p>
    <w:p w:rsidR="00000000" w:rsidRDefault="00F22B2C">
      <w:pPr>
        <w:pStyle w:val="a3"/>
        <w:spacing w:before="0" w:beforeAutospacing="0" w:after="200" w:afterAutospacing="0"/>
        <w:divId w:val="264584382"/>
        <w:rPr>
          <w:sz w:val="20"/>
          <w:szCs w:val="20"/>
        </w:rPr>
      </w:pPr>
      <w:r>
        <w:rPr>
          <w:sz w:val="20"/>
          <w:szCs w:val="20"/>
        </w:rPr>
        <w:t>The Company’</w:t>
      </w:r>
      <w:r>
        <w:rPr>
          <w:sz w:val="20"/>
          <w:szCs w:val="20"/>
        </w:rPr>
        <w:t>s certificate of incorporation, as amended, authorizes the issuance of up to</w:t>
      </w:r>
      <w:r>
        <w:rPr>
          <w:sz w:val="20"/>
          <w:szCs w:val="20"/>
        </w:rPr>
        <w:t xml:space="preserve"> </w:t>
      </w:r>
      <w:r>
        <w:rPr>
          <w:sz w:val="20"/>
          <w:szCs w:val="20"/>
        </w:rPr>
        <w:t>300,000,00</w:t>
      </w:r>
      <w:r>
        <w:rPr>
          <w:sz w:val="20"/>
          <w:szCs w:val="20"/>
        </w:rPr>
        <w:t>0</w:t>
      </w:r>
      <w:r>
        <w:rPr>
          <w:sz w:val="20"/>
          <w:szCs w:val="20"/>
        </w:rPr>
        <w:t xml:space="preserve"> shares of the Company’s common stock, par value</w:t>
      </w:r>
      <w:r>
        <w:rPr>
          <w:sz w:val="20"/>
          <w:szCs w:val="20"/>
        </w:rPr>
        <w:t xml:space="preserve"> </w:t>
      </w:r>
      <w:r>
        <w:rPr>
          <w:sz w:val="20"/>
          <w:szCs w:val="20"/>
        </w:rPr>
        <w:t>$0.00004166</w:t>
      </w:r>
      <w:r>
        <w:rPr>
          <w:sz w:val="20"/>
          <w:szCs w:val="20"/>
        </w:rPr>
        <w:t>6</w:t>
      </w:r>
      <w:r>
        <w:rPr>
          <w:sz w:val="20"/>
          <w:szCs w:val="20"/>
        </w:rPr>
        <w:t>. As of December 31, 2021,</w:t>
      </w:r>
      <w:r>
        <w:rPr>
          <w:sz w:val="20"/>
          <w:szCs w:val="20"/>
        </w:rPr>
        <w:t xml:space="preserve"> </w:t>
      </w:r>
      <w:r>
        <w:rPr>
          <w:sz w:val="20"/>
          <w:szCs w:val="20"/>
        </w:rPr>
        <w:t>157,004,74</w:t>
      </w:r>
      <w:r>
        <w:rPr>
          <w:sz w:val="20"/>
          <w:szCs w:val="20"/>
        </w:rPr>
        <w:t>2</w:t>
      </w:r>
      <w:r>
        <w:rPr>
          <w:sz w:val="20"/>
          <w:szCs w:val="20"/>
        </w:rPr>
        <w:t xml:space="preserve"> shares of the Company’s common stock were issued and</w:t>
      </w:r>
      <w:r>
        <w:rPr>
          <w:sz w:val="20"/>
          <w:szCs w:val="20"/>
        </w:rPr>
        <w:t xml:space="preserve"> </w:t>
      </w:r>
      <w:r>
        <w:rPr>
          <w:sz w:val="20"/>
          <w:szCs w:val="20"/>
        </w:rPr>
        <w:t>outstandin</w:t>
      </w:r>
      <w:r>
        <w:rPr>
          <w:sz w:val="20"/>
          <w:szCs w:val="20"/>
        </w:rPr>
        <w:t>g</w:t>
      </w:r>
      <w:r>
        <w:rPr>
          <w:sz w:val="20"/>
          <w:szCs w:val="20"/>
        </w:rPr>
        <w:t>.</w:t>
      </w:r>
      <w:r>
        <w:rPr>
          <w:sz w:val="20"/>
          <w:szCs w:val="20"/>
        </w:rPr>
        <w:t xml:space="preserve"> </w:t>
      </w:r>
    </w:p>
    <w:p w:rsidR="00000000" w:rsidRDefault="00F22B2C">
      <w:pPr>
        <w:pStyle w:val="a3"/>
        <w:spacing w:before="0" w:beforeAutospacing="0" w:after="200" w:afterAutospacing="0"/>
        <w:divId w:val="264584382"/>
        <w:rPr>
          <w:sz w:val="20"/>
          <w:szCs w:val="20"/>
        </w:rPr>
      </w:pPr>
      <w:r>
        <w:rPr>
          <w:b/>
          <w:bCs/>
          <w:i/>
          <w:iCs/>
          <w:sz w:val="20"/>
          <w:szCs w:val="20"/>
        </w:rPr>
        <w:t>P</w:t>
      </w:r>
      <w:r>
        <w:rPr>
          <w:b/>
          <w:bCs/>
          <w:i/>
          <w:iCs/>
          <w:sz w:val="20"/>
          <w:szCs w:val="20"/>
        </w:rPr>
        <w:t>ublic Offering</w:t>
      </w:r>
      <w:r>
        <w:rPr>
          <w:b/>
          <w:bCs/>
          <w:i/>
          <w:iCs/>
          <w:sz w:val="20"/>
          <w:szCs w:val="20"/>
        </w:rPr>
        <w:t>s</w:t>
      </w:r>
    </w:p>
    <w:p w:rsidR="00000000" w:rsidRDefault="00F22B2C">
      <w:pPr>
        <w:pStyle w:val="a3"/>
        <w:spacing w:before="0" w:beforeAutospacing="0" w:after="200" w:afterAutospacing="0"/>
        <w:ind w:firstLine="547"/>
        <w:divId w:val="264584382"/>
        <w:rPr>
          <w:sz w:val="20"/>
          <w:szCs w:val="20"/>
        </w:rPr>
      </w:pPr>
      <w:r>
        <w:rPr>
          <w:sz w:val="20"/>
          <w:szCs w:val="20"/>
        </w:rPr>
        <w:t>In June 2020, the Company closed an underwritten public offering of 16,935,484 shares of the Company’s common stock at a public offering price of $31.00 per share, before underwriting discounts, which included 2,540,322 shares issued upon t</w:t>
      </w:r>
      <w:r>
        <w:rPr>
          <w:sz w:val="20"/>
          <w:szCs w:val="20"/>
        </w:rPr>
        <w:t>he exercise in full by the underwriter of its option to purchase additional shares at the public offering price less the underwriting discount (the "June 2020 Public Offering"). The gross proceeds from the offering, before deducting the underwriting discou</w:t>
      </w:r>
      <w:r>
        <w:rPr>
          <w:sz w:val="20"/>
          <w:szCs w:val="20"/>
        </w:rPr>
        <w:t>nts and commissions and other offering expenses payable by the Company, were $603.7 million, with net proceeds to the Company of $567.0 million.</w:t>
      </w:r>
    </w:p>
    <w:p w:rsidR="00000000" w:rsidRDefault="00F22B2C">
      <w:pPr>
        <w:pStyle w:val="a3"/>
        <w:spacing w:before="480" w:beforeAutospacing="0" w:after="0" w:afterAutospacing="0"/>
        <w:jc w:val="center"/>
        <w:divId w:val="1483542797"/>
        <w:rPr>
          <w:sz w:val="20"/>
          <w:szCs w:val="20"/>
        </w:rPr>
      </w:pPr>
      <w:r>
        <w:rPr>
          <w:sz w:val="20"/>
          <w:szCs w:val="20"/>
        </w:rPr>
        <w:t>F-20</w:t>
      </w:r>
    </w:p>
    <w:p w:rsidR="00000000" w:rsidRDefault="00F22B2C">
      <w:pPr>
        <w:pStyle w:val="a3"/>
        <w:spacing w:before="0" w:beforeAutospacing="0" w:after="300" w:afterAutospacing="0"/>
        <w:divId w:val="932205661"/>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932205661"/>
        <w:rPr>
          <w:sz w:val="20"/>
          <w:szCs w:val="20"/>
        </w:rPr>
      </w:pPr>
      <w:r>
        <w:rPr>
          <w:b/>
          <w:bCs/>
          <w:sz w:val="20"/>
          <w:szCs w:val="20"/>
        </w:rPr>
        <w:t>IOVANCE BIOTHERAPEUTICS, INC.</w:t>
      </w:r>
    </w:p>
    <w:p w:rsidR="00000000" w:rsidRDefault="00F22B2C">
      <w:pPr>
        <w:pStyle w:val="a3"/>
        <w:spacing w:before="0" w:beforeAutospacing="0" w:after="300" w:afterAutospacing="0"/>
        <w:jc w:val="center"/>
        <w:divId w:val="932205661"/>
        <w:rPr>
          <w:sz w:val="20"/>
          <w:szCs w:val="20"/>
        </w:rPr>
      </w:pPr>
      <w:r>
        <w:rPr>
          <w:b/>
          <w:bCs/>
          <w:sz w:val="20"/>
          <w:szCs w:val="20"/>
        </w:rPr>
        <w:t xml:space="preserve">NOTES TO CONSOLIDATED FINANCIAL </w:t>
      </w:r>
      <w:r>
        <w:rPr>
          <w:b/>
          <w:bCs/>
          <w:sz w:val="20"/>
          <w:szCs w:val="20"/>
        </w:rPr>
        <w:t>STATEMENTS</w:t>
      </w:r>
    </w:p>
    <w:p w:rsidR="00000000" w:rsidRDefault="00F22B2C">
      <w:pPr>
        <w:pStyle w:val="a3"/>
        <w:spacing w:before="0" w:beforeAutospacing="0" w:after="200" w:afterAutospacing="0"/>
        <w:divId w:val="280302714"/>
        <w:rPr>
          <w:sz w:val="20"/>
          <w:szCs w:val="20"/>
        </w:rPr>
      </w:pPr>
      <w:r>
        <w:rPr>
          <w:b/>
          <w:bCs/>
          <w:i/>
          <w:iCs/>
          <w:sz w:val="20"/>
          <w:szCs w:val="20"/>
        </w:rPr>
        <w:t>At the Market Offering Program</w:t>
      </w:r>
    </w:p>
    <w:p w:rsidR="00000000" w:rsidRDefault="00F22B2C">
      <w:pPr>
        <w:pStyle w:val="a3"/>
        <w:spacing w:before="0" w:beforeAutospacing="0" w:after="200" w:afterAutospacing="0"/>
        <w:ind w:firstLine="547"/>
        <w:divId w:val="280302714"/>
        <w:rPr>
          <w:sz w:val="20"/>
          <w:szCs w:val="20"/>
        </w:rPr>
      </w:pPr>
      <w:r>
        <w:rPr>
          <w:sz w:val="20"/>
          <w:szCs w:val="20"/>
        </w:rPr>
        <w:t>On February 8, 2021, the Company entered into an Open Market Sale Agreement (the “Sales Agreement”) with Jefferies LLC (“Jefferies”) with respect to an “at the market” offering program, under which the Company may,</w:t>
      </w:r>
      <w:r>
        <w:rPr>
          <w:sz w:val="20"/>
          <w:szCs w:val="20"/>
        </w:rPr>
        <w:t xml:space="preserve"> from time to time, in its sole discretion, issue and sell through Jefferies, acting as sales agent, up to $350.0 million of shares of the Company’s common stock (the “Common Shares”). The issuance and sale, if any, of the Common Shares by the Company unde</w:t>
      </w:r>
      <w:r>
        <w:rPr>
          <w:sz w:val="20"/>
          <w:szCs w:val="20"/>
        </w:rPr>
        <w:t>r the Sales Agreement will be made pursuant to a prospectus supplement, dated February 8, 2021, to the Company’s Registration Statement on Form S-3ASR, which became effective immediately upon filing with the Securities and Exchange Commission on May 27, 20</w:t>
      </w:r>
      <w:r>
        <w:rPr>
          <w:sz w:val="20"/>
          <w:szCs w:val="20"/>
        </w:rPr>
        <w:t>20.</w:t>
      </w:r>
    </w:p>
    <w:p w:rsidR="00000000" w:rsidRDefault="00F22B2C">
      <w:pPr>
        <w:pStyle w:val="a3"/>
        <w:spacing w:before="0" w:beforeAutospacing="0" w:after="200" w:afterAutospacing="0"/>
        <w:ind w:firstLine="547"/>
        <w:divId w:val="280302714"/>
        <w:rPr>
          <w:sz w:val="20"/>
          <w:szCs w:val="20"/>
        </w:rPr>
      </w:pPr>
      <w:r>
        <w:rPr>
          <w:sz w:val="20"/>
          <w:szCs w:val="20"/>
        </w:rPr>
        <w:t>Pursuant to the Sales Agreement, Jefferies may sell the Common Shares by any method permitted by law deemed to be an “at the market” offering as defined in Rule 415 of the Securities Act of 1933, as amended. Jefferies will use commercially reasonable e</w:t>
      </w:r>
      <w:r>
        <w:rPr>
          <w:sz w:val="20"/>
          <w:szCs w:val="20"/>
        </w:rPr>
        <w:t xml:space="preserve">fforts consistent with its normal trading and sales practices to sell the Common Shares from time to time, based upon instructions from the Company (including any price or size limits or other customary parameters or conditions the Company may impose).The </w:t>
      </w:r>
      <w:r>
        <w:rPr>
          <w:sz w:val="20"/>
          <w:szCs w:val="20"/>
        </w:rPr>
        <w:t>Company will pay Jefferies a commission of up to 3.0% of the gross sales proceeds of any Common Shares sold through Jefferies under the Sales Agreement.</w:t>
      </w:r>
    </w:p>
    <w:p w:rsidR="00000000" w:rsidRDefault="00F22B2C">
      <w:pPr>
        <w:pStyle w:val="a3"/>
        <w:spacing w:before="0" w:beforeAutospacing="0" w:after="200" w:afterAutospacing="0"/>
        <w:ind w:firstLine="547"/>
        <w:divId w:val="280302714"/>
        <w:rPr>
          <w:sz w:val="20"/>
          <w:szCs w:val="20"/>
        </w:rPr>
      </w:pPr>
      <w:r>
        <w:rPr>
          <w:sz w:val="20"/>
          <w:szCs w:val="20"/>
        </w:rPr>
        <w:t>The Company is not obligated to make any sales of Common Shares under the Sales Agreement. The offering</w:t>
      </w:r>
      <w:r>
        <w:rPr>
          <w:sz w:val="20"/>
          <w:szCs w:val="20"/>
        </w:rPr>
        <w:t xml:space="preserve"> of Common Shares pursuant to the Sales Agreement will terminate upon the earlier to occur of (i) the issuance and sale, through Jefferies, of all Common Shares subject to the Sales Agreement and (ii) termination of the Sales Agreement in accordance with i</w:t>
      </w:r>
      <w:r>
        <w:rPr>
          <w:sz w:val="20"/>
          <w:szCs w:val="20"/>
        </w:rPr>
        <w:t>ts terms.</w:t>
      </w:r>
    </w:p>
    <w:p w:rsidR="00000000" w:rsidRDefault="00F22B2C">
      <w:pPr>
        <w:pStyle w:val="a3"/>
        <w:spacing w:before="0" w:beforeAutospacing="0" w:after="200" w:afterAutospacing="0"/>
        <w:ind w:firstLine="547"/>
        <w:divId w:val="280302714"/>
        <w:rPr>
          <w:sz w:val="20"/>
          <w:szCs w:val="20"/>
        </w:rPr>
      </w:pPr>
      <w:r>
        <w:rPr>
          <w:sz w:val="20"/>
          <w:szCs w:val="20"/>
        </w:rPr>
        <w:t>For the year ended December 31, 2021, the Company received $203.2 million in net proceeds, net of offering costs, through the sale of 6,474,099 shares of its common stock through the Sales Agreement at a weighted average price per share of $32.12</w:t>
      </w:r>
      <w:r>
        <w:rPr>
          <w:sz w:val="20"/>
          <w:szCs w:val="20"/>
        </w:rPr>
        <w:t>, respectively.</w:t>
      </w:r>
    </w:p>
    <w:p w:rsidR="00000000" w:rsidRDefault="00F22B2C">
      <w:pPr>
        <w:pStyle w:val="a3"/>
        <w:spacing w:before="0" w:beforeAutospacing="0" w:after="200" w:afterAutospacing="0"/>
        <w:divId w:val="280302714"/>
        <w:rPr>
          <w:sz w:val="20"/>
          <w:szCs w:val="20"/>
        </w:rPr>
      </w:pPr>
      <w:r>
        <w:rPr>
          <w:b/>
          <w:bCs/>
          <w:i/>
          <w:iCs/>
          <w:sz w:val="20"/>
          <w:szCs w:val="20"/>
        </w:rPr>
        <w:t>Preferred Stock</w:t>
      </w:r>
    </w:p>
    <w:p w:rsidR="00000000" w:rsidRDefault="00F22B2C">
      <w:pPr>
        <w:pStyle w:val="a3"/>
        <w:spacing w:before="0" w:beforeAutospacing="0" w:after="200" w:afterAutospacing="0"/>
        <w:ind w:firstLine="547"/>
        <w:divId w:val="280302714"/>
        <w:rPr>
          <w:sz w:val="20"/>
          <w:szCs w:val="20"/>
        </w:rPr>
      </w:pPr>
      <w:r>
        <w:rPr>
          <w:sz w:val="20"/>
          <w:szCs w:val="20"/>
        </w:rPr>
        <w:t>The Company’s certificate of incorporation authorizes the issuance of up to 50,000,000 shares of “blank check” preferred stock. As of December 31, 2021, 17,000 shares were designated as Series A Convertible Preferred Stock a</w:t>
      </w:r>
      <w:r>
        <w:rPr>
          <w:sz w:val="20"/>
          <w:szCs w:val="20"/>
        </w:rPr>
        <w:t>nd 11,500,000 shares were designated as Series B Convertible Preferred Stock (“Series B Convertible Preferred Stock”).</w:t>
      </w:r>
    </w:p>
    <w:p w:rsidR="00000000" w:rsidRDefault="00F22B2C">
      <w:pPr>
        <w:pStyle w:val="a3"/>
        <w:spacing w:before="0" w:beforeAutospacing="0" w:after="200" w:afterAutospacing="0"/>
        <w:divId w:val="280302714"/>
        <w:rPr>
          <w:sz w:val="20"/>
          <w:szCs w:val="20"/>
        </w:rPr>
      </w:pPr>
      <w:r>
        <w:rPr>
          <w:i/>
          <w:iCs/>
          <w:sz w:val="20"/>
          <w:szCs w:val="20"/>
        </w:rPr>
        <w:t>Series A Convertible Preferred Stock</w:t>
      </w:r>
    </w:p>
    <w:p w:rsidR="00000000" w:rsidRDefault="00F22B2C">
      <w:pPr>
        <w:pStyle w:val="a3"/>
        <w:spacing w:before="0" w:beforeAutospacing="0" w:after="200" w:afterAutospacing="0"/>
        <w:ind w:firstLine="547"/>
        <w:divId w:val="280302714"/>
        <w:rPr>
          <w:sz w:val="20"/>
          <w:szCs w:val="20"/>
        </w:rPr>
      </w:pPr>
      <w:r>
        <w:rPr>
          <w:sz w:val="20"/>
          <w:szCs w:val="20"/>
        </w:rPr>
        <w:t>A total of 17,000 shares of Series A Convertible Preferred Stock have been authorized for issuance u</w:t>
      </w:r>
      <w:r>
        <w:rPr>
          <w:sz w:val="20"/>
          <w:szCs w:val="20"/>
        </w:rPr>
        <w:t xml:space="preserve">nder the Company’s Certificate of Designation of Preferences and Rights of Series A Convertible Preferred Stock. The shares of Series A Convertible Preferred Stock have a stated value of $1,000 per share and are initially convertible into shares of common </w:t>
      </w:r>
      <w:r>
        <w:rPr>
          <w:sz w:val="20"/>
          <w:szCs w:val="20"/>
        </w:rPr>
        <w:t>stock at a price of $2.00 per share, subject to adjustment. Each share of Series A Preferred Stock is initially convertible into 500 shares of common stock.</w:t>
      </w:r>
    </w:p>
    <w:p w:rsidR="00000000" w:rsidRDefault="00F22B2C">
      <w:pPr>
        <w:pStyle w:val="a3"/>
        <w:spacing w:before="0" w:beforeAutospacing="0" w:after="200" w:afterAutospacing="0"/>
        <w:ind w:firstLine="547"/>
        <w:divId w:val="280302714"/>
        <w:rPr>
          <w:sz w:val="20"/>
          <w:szCs w:val="20"/>
        </w:rPr>
      </w:pPr>
      <w:r>
        <w:rPr>
          <w:sz w:val="20"/>
          <w:szCs w:val="20"/>
        </w:rPr>
        <w:t>The Series A Convertible Preferred Stock may, at the option of each investor, be converted into ful</w:t>
      </w:r>
      <w:r>
        <w:rPr>
          <w:sz w:val="20"/>
          <w:szCs w:val="20"/>
        </w:rPr>
        <w:t>ly paid and non-assessable shares of common stock. The holders of shares of Series A Convertible Preferred Stock do not have the right to vote on matters that come before the Company’s stockholders. In the event of any dissolution or winding up of the Comp</w:t>
      </w:r>
      <w:r>
        <w:rPr>
          <w:sz w:val="20"/>
          <w:szCs w:val="20"/>
        </w:rPr>
        <w:t xml:space="preserve">any, proceeds shall be paid pari passu among the holders of common stock and preferred stock, pro rata based on the number of shares held by each holder. The Company may not declare, pay or set aside any dividends on shares of capital stock of the Company </w:t>
      </w:r>
      <w:r>
        <w:rPr>
          <w:sz w:val="20"/>
          <w:szCs w:val="20"/>
        </w:rPr>
        <w:t>(other than dividends on shares of common stock payable in shares of common stock) unless the holders of the Series A Convertible Preferred Stock shall first receive an equal dividend on each outstanding share of Series A Convertible Preferred Stock.</w:t>
      </w:r>
      <w:r>
        <w:rPr>
          <w:sz w:val="20"/>
          <w:szCs w:val="20"/>
        </w:rPr>
        <w:t xml:space="preserve"> </w:t>
      </w:r>
    </w:p>
    <w:p w:rsidR="00000000" w:rsidRDefault="00F22B2C">
      <w:pPr>
        <w:pStyle w:val="a3"/>
        <w:spacing w:before="0" w:beforeAutospacing="0" w:after="200" w:afterAutospacing="0"/>
        <w:ind w:firstLine="547"/>
        <w:divId w:val="280302714"/>
        <w:rPr>
          <w:sz w:val="20"/>
          <w:szCs w:val="20"/>
        </w:rPr>
      </w:pPr>
      <w:r>
        <w:rPr>
          <w:sz w:val="20"/>
          <w:szCs w:val="20"/>
        </w:rPr>
        <w:t>N</w:t>
      </w:r>
      <w:r>
        <w:rPr>
          <w:sz w:val="20"/>
          <w:szCs w:val="20"/>
        </w:rPr>
        <w:t>o</w:t>
      </w:r>
      <w:r>
        <w:rPr>
          <w:sz w:val="20"/>
          <w:szCs w:val="20"/>
        </w:rPr>
        <w:t xml:space="preserve"> s</w:t>
      </w:r>
      <w:r>
        <w:rPr>
          <w:sz w:val="20"/>
          <w:szCs w:val="20"/>
        </w:rPr>
        <w:t>hares of Series A Convertible Preferred Stock were converted to common stock during the year ended December 31, 2021 and 2020. As of December 31, 2021 and 2020, 194</w:t>
      </w:r>
      <w:r>
        <w:rPr>
          <w:sz w:val="20"/>
          <w:szCs w:val="20"/>
        </w:rPr>
        <w:t xml:space="preserve"> </w:t>
      </w:r>
      <w:r>
        <w:rPr>
          <w:sz w:val="20"/>
          <w:szCs w:val="20"/>
        </w:rPr>
        <w:t xml:space="preserve">shares of Series A Convertible Preferred Stock (that are convertible into 97,000 shares of </w:t>
      </w:r>
      <w:r>
        <w:rPr>
          <w:sz w:val="20"/>
          <w:szCs w:val="20"/>
        </w:rPr>
        <w:t>common stock) remained outstanding</w:t>
      </w:r>
      <w:r>
        <w:rPr>
          <w:sz w:val="20"/>
          <w:szCs w:val="20"/>
        </w:rPr>
        <w:t>.</w:t>
      </w:r>
    </w:p>
    <w:p w:rsidR="00000000" w:rsidRDefault="00F22B2C">
      <w:pPr>
        <w:pStyle w:val="a3"/>
        <w:spacing w:before="0" w:beforeAutospacing="0" w:after="200" w:afterAutospacing="0"/>
        <w:divId w:val="280302714"/>
        <w:rPr>
          <w:sz w:val="20"/>
          <w:szCs w:val="20"/>
        </w:rPr>
      </w:pPr>
      <w:r>
        <w:rPr>
          <w:i/>
          <w:iCs/>
          <w:sz w:val="20"/>
          <w:szCs w:val="20"/>
        </w:rPr>
        <w:t>Series B Convertible Preferred Stock</w:t>
      </w:r>
    </w:p>
    <w:p w:rsidR="00000000" w:rsidRDefault="00F22B2C">
      <w:pPr>
        <w:pStyle w:val="a3"/>
        <w:spacing w:before="0" w:beforeAutospacing="0" w:after="0" w:afterAutospacing="0"/>
        <w:ind w:firstLine="547"/>
        <w:divId w:val="280302714"/>
        <w:rPr>
          <w:sz w:val="20"/>
          <w:szCs w:val="20"/>
        </w:rPr>
      </w:pPr>
      <w:r>
        <w:rPr>
          <w:sz w:val="20"/>
          <w:szCs w:val="20"/>
        </w:rPr>
        <w:t>A total of 11,500,000 shares of Series B Convertible Preferred Stock are authorized for issuance under the Company’s Series B Certificate of Designation of Rights, Preferences and Pri</w:t>
      </w:r>
      <w:r>
        <w:rPr>
          <w:sz w:val="20"/>
          <w:szCs w:val="20"/>
        </w:rPr>
        <w:t xml:space="preserve">vileges of Series B Convertible Preferred Stock. The shares of Series B Convertible Preferred Stock have a stated value of $4.75 per share and are convertible into shares of the Company’s common stock at </w:t>
      </w:r>
    </w:p>
    <w:p w:rsidR="00000000" w:rsidRDefault="00F22B2C">
      <w:pPr>
        <w:pStyle w:val="a3"/>
        <w:spacing w:before="480" w:beforeAutospacing="0" w:after="0" w:afterAutospacing="0"/>
        <w:jc w:val="center"/>
        <w:divId w:val="130252627"/>
        <w:rPr>
          <w:sz w:val="20"/>
          <w:szCs w:val="20"/>
        </w:rPr>
      </w:pPr>
      <w:r>
        <w:rPr>
          <w:sz w:val="20"/>
          <w:szCs w:val="20"/>
        </w:rPr>
        <w:t>F-21</w:t>
      </w:r>
    </w:p>
    <w:p w:rsidR="00000000" w:rsidRDefault="00F22B2C">
      <w:pPr>
        <w:pStyle w:val="a3"/>
        <w:spacing w:before="0" w:beforeAutospacing="0" w:after="300" w:afterAutospacing="0"/>
        <w:divId w:val="1401295946"/>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401295946"/>
        <w:rPr>
          <w:sz w:val="20"/>
          <w:szCs w:val="20"/>
        </w:rPr>
      </w:pPr>
      <w:r>
        <w:rPr>
          <w:b/>
          <w:bCs/>
          <w:sz w:val="20"/>
          <w:szCs w:val="20"/>
        </w:rPr>
        <w:t>IOVANCE BIOTHERAPEUTICS, INC.</w:t>
      </w:r>
    </w:p>
    <w:p w:rsidR="00000000" w:rsidRDefault="00F22B2C">
      <w:pPr>
        <w:pStyle w:val="a3"/>
        <w:spacing w:before="0" w:beforeAutospacing="0" w:after="300" w:afterAutospacing="0"/>
        <w:jc w:val="center"/>
        <w:divId w:val="1401295946"/>
        <w:rPr>
          <w:sz w:val="20"/>
          <w:szCs w:val="20"/>
        </w:rPr>
      </w:pPr>
      <w:r>
        <w:rPr>
          <w:b/>
          <w:bCs/>
          <w:sz w:val="20"/>
          <w:szCs w:val="20"/>
        </w:rPr>
        <w:t>NOTES TO CONSOLIDATED FINANCIAL STATEMENTS</w:t>
      </w:r>
    </w:p>
    <w:p w:rsidR="00000000" w:rsidRDefault="00F22B2C">
      <w:pPr>
        <w:pStyle w:val="a3"/>
        <w:spacing w:before="0" w:beforeAutospacing="0" w:after="200" w:afterAutospacing="0"/>
        <w:divId w:val="1843203194"/>
        <w:rPr>
          <w:sz w:val="20"/>
          <w:szCs w:val="20"/>
        </w:rPr>
      </w:pPr>
      <w:r>
        <w:rPr>
          <w:sz w:val="20"/>
          <w:szCs w:val="20"/>
        </w:rPr>
        <w:t>an initial conversion price of $4.75 per share. Each share of Series B Preferred Stock is initially convertible into 1 share of common stock</w:t>
      </w:r>
      <w:r>
        <w:rPr>
          <w:sz w:val="20"/>
          <w:szCs w:val="20"/>
        </w:rPr>
        <w:t>.</w:t>
      </w:r>
    </w:p>
    <w:p w:rsidR="00000000" w:rsidRDefault="00F22B2C">
      <w:pPr>
        <w:pStyle w:val="a3"/>
        <w:spacing w:before="0" w:beforeAutospacing="0" w:after="200" w:afterAutospacing="0"/>
        <w:ind w:firstLine="547"/>
        <w:divId w:val="1843203194"/>
        <w:rPr>
          <w:sz w:val="20"/>
          <w:szCs w:val="20"/>
        </w:rPr>
      </w:pPr>
      <w:r>
        <w:rPr>
          <w:sz w:val="20"/>
          <w:szCs w:val="20"/>
        </w:rPr>
        <w:t>The Series B Convertibl</w:t>
      </w:r>
      <w:r>
        <w:rPr>
          <w:sz w:val="20"/>
          <w:szCs w:val="20"/>
        </w:rPr>
        <w:t>e Preferred Stock may, at the option of each investor, be converted into fully paid and non-assessable shares of common stock. The holders of Series B Convertible Preferred Stock do not have the right to vote on matters that come before the Company's stock</w:t>
      </w:r>
      <w:r>
        <w:rPr>
          <w:sz w:val="20"/>
          <w:szCs w:val="20"/>
        </w:rPr>
        <w:t>holders. In the event of any dissolution or winding up of the Company, proceeds shall be paid pari passu among the holders of common stock and preferred stock, pro rata based on the number of shares held by each holder. Holders of Series B Convertible Pref</w:t>
      </w:r>
      <w:r>
        <w:rPr>
          <w:sz w:val="20"/>
          <w:szCs w:val="20"/>
        </w:rPr>
        <w:t>erred Stock are entitled to dividends on an as-if-converted basis in the same form as any dividends actually paid on shares of the Series A Convertible Preferred Stock or the Company’s common stock. So long as any Series B Convertible Preferred Stock remai</w:t>
      </w:r>
      <w:r>
        <w:rPr>
          <w:sz w:val="20"/>
          <w:szCs w:val="20"/>
        </w:rPr>
        <w:t>ns outstanding, the Company may not redeem, purchase or otherwise acquire any material amount of the Series A Convertible Preferred Stock or any securities junior to the Series B Convertible Preferred Stock.</w:t>
      </w:r>
    </w:p>
    <w:p w:rsidR="00000000" w:rsidRDefault="00F22B2C">
      <w:pPr>
        <w:pStyle w:val="a3"/>
        <w:spacing w:before="0" w:beforeAutospacing="0" w:after="200" w:afterAutospacing="0"/>
        <w:ind w:firstLine="547"/>
        <w:divId w:val="1843203194"/>
        <w:rPr>
          <w:sz w:val="20"/>
          <w:szCs w:val="20"/>
        </w:rPr>
      </w:pPr>
      <w:r>
        <w:rPr>
          <w:sz w:val="20"/>
          <w:szCs w:val="20"/>
        </w:rPr>
        <w:t>During the year ended December 31, 2021, 738,961</w:t>
      </w:r>
      <w:r>
        <w:rPr>
          <w:sz w:val="20"/>
          <w:szCs w:val="20"/>
        </w:rPr>
        <w:t xml:space="preserve"> shares of Series B Convertible Preferred Stock were converted to common stock. No shares of Series B Convertible Preferred Stock were converted to common stock during the year ended December 31, 2020. At December 31, 2021 and 2020, 2,842,158 and 3,581,119</w:t>
      </w:r>
      <w:r>
        <w:rPr>
          <w:sz w:val="20"/>
          <w:szCs w:val="20"/>
        </w:rPr>
        <w:t xml:space="preserve"> shares of Series B Preferred Stock (that are convertible into 2,842,158 and 3,581,119 shares of common stock) remained outstanding, respectively.</w:t>
      </w:r>
    </w:p>
    <w:p w:rsidR="00000000" w:rsidRDefault="00F22B2C">
      <w:pPr>
        <w:pStyle w:val="a3"/>
        <w:spacing w:before="0" w:beforeAutospacing="0" w:after="200" w:afterAutospacing="0"/>
        <w:divId w:val="1843203194"/>
        <w:rPr>
          <w:b/>
          <w:bCs/>
          <w:i/>
          <w:iCs/>
          <w:sz w:val="20"/>
          <w:szCs w:val="20"/>
        </w:rPr>
      </w:pPr>
      <w:r>
        <w:rPr>
          <w:b/>
          <w:bCs/>
          <w:i/>
          <w:iCs/>
          <w:sz w:val="20"/>
          <w:szCs w:val="20"/>
        </w:rPr>
        <w:t>Equity Incentive Plans</w:t>
      </w:r>
    </w:p>
    <w:p w:rsidR="00000000" w:rsidRDefault="00F22B2C">
      <w:pPr>
        <w:pStyle w:val="a3"/>
        <w:spacing w:before="0" w:beforeAutospacing="0" w:after="200" w:afterAutospacing="0"/>
        <w:ind w:firstLine="547"/>
        <w:divId w:val="1843203194"/>
        <w:rPr>
          <w:sz w:val="20"/>
          <w:szCs w:val="20"/>
        </w:rPr>
      </w:pPr>
      <w:r>
        <w:rPr>
          <w:sz w:val="20"/>
          <w:szCs w:val="20"/>
        </w:rPr>
        <w:t>The Company has multiple equity incentive plans under which it grants awards. As of De</w:t>
      </w:r>
      <w:r>
        <w:rPr>
          <w:sz w:val="20"/>
          <w:szCs w:val="20"/>
        </w:rPr>
        <w:t xml:space="preserve">cember 31, 2021, there are 60,785 shares available to grant under the 2014 Equity Incentive Plan (the “2014 Plan”). </w:t>
      </w:r>
    </w:p>
    <w:p w:rsidR="00000000" w:rsidRDefault="00F22B2C">
      <w:pPr>
        <w:pStyle w:val="a3"/>
        <w:spacing w:before="0" w:beforeAutospacing="0" w:after="200" w:afterAutospacing="0"/>
        <w:ind w:firstLine="547"/>
        <w:divId w:val="1843203194"/>
        <w:rPr>
          <w:sz w:val="20"/>
          <w:szCs w:val="20"/>
        </w:rPr>
      </w:pPr>
      <w:r>
        <w:rPr>
          <w:sz w:val="20"/>
          <w:szCs w:val="20"/>
        </w:rPr>
        <w:t>On April 22, 2018, the Company’s board of directors (the “Board”) adopted the Iovance Biotherapeutics, Inc. 2018 Equity Incentive Plan (the</w:t>
      </w:r>
      <w:r>
        <w:rPr>
          <w:sz w:val="20"/>
          <w:szCs w:val="20"/>
        </w:rPr>
        <w:t xml:space="preserve"> “2018 Plan”), which was approved by the Company’s stockholders in June 2018. The 2018 Plan as approved initially authorized the issuance up to an aggregate of 6,000,000 shares of common stock in the form of incentive (qualified) stock options, non-qualifi</w:t>
      </w:r>
      <w:r>
        <w:rPr>
          <w:sz w:val="20"/>
          <w:szCs w:val="20"/>
        </w:rPr>
        <w:t>ed options, common stock, stock appreciation rights, restricted stock awards, restricted stock units, other stock-based awards, other cash-based awards or any combination of the foregoing. On June 8, 2020, the Company's stockholders approved an amendment t</w:t>
      </w:r>
      <w:r>
        <w:rPr>
          <w:sz w:val="20"/>
          <w:szCs w:val="20"/>
        </w:rPr>
        <w:t>o the 2018 Plan to increase the number of shares available for issuance upon the exercise of stock options under the 2018 Plan from 6,000,000 to 14,000,000 shares, which became effective immediately. As of December 31, 2021, 3,866,948 shares of common stoc</w:t>
      </w:r>
      <w:r>
        <w:rPr>
          <w:sz w:val="20"/>
          <w:szCs w:val="20"/>
        </w:rPr>
        <w:t>k were available for grant under the Company’s 2018 Plan.</w:t>
      </w:r>
    </w:p>
    <w:p w:rsidR="00000000" w:rsidRDefault="00F22B2C">
      <w:pPr>
        <w:pStyle w:val="a3"/>
        <w:spacing w:before="0" w:beforeAutospacing="0" w:after="200" w:afterAutospacing="0"/>
        <w:ind w:firstLine="540"/>
        <w:divId w:val="1843203194"/>
        <w:rPr>
          <w:sz w:val="20"/>
          <w:szCs w:val="20"/>
        </w:rPr>
      </w:pPr>
      <w:r>
        <w:rPr>
          <w:sz w:val="20"/>
          <w:szCs w:val="20"/>
        </w:rPr>
        <w:t>On September 22, 2021, the Board adopted the Iovance Biotherapeutics, Inc. 2021 Inducement Plan (the “2021 Inducement Plan”). The 2021 Inducement Plan provides for the grant of non-qualified options</w:t>
      </w:r>
      <w:r>
        <w:rPr>
          <w:sz w:val="20"/>
          <w:szCs w:val="20"/>
        </w:rPr>
        <w:t>, common stock, stock appreciation rights, restricted stock awards, restricted stock units, other stock-based awards, other cash-based awards, or any combination of the foregoing. The 2021 Inducement Plan was recommended for approval by the Compensation Co</w:t>
      </w:r>
      <w:r>
        <w:rPr>
          <w:sz w:val="20"/>
          <w:szCs w:val="20"/>
        </w:rPr>
        <w:t>mmittee of the Board (the “Compensation Committee”), and subsequently approved and adopted by the Board without stockholder approval pursuant to Rule 5635(c)(4) of the rules and regulations of The Nasdaq Stock Market, LLC (the “Nasdaq Listing Rules”).</w:t>
      </w:r>
    </w:p>
    <w:p w:rsidR="00000000" w:rsidRDefault="00F22B2C">
      <w:pPr>
        <w:pStyle w:val="a3"/>
        <w:spacing w:before="0" w:beforeAutospacing="0" w:after="200" w:afterAutospacing="0"/>
        <w:ind w:firstLine="540"/>
        <w:divId w:val="1843203194"/>
        <w:rPr>
          <w:sz w:val="20"/>
          <w:szCs w:val="20"/>
        </w:rPr>
      </w:pPr>
      <w:r>
        <w:rPr>
          <w:sz w:val="20"/>
          <w:szCs w:val="20"/>
        </w:rPr>
        <w:t xml:space="preserve">The </w:t>
      </w:r>
      <w:r>
        <w:rPr>
          <w:sz w:val="20"/>
          <w:szCs w:val="20"/>
        </w:rPr>
        <w:t>Board initially reserved 1,000,000 shares of the Company’s common stock for issuance pursuant to equity awards granted under the 2021 Inducement Plan, and the 2021 Inducement Plan will be administered by the Compensation Committee. On January 12, 2022, the</w:t>
      </w:r>
      <w:r>
        <w:rPr>
          <w:sz w:val="20"/>
          <w:szCs w:val="20"/>
        </w:rPr>
        <w:t xml:space="preserve"> Compensation Committee approved an amendment to the 2021 Inducement Plan solely to increase the number of shares reserved for issuance under the 2021 Inducement Plan from 1,000,000 shares of the Company’s common stock to 1,750,000 shares of the Company’s </w:t>
      </w:r>
      <w:r>
        <w:rPr>
          <w:sz w:val="20"/>
          <w:szCs w:val="20"/>
        </w:rPr>
        <w:t>common stock without stockholder approval pursuant to Rule 5635(c)(4) of the Nasdaq Listing Rules.</w:t>
      </w:r>
    </w:p>
    <w:p w:rsidR="00000000" w:rsidRDefault="00F22B2C">
      <w:pPr>
        <w:pStyle w:val="a3"/>
        <w:spacing w:before="0" w:beforeAutospacing="0" w:after="200" w:afterAutospacing="0"/>
        <w:ind w:firstLine="540"/>
        <w:divId w:val="1843203194"/>
        <w:rPr>
          <w:sz w:val="20"/>
          <w:szCs w:val="20"/>
        </w:rPr>
      </w:pPr>
      <w:r>
        <w:rPr>
          <w:sz w:val="20"/>
          <w:szCs w:val="20"/>
        </w:rPr>
        <w:t>In accordance with Rule 5635(c)(4) of the Nasdaq Listing Rules, equity awards under the 2021 Inducement Plan may only be made to an employee if such employee</w:t>
      </w:r>
      <w:r>
        <w:rPr>
          <w:sz w:val="20"/>
          <w:szCs w:val="20"/>
        </w:rPr>
        <w:t xml:space="preserve"> is granted such equity awards in connection with his or her commencement of employment with the Company or a subsidiary and such grant is an inducement material to his or her entering into employment with the Company or such subsidiary. In addition, award</w:t>
      </w:r>
      <w:r>
        <w:rPr>
          <w:sz w:val="20"/>
          <w:szCs w:val="20"/>
        </w:rPr>
        <w:t>s under the 2021 Inducement Plan may only be made to employees who have not previously been an employee or member of the Board (or any parent or subsidiary of the Company) or following a bona fide period of non-employment of the employee by the Company (or</w:t>
      </w:r>
      <w:r>
        <w:rPr>
          <w:sz w:val="20"/>
          <w:szCs w:val="20"/>
        </w:rPr>
        <w:t xml:space="preserve"> a parent or subsidiary of the Company). As of December 31, 2021,</w:t>
      </w:r>
      <w:r>
        <w:rPr>
          <w:sz w:val="20"/>
          <w:szCs w:val="20"/>
        </w:rPr>
        <w:t xml:space="preserve"> </w:t>
      </w:r>
      <w:r>
        <w:rPr>
          <w:sz w:val="20"/>
          <w:szCs w:val="20"/>
        </w:rPr>
        <w:t>723,525 shares of common stock were available for grant under the Inducement Plan.</w:t>
      </w:r>
    </w:p>
    <w:p w:rsidR="00000000" w:rsidRDefault="00F22B2C">
      <w:pPr>
        <w:pStyle w:val="a3"/>
        <w:spacing w:before="480" w:beforeAutospacing="0" w:after="0" w:afterAutospacing="0"/>
        <w:jc w:val="center"/>
        <w:divId w:val="1081413056"/>
        <w:rPr>
          <w:sz w:val="20"/>
          <w:szCs w:val="20"/>
        </w:rPr>
      </w:pPr>
      <w:r>
        <w:rPr>
          <w:sz w:val="20"/>
          <w:szCs w:val="20"/>
        </w:rPr>
        <w:t>F-22</w:t>
      </w:r>
    </w:p>
    <w:p w:rsidR="00000000" w:rsidRDefault="00F22B2C">
      <w:pPr>
        <w:pStyle w:val="a3"/>
        <w:spacing w:before="0" w:beforeAutospacing="0" w:after="300" w:afterAutospacing="0"/>
        <w:divId w:val="761799516"/>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761799516"/>
        <w:rPr>
          <w:sz w:val="20"/>
          <w:szCs w:val="20"/>
        </w:rPr>
      </w:pPr>
      <w:r>
        <w:rPr>
          <w:b/>
          <w:bCs/>
          <w:sz w:val="20"/>
          <w:szCs w:val="20"/>
        </w:rPr>
        <w:t>IOVANCE BIOTHERAPEUTICS, INC.</w:t>
      </w:r>
    </w:p>
    <w:p w:rsidR="00000000" w:rsidRDefault="00F22B2C">
      <w:pPr>
        <w:pStyle w:val="a3"/>
        <w:spacing w:before="0" w:beforeAutospacing="0" w:after="300" w:afterAutospacing="0"/>
        <w:jc w:val="center"/>
        <w:divId w:val="761799516"/>
        <w:rPr>
          <w:sz w:val="20"/>
          <w:szCs w:val="20"/>
        </w:rPr>
      </w:pPr>
      <w:r>
        <w:rPr>
          <w:b/>
          <w:bCs/>
          <w:sz w:val="20"/>
          <w:szCs w:val="20"/>
        </w:rPr>
        <w:t>NOTES TO CONSOLIDATED FINANC</w:t>
      </w:r>
      <w:r>
        <w:rPr>
          <w:b/>
          <w:bCs/>
          <w:sz w:val="20"/>
          <w:szCs w:val="20"/>
        </w:rPr>
        <w:t>IAL STATEMENTS</w:t>
      </w:r>
    </w:p>
    <w:p w:rsidR="00000000" w:rsidRDefault="00F22B2C">
      <w:pPr>
        <w:pStyle w:val="a3"/>
        <w:spacing w:before="0" w:beforeAutospacing="0" w:after="200" w:afterAutospacing="0"/>
        <w:divId w:val="863634432"/>
        <w:rPr>
          <w:b/>
          <w:bCs/>
          <w:i/>
          <w:iCs/>
          <w:sz w:val="20"/>
          <w:szCs w:val="20"/>
        </w:rPr>
      </w:pPr>
      <w:r>
        <w:rPr>
          <w:b/>
          <w:bCs/>
          <w:i/>
          <w:iCs/>
          <w:sz w:val="20"/>
          <w:szCs w:val="20"/>
        </w:rPr>
        <w:t>Stock Options</w:t>
      </w:r>
    </w:p>
    <w:p w:rsidR="00000000" w:rsidRDefault="00F22B2C">
      <w:pPr>
        <w:pStyle w:val="a3"/>
        <w:spacing w:before="0" w:beforeAutospacing="0" w:after="0" w:afterAutospacing="0"/>
        <w:ind w:firstLine="547"/>
        <w:divId w:val="863634432"/>
        <w:rPr>
          <w:sz w:val="20"/>
          <w:szCs w:val="20"/>
        </w:rPr>
      </w:pPr>
      <w:r>
        <w:rPr>
          <w:sz w:val="20"/>
          <w:szCs w:val="20"/>
        </w:rPr>
        <w:t>A summary of the status of stock options as of December 31, 2021, and the changes during the three years then ended, is presented in the following table:</w:t>
      </w:r>
    </w:p>
    <w:p w:rsidR="00000000" w:rsidRDefault="00F22B2C">
      <w:pPr>
        <w:pStyle w:val="a3"/>
        <w:spacing w:before="0" w:beforeAutospacing="0" w:after="0" w:afterAutospacing="0"/>
        <w:divId w:val="86363443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02"/>
        <w:gridCol w:w="198"/>
        <w:gridCol w:w="1022"/>
        <w:gridCol w:w="198"/>
        <w:gridCol w:w="121"/>
        <w:gridCol w:w="797"/>
        <w:gridCol w:w="198"/>
        <w:gridCol w:w="797"/>
        <w:gridCol w:w="199"/>
        <w:gridCol w:w="133"/>
        <w:gridCol w:w="841"/>
      </w:tblGrid>
      <w:tr w:rsidR="00000000">
        <w:trPr>
          <w:divId w:val="863634432"/>
          <w:trHeight w:val="20"/>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divId w:val="450561382"/>
              <w:rPr>
                <w:sz w:val="20"/>
                <w:szCs w:val="20"/>
              </w:rPr>
            </w:pPr>
            <w:r>
              <w:rPr>
                <w:sz w:val="2"/>
                <w:szCs w:val="2"/>
              </w:rPr>
              <w:t>​</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divId w:val="690566647"/>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40740717"/>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214148509"/>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931206768"/>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64904749"/>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390567994"/>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090200071"/>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1771668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01998913"/>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27907799"/>
              <w:rPr>
                <w:sz w:val="20"/>
                <w:szCs w:val="20"/>
              </w:rPr>
            </w:pPr>
            <w:r>
              <w:rPr>
                <w:sz w:val="2"/>
                <w:szCs w:val="2"/>
              </w:rPr>
              <w:t>​</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Weighted</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sz w:val="16"/>
                <w:szCs w:val="16"/>
              </w:rPr>
              <w:t> </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Weighted</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Average</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Aggregate</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Number</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Average</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Remaining</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Intrinsic</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of</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Exercise</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Contract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Value</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rFonts w:ascii="Calibri" w:hAnsi="Calibri" w:cs="Calibri"/>
                <w:sz w:val="16"/>
                <w:szCs w:val="16"/>
              </w:rPr>
              <w:t>    </w:t>
            </w:r>
          </w:p>
        </w:tc>
        <w:tc>
          <w:tcPr>
            <w:tcW w:w="61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Options</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rFonts w:ascii="Calibri" w:hAnsi="Calibri" w:cs="Calibri"/>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Price</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rFonts w:ascii="Calibri" w:hAnsi="Calibri" w:cs="Calibri"/>
                <w:sz w:val="16"/>
                <w:szCs w:val="16"/>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Life</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(in thousands)</w:t>
            </w:r>
          </w:p>
        </w:tc>
      </w:tr>
      <w:tr w:rsidR="00000000">
        <w:trPr>
          <w:divId w:val="863634432"/>
        </w:trPr>
        <w:tc>
          <w:tcPr>
            <w:tcW w:w="229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Outstanding at January 1, 2019</w:t>
            </w:r>
          </w:p>
        </w:tc>
        <w:tc>
          <w:tcPr>
            <w:tcW w:w="12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6,889,287</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10.25</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Issued</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4,166,600</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14.73</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Exercised</w:t>
            </w:r>
          </w:p>
        </w:tc>
        <w:tc>
          <w:tcPr>
            <w:tcW w:w="12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(727,492)</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8.85</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Expired/Cancelled</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(833,683)</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13.87</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Outstanding at December 31, 2019</w:t>
            </w:r>
          </w:p>
        </w:tc>
        <w:tc>
          <w:tcPr>
            <w:tcW w:w="12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9,494,712</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12.00</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Issued</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4,981,001</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28.17</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Exercised</w:t>
            </w:r>
          </w:p>
        </w:tc>
        <w:tc>
          <w:tcPr>
            <w:tcW w:w="12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(973,854)</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9.92</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Expired/Cancelled</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(886,221)</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18.67</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Outstanding at December 31, 2020</w:t>
            </w:r>
          </w:p>
        </w:tc>
        <w:tc>
          <w:tcPr>
            <w:tcW w:w="12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12,615,638</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18.08</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Issued</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5,528,724</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38.05</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Exercised</w:t>
            </w:r>
          </w:p>
        </w:tc>
        <w:tc>
          <w:tcPr>
            <w:tcW w:w="12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(2,822,617)</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11.88</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Expired/Cancelled</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(2,800,880)</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32.58</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863634432"/>
        </w:trPr>
        <w:tc>
          <w:tcPr>
            <w:tcW w:w="229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Outstanding at December 31, 2021</w:t>
            </w:r>
          </w:p>
        </w:tc>
        <w:tc>
          <w:tcPr>
            <w:tcW w:w="122"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12,520,865</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25.05</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7.64</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35,047</w:t>
            </w:r>
          </w:p>
        </w:tc>
      </w:tr>
      <w:tr w:rsidR="00000000">
        <w:trPr>
          <w:divId w:val="863634432"/>
        </w:trPr>
        <w:tc>
          <w:tcPr>
            <w:tcW w:w="2290"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Ending vested and expected to vest at December 31, 2021</w:t>
            </w:r>
          </w:p>
        </w:tc>
        <w:tc>
          <w:tcPr>
            <w:tcW w:w="122"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12,520,865</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25.05</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7.64</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35,047</w:t>
            </w:r>
          </w:p>
        </w:tc>
      </w:tr>
      <w:tr w:rsidR="00000000">
        <w:trPr>
          <w:divId w:val="863634432"/>
        </w:trPr>
        <w:tc>
          <w:tcPr>
            <w:tcW w:w="2290"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Options exercisable at December 31, 2021</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6,466,673</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16.67</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6.40</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34,112</w:t>
            </w:r>
          </w:p>
        </w:tc>
      </w:tr>
    </w:tbl>
    <w:p w:rsidR="00000000" w:rsidRDefault="00F22B2C">
      <w:pPr>
        <w:pStyle w:val="a3"/>
        <w:spacing w:before="0" w:beforeAutospacing="0" w:after="0" w:afterAutospacing="0"/>
        <w:divId w:val="863634432"/>
        <w:rPr>
          <w:sz w:val="20"/>
          <w:szCs w:val="20"/>
        </w:rPr>
      </w:pPr>
      <w:r>
        <w:rPr>
          <w:sz w:val="20"/>
          <w:szCs w:val="20"/>
        </w:rPr>
        <w:t>​</w:t>
      </w:r>
    </w:p>
    <w:p w:rsidR="00000000" w:rsidRDefault="00F22B2C">
      <w:pPr>
        <w:pStyle w:val="a3"/>
        <w:spacing w:before="0" w:beforeAutospacing="0" w:after="200" w:afterAutospacing="0"/>
        <w:divId w:val="863634432"/>
        <w:rPr>
          <w:b/>
          <w:bCs/>
          <w:i/>
          <w:iCs/>
          <w:sz w:val="20"/>
          <w:szCs w:val="20"/>
        </w:rPr>
      </w:pPr>
      <w:r>
        <w:rPr>
          <w:b/>
          <w:bCs/>
          <w:i/>
          <w:iCs/>
          <w:sz w:val="20"/>
          <w:szCs w:val="20"/>
        </w:rPr>
        <w:t>Employee Stock Purchase Plan</w:t>
      </w:r>
    </w:p>
    <w:p w:rsidR="00000000" w:rsidRDefault="00F22B2C">
      <w:pPr>
        <w:pStyle w:val="a3"/>
        <w:spacing w:before="0" w:beforeAutospacing="0" w:after="0" w:afterAutospacing="0"/>
        <w:ind w:firstLine="547"/>
        <w:divId w:val="863634432"/>
        <w:rPr>
          <w:sz w:val="20"/>
          <w:szCs w:val="20"/>
        </w:rPr>
      </w:pPr>
      <w:r>
        <w:rPr>
          <w:sz w:val="20"/>
          <w:szCs w:val="20"/>
        </w:rPr>
        <w:t>In June 2020, the Company adopted the 2020 ESPP upon its approval by the Company’</w:t>
      </w:r>
      <w:r>
        <w:rPr>
          <w:sz w:val="20"/>
          <w:szCs w:val="20"/>
        </w:rPr>
        <w:t>s shareholders at its Annual Stockholders Meeting on June 8, 2020. The Company reserved 500,000 shares of its common stock for issuance under the 2020 ESPP.</w:t>
      </w:r>
    </w:p>
    <w:p w:rsidR="00000000" w:rsidRDefault="00F22B2C">
      <w:pPr>
        <w:pStyle w:val="a3"/>
        <w:spacing w:before="0" w:beforeAutospacing="0" w:after="0" w:afterAutospacing="0"/>
        <w:ind w:firstLine="547"/>
        <w:divId w:val="863634432"/>
        <w:rPr>
          <w:sz w:val="20"/>
          <w:szCs w:val="20"/>
        </w:rPr>
      </w:pPr>
      <w:r>
        <w:rPr>
          <w:sz w:val="20"/>
          <w:szCs w:val="20"/>
          <w:shd w:val="clear" w:color="auto" w:fill="00FF00"/>
        </w:rPr>
        <w:t>​</w:t>
      </w:r>
    </w:p>
    <w:p w:rsidR="00000000" w:rsidRDefault="00F22B2C">
      <w:pPr>
        <w:pStyle w:val="a3"/>
        <w:spacing w:before="0" w:beforeAutospacing="0" w:after="200" w:afterAutospacing="0"/>
        <w:ind w:firstLine="547"/>
        <w:divId w:val="863634432"/>
        <w:rPr>
          <w:sz w:val="20"/>
          <w:szCs w:val="20"/>
        </w:rPr>
      </w:pPr>
      <w:r>
        <w:rPr>
          <w:sz w:val="20"/>
          <w:szCs w:val="20"/>
        </w:rPr>
        <w:t xml:space="preserve">Under the 2020 ESPP, employees of the Company can purchase shares of our common stock based on a </w:t>
      </w:r>
      <w:r>
        <w:rPr>
          <w:sz w:val="20"/>
          <w:szCs w:val="20"/>
        </w:rPr>
        <w:t>percentage of their compensation subject to certain limits. The purchase price per share is equal to the lower of 85% of the fair market value of its common stock on the offering date or the purchase date with a six month look-back feature. The 2020 ESPP p</w:t>
      </w:r>
      <w:r>
        <w:rPr>
          <w:sz w:val="20"/>
          <w:szCs w:val="20"/>
        </w:rPr>
        <w:t xml:space="preserve">urchases are settled with common stock from the 2020 ESPP’s previously authorized and available pool of shares. </w:t>
      </w:r>
    </w:p>
    <w:p w:rsidR="00000000" w:rsidRDefault="00F22B2C">
      <w:pPr>
        <w:pStyle w:val="a3"/>
        <w:spacing w:before="0" w:beforeAutospacing="0" w:after="0" w:afterAutospacing="0"/>
        <w:ind w:firstLine="547"/>
        <w:divId w:val="863634432"/>
        <w:rPr>
          <w:sz w:val="20"/>
          <w:szCs w:val="20"/>
        </w:rPr>
      </w:pPr>
      <w:r>
        <w:rPr>
          <w:sz w:val="20"/>
          <w:szCs w:val="20"/>
        </w:rPr>
        <w:t>The compensation expense related to the 2020 ESPP for the years ended December 31, 2021 and 2020 were $1.2 million and $61,000, respectively. D</w:t>
      </w:r>
      <w:r>
        <w:rPr>
          <w:sz w:val="20"/>
          <w:szCs w:val="20"/>
        </w:rPr>
        <w:t>uring the year ended December 31, 2021, the Company received proceeds of $1.6 million for the issuance of 94,148 shares under the 2020 ESPP and there was $0.4 million of unrecognized compensation cost associated with the 2020 ESPP, which will be recognized</w:t>
      </w:r>
      <w:r>
        <w:rPr>
          <w:sz w:val="20"/>
          <w:szCs w:val="20"/>
        </w:rPr>
        <w:t xml:space="preserve"> over</w:t>
      </w:r>
      <w:r>
        <w:rPr>
          <w:sz w:val="20"/>
          <w:szCs w:val="20"/>
        </w:rPr>
        <w:t xml:space="preserve"> </w:t>
      </w:r>
      <w:r>
        <w:rPr>
          <w:sz w:val="20"/>
          <w:szCs w:val="20"/>
        </w:rPr>
        <w:t>5.3</w:t>
      </w:r>
      <w:r>
        <w:rPr>
          <w:sz w:val="20"/>
          <w:szCs w:val="20"/>
        </w:rPr>
        <w:t>3</w:t>
      </w:r>
      <w:r>
        <w:rPr>
          <w:sz w:val="20"/>
          <w:szCs w:val="20"/>
        </w:rPr>
        <w:t xml:space="preserve"> months. As of December 31, 2020, no shares were issued under the 2020 ESPP and there was $0.5 million of unrecognized compensation cost associated with the 2020 ESPP, to be recognized over</w:t>
      </w:r>
      <w:r>
        <w:rPr>
          <w:sz w:val="20"/>
          <w:szCs w:val="20"/>
        </w:rPr>
        <w:t xml:space="preserve"> </w:t>
      </w:r>
      <w:r>
        <w:rPr>
          <w:sz w:val="20"/>
          <w:szCs w:val="20"/>
        </w:rPr>
        <w:t>6 month</w:t>
      </w:r>
      <w:r>
        <w:rPr>
          <w:sz w:val="20"/>
          <w:szCs w:val="20"/>
        </w:rPr>
        <w:t>s</w:t>
      </w:r>
      <w:r>
        <w:rPr>
          <w:sz w:val="20"/>
          <w:szCs w:val="20"/>
        </w:rPr>
        <w:t>.</w:t>
      </w:r>
      <w:r>
        <w:rPr>
          <w:sz w:val="20"/>
          <w:szCs w:val="20"/>
        </w:rPr>
        <w:t xml:space="preserve"> </w:t>
      </w:r>
    </w:p>
    <w:p w:rsidR="00000000" w:rsidRDefault="00F22B2C">
      <w:pPr>
        <w:pStyle w:val="a3"/>
        <w:spacing w:before="0" w:beforeAutospacing="0" w:after="0" w:afterAutospacing="0"/>
        <w:ind w:firstLine="547"/>
        <w:divId w:val="863634432"/>
        <w:rPr>
          <w:sz w:val="20"/>
          <w:szCs w:val="20"/>
        </w:rPr>
      </w:pPr>
      <w:r>
        <w:rPr>
          <w:sz w:val="20"/>
          <w:szCs w:val="20"/>
        </w:rPr>
        <w:t>​</w:t>
      </w:r>
    </w:p>
    <w:p w:rsidR="00000000" w:rsidRDefault="00F22B2C">
      <w:pPr>
        <w:pStyle w:val="a3"/>
        <w:spacing w:before="0" w:beforeAutospacing="0" w:after="0" w:afterAutospacing="0"/>
        <w:divId w:val="863634432"/>
        <w:rPr>
          <w:sz w:val="20"/>
          <w:szCs w:val="20"/>
        </w:rPr>
      </w:pPr>
      <w:r>
        <w:rPr>
          <w:b/>
          <w:bCs/>
          <w:i/>
          <w:iCs/>
          <w:sz w:val="20"/>
          <w:szCs w:val="20"/>
        </w:rPr>
        <w:t>Restricted Stock Units</w:t>
      </w:r>
    </w:p>
    <w:p w:rsidR="00000000" w:rsidRDefault="00F22B2C">
      <w:pPr>
        <w:pStyle w:val="a3"/>
        <w:spacing w:before="0" w:beforeAutospacing="0" w:after="0" w:afterAutospacing="0"/>
        <w:divId w:val="863634432"/>
        <w:rPr>
          <w:sz w:val="20"/>
          <w:szCs w:val="20"/>
        </w:rPr>
      </w:pPr>
      <w:r>
        <w:rPr>
          <w:b/>
          <w:bCs/>
          <w:i/>
          <w:iCs/>
          <w:sz w:val="20"/>
          <w:szCs w:val="20"/>
        </w:rPr>
        <w:t>​</w:t>
      </w:r>
    </w:p>
    <w:p w:rsidR="00000000" w:rsidRDefault="00F22B2C">
      <w:pPr>
        <w:pStyle w:val="a3"/>
        <w:spacing w:before="0" w:beforeAutospacing="0" w:after="0" w:afterAutospacing="0"/>
        <w:ind w:firstLine="547"/>
        <w:divId w:val="863634432"/>
        <w:rPr>
          <w:sz w:val="20"/>
          <w:szCs w:val="20"/>
        </w:rPr>
      </w:pPr>
      <w:r>
        <w:rPr>
          <w:sz w:val="20"/>
          <w:szCs w:val="20"/>
        </w:rPr>
        <w:t>On June 1, 2016, the Company entered into an RSU agreement with the Company’s former Chief Executive Officer, pursuant to which the Company granted the former Chief Executive Officer 550,000 RSUs as an inducement of employment purs</w:t>
      </w:r>
      <w:r>
        <w:rPr>
          <w:sz w:val="20"/>
          <w:szCs w:val="20"/>
        </w:rPr>
        <w:t xml:space="preserve">uant to the exception to The Nasdaq Global Market rules that generally require stockholder approval of equity incentive plans. These RSUs, which included certain performance vesting criteria based upon the satisfaction of certain clinical trial milestones </w:t>
      </w:r>
      <w:r>
        <w:rPr>
          <w:sz w:val="20"/>
          <w:szCs w:val="20"/>
        </w:rPr>
        <w:t xml:space="preserve">were fully vested as of June 1, 2020. No RSUs related to this grant were outstanding at either December 31, 2021 or 2020. </w:t>
      </w:r>
    </w:p>
    <w:p w:rsidR="00000000" w:rsidRDefault="00F22B2C">
      <w:pPr>
        <w:pStyle w:val="a3"/>
        <w:spacing w:before="0" w:beforeAutospacing="0" w:after="0" w:afterAutospacing="0"/>
        <w:ind w:firstLine="547"/>
        <w:divId w:val="863634432"/>
        <w:rPr>
          <w:sz w:val="20"/>
          <w:szCs w:val="20"/>
        </w:rPr>
      </w:pPr>
      <w:r>
        <w:rPr>
          <w:sz w:val="20"/>
          <w:szCs w:val="20"/>
        </w:rPr>
        <w:t>​</w:t>
      </w:r>
    </w:p>
    <w:p w:rsidR="00000000" w:rsidRDefault="00F22B2C">
      <w:pPr>
        <w:pStyle w:val="a3"/>
        <w:spacing w:before="0" w:beforeAutospacing="0" w:after="0" w:afterAutospacing="0"/>
        <w:ind w:firstLine="547"/>
        <w:divId w:val="863634432"/>
        <w:rPr>
          <w:sz w:val="20"/>
          <w:szCs w:val="20"/>
        </w:rPr>
      </w:pPr>
      <w:r>
        <w:rPr>
          <w:sz w:val="20"/>
          <w:szCs w:val="20"/>
        </w:rPr>
        <w:t xml:space="preserve">In June 2021, under the terms of the 2018 Plan, the Company granted 1,253,540 RSUs to its executives and employees. The awards are </w:t>
      </w:r>
      <w:r>
        <w:rPr>
          <w:sz w:val="20"/>
          <w:szCs w:val="20"/>
        </w:rPr>
        <w:t xml:space="preserve">time-based, and each award has one of two vesting conditions. For certain RSU awards, 100% of the RSUs will vest on the </w:t>
      </w:r>
    </w:p>
    <w:p w:rsidR="00000000" w:rsidRDefault="00F22B2C">
      <w:pPr>
        <w:pStyle w:val="a3"/>
        <w:spacing w:before="480" w:beforeAutospacing="0" w:after="0" w:afterAutospacing="0"/>
        <w:jc w:val="center"/>
        <w:divId w:val="1793668867"/>
        <w:rPr>
          <w:sz w:val="20"/>
          <w:szCs w:val="20"/>
        </w:rPr>
      </w:pPr>
      <w:r>
        <w:rPr>
          <w:sz w:val="20"/>
          <w:szCs w:val="20"/>
        </w:rPr>
        <w:t>F-23</w:t>
      </w:r>
    </w:p>
    <w:p w:rsidR="00000000" w:rsidRDefault="00F22B2C">
      <w:pPr>
        <w:pStyle w:val="a3"/>
        <w:spacing w:before="0" w:beforeAutospacing="0" w:after="300" w:afterAutospacing="0"/>
        <w:divId w:val="469709500"/>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469709500"/>
        <w:rPr>
          <w:sz w:val="20"/>
          <w:szCs w:val="20"/>
        </w:rPr>
      </w:pPr>
      <w:r>
        <w:rPr>
          <w:b/>
          <w:bCs/>
          <w:sz w:val="20"/>
          <w:szCs w:val="20"/>
        </w:rPr>
        <w:t>IOVANCE BIOTHERAPEUTICS, INC.</w:t>
      </w:r>
    </w:p>
    <w:p w:rsidR="00000000" w:rsidRDefault="00F22B2C">
      <w:pPr>
        <w:pStyle w:val="a3"/>
        <w:spacing w:before="0" w:beforeAutospacing="0" w:after="300" w:afterAutospacing="0"/>
        <w:jc w:val="center"/>
        <w:divId w:val="469709500"/>
        <w:rPr>
          <w:sz w:val="20"/>
          <w:szCs w:val="20"/>
        </w:rPr>
      </w:pPr>
      <w:r>
        <w:rPr>
          <w:b/>
          <w:bCs/>
          <w:sz w:val="20"/>
          <w:szCs w:val="20"/>
        </w:rPr>
        <w:t>NOTES TO CONSOLIDATED FINANCIAL STATEMENTS</w:t>
      </w:r>
    </w:p>
    <w:p w:rsidR="00000000" w:rsidRDefault="00F22B2C">
      <w:pPr>
        <w:pStyle w:val="a3"/>
        <w:spacing w:before="0" w:beforeAutospacing="0" w:after="200" w:afterAutospacing="0"/>
        <w:divId w:val="1450779532"/>
        <w:rPr>
          <w:sz w:val="20"/>
          <w:szCs w:val="20"/>
        </w:rPr>
      </w:pPr>
      <w:r>
        <w:rPr>
          <w:sz w:val="20"/>
          <w:szCs w:val="20"/>
        </w:rPr>
        <w:t>first anniver</w:t>
      </w:r>
      <w:r>
        <w:rPr>
          <w:sz w:val="20"/>
          <w:szCs w:val="20"/>
        </w:rPr>
        <w:t>sary of the grant date, and for others, 50% of the RSUs will vest on the first anniversary of the grant date with the remaining 50% vesting on December 31, 2022, assuming all time-based conditions are achieved</w:t>
      </w:r>
      <w:r>
        <w:rPr>
          <w:sz w:val="20"/>
          <w:szCs w:val="20"/>
        </w:rPr>
        <w:t>.</w:t>
      </w:r>
    </w:p>
    <w:p w:rsidR="00000000" w:rsidRDefault="00F22B2C">
      <w:pPr>
        <w:pStyle w:val="a3"/>
        <w:spacing w:before="0" w:beforeAutospacing="0" w:after="0" w:afterAutospacing="0"/>
        <w:ind w:firstLine="547"/>
        <w:divId w:val="1450779532"/>
        <w:rPr>
          <w:sz w:val="20"/>
          <w:szCs w:val="20"/>
        </w:rPr>
      </w:pPr>
      <w:r>
        <w:rPr>
          <w:sz w:val="20"/>
          <w:szCs w:val="20"/>
        </w:rPr>
        <w:t>A summary of the RSU activity during the year</w:t>
      </w:r>
      <w:r>
        <w:rPr>
          <w:sz w:val="20"/>
          <w:szCs w:val="20"/>
        </w:rPr>
        <w:t>s ended December 31, 2021 and 2020 is presented in the following table:</w:t>
      </w:r>
    </w:p>
    <w:p w:rsidR="00000000" w:rsidRDefault="00F22B2C">
      <w:pPr>
        <w:pStyle w:val="a3"/>
        <w:spacing w:before="0" w:beforeAutospacing="0" w:after="0" w:afterAutospacing="0"/>
        <w:divId w:val="145077953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41"/>
        <w:gridCol w:w="199"/>
        <w:gridCol w:w="1128"/>
        <w:gridCol w:w="269"/>
        <w:gridCol w:w="239"/>
        <w:gridCol w:w="1130"/>
      </w:tblGrid>
      <w:tr w:rsidR="00000000">
        <w:trPr>
          <w:divId w:val="1450779532"/>
          <w:trHeight w:val="20"/>
        </w:trPr>
        <w:tc>
          <w:tcPr>
            <w:tcW w:w="3215" w:type="pct"/>
            <w:tcMar>
              <w:top w:w="0" w:type="dxa"/>
              <w:left w:w="0" w:type="dxa"/>
              <w:bottom w:w="0" w:type="dxa"/>
              <w:right w:w="0" w:type="dxa"/>
            </w:tcMar>
            <w:vAlign w:val="bottom"/>
            <w:hideMark/>
          </w:tcPr>
          <w:p w:rsidR="00000000" w:rsidRDefault="00F22B2C">
            <w:pPr>
              <w:pStyle w:val="a3"/>
              <w:spacing w:before="0" w:beforeAutospacing="0" w:after="1" w:afterAutospacing="0"/>
              <w:divId w:val="1908761136"/>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528518980"/>
              <w:rPr>
                <w:sz w:val="20"/>
                <w:szCs w:val="20"/>
              </w:rPr>
            </w:pPr>
            <w:r>
              <w:rPr>
                <w:sz w:val="2"/>
                <w:szCs w:val="2"/>
              </w:rPr>
              <w:t>​</w:t>
            </w:r>
          </w:p>
        </w:tc>
        <w:tc>
          <w:tcPr>
            <w:tcW w:w="67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02934181"/>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759713162"/>
              <w:rPr>
                <w:sz w:val="20"/>
                <w:szCs w:val="20"/>
              </w:rPr>
            </w:pPr>
            <w:r>
              <w:rPr>
                <w:sz w:val="2"/>
                <w:szCs w:val="2"/>
              </w:rPr>
              <w:t>​</w:t>
            </w:r>
          </w:p>
        </w:tc>
        <w:tc>
          <w:tcPr>
            <w:tcW w:w="14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28607340"/>
              <w:rPr>
                <w:sz w:val="20"/>
                <w:szCs w:val="20"/>
              </w:rPr>
            </w:pPr>
            <w:r>
              <w:rPr>
                <w:sz w:val="2"/>
                <w:szCs w:val="2"/>
              </w:rPr>
              <w:t>​</w:t>
            </w:r>
          </w:p>
        </w:tc>
        <w:tc>
          <w:tcPr>
            <w:tcW w:w="67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31417232"/>
              <w:rPr>
                <w:sz w:val="20"/>
                <w:szCs w:val="20"/>
              </w:rPr>
            </w:pPr>
            <w:r>
              <w:rPr>
                <w:sz w:val="2"/>
                <w:szCs w:val="2"/>
              </w:rPr>
              <w:t>​</w:t>
            </w:r>
          </w:p>
        </w:tc>
      </w:tr>
      <w:tr w:rsidR="00000000">
        <w:trPr>
          <w:divId w:val="1450779532"/>
        </w:trPr>
        <w:tc>
          <w:tcPr>
            <w:tcW w:w="3215" w:type="pct"/>
            <w:shd w:val="clear" w:color="auto" w:fill="FFFF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18"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679"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16"/>
                <w:szCs w:val="16"/>
              </w:rPr>
              <w:t>​</w:t>
            </w:r>
          </w:p>
        </w:tc>
        <w:tc>
          <w:tcPr>
            <w:tcW w:w="162"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824" w:type="pct"/>
            <w:gridSpan w:val="2"/>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Weighted</w:t>
            </w:r>
          </w:p>
        </w:tc>
      </w:tr>
      <w:tr w:rsidR="00000000">
        <w:trPr>
          <w:divId w:val="1450779532"/>
        </w:trPr>
        <w:tc>
          <w:tcPr>
            <w:tcW w:w="3215" w:type="pct"/>
            <w:shd w:val="clear" w:color="auto" w:fill="FFFF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18"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679"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Number</w:t>
            </w:r>
          </w:p>
        </w:tc>
        <w:tc>
          <w:tcPr>
            <w:tcW w:w="162"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6"/>
                <w:szCs w:val="16"/>
              </w:rPr>
              <w:t>​</w:t>
            </w:r>
          </w:p>
        </w:tc>
        <w:tc>
          <w:tcPr>
            <w:tcW w:w="824" w:type="pct"/>
            <w:gridSpan w:val="2"/>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Average</w:t>
            </w:r>
          </w:p>
        </w:tc>
      </w:tr>
      <w:tr w:rsidR="00000000">
        <w:trPr>
          <w:divId w:val="1450779532"/>
        </w:trPr>
        <w:tc>
          <w:tcPr>
            <w:tcW w:w="3215" w:type="pct"/>
            <w:shd w:val="clear" w:color="auto" w:fill="FFFF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18"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679"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of</w:t>
            </w:r>
          </w:p>
        </w:tc>
        <w:tc>
          <w:tcPr>
            <w:tcW w:w="162"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16"/>
                <w:szCs w:val="16"/>
              </w:rPr>
              <w:t>​</w:t>
            </w:r>
          </w:p>
        </w:tc>
        <w:tc>
          <w:tcPr>
            <w:tcW w:w="824" w:type="pct"/>
            <w:gridSpan w:val="2"/>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Grant Date</w:t>
            </w:r>
          </w:p>
        </w:tc>
      </w:tr>
      <w:tr w:rsidR="00000000">
        <w:trPr>
          <w:divId w:val="1450779532"/>
        </w:trPr>
        <w:tc>
          <w:tcPr>
            <w:tcW w:w="3215"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118"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    </w:t>
            </w:r>
          </w:p>
        </w:tc>
        <w:tc>
          <w:tcPr>
            <w:tcW w:w="679" w:type="pct"/>
            <w:tcBorders>
              <w:bottom w:val="single" w:sz="6" w:space="0" w:color="000000"/>
            </w:tcBorders>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RSUs</w:t>
            </w:r>
          </w:p>
        </w:tc>
        <w:tc>
          <w:tcPr>
            <w:tcW w:w="162" w:type="pct"/>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rFonts w:ascii="Calibri" w:hAnsi="Calibri" w:cs="Calibri"/>
                <w:sz w:val="16"/>
                <w:szCs w:val="16"/>
              </w:rPr>
              <w:t>    </w:t>
            </w:r>
          </w:p>
        </w:tc>
        <w:tc>
          <w:tcPr>
            <w:tcW w:w="824" w:type="pct"/>
            <w:gridSpan w:val="2"/>
            <w:tcBorders>
              <w:bottom w:val="single" w:sz="6" w:space="0" w:color="000000"/>
            </w:tcBorders>
            <w:shd w:val="clear" w:color="auto" w:fill="FFFF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Fair Value</w:t>
            </w:r>
          </w:p>
        </w:tc>
      </w:tr>
      <w:tr w:rsidR="00000000">
        <w:trPr>
          <w:divId w:val="1450779532"/>
        </w:trPr>
        <w:tc>
          <w:tcPr>
            <w:tcW w:w="3215"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Outstanding, non-vested as of December 31, 2020</w:t>
            </w:r>
          </w:p>
        </w:tc>
        <w:tc>
          <w:tcPr>
            <w:tcW w:w="1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w:t>
            </w:r>
          </w:p>
        </w:tc>
        <w:tc>
          <w:tcPr>
            <w:tcW w:w="6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w:t>
            </w:r>
          </w:p>
        </w:tc>
        <w:tc>
          <w:tcPr>
            <w:tcW w:w="1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1450779532"/>
        </w:trPr>
        <w:tc>
          <w:tcPr>
            <w:tcW w:w="3215"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Granted</w:t>
            </w:r>
          </w:p>
        </w:tc>
        <w:tc>
          <w:tcPr>
            <w:tcW w:w="118"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w:t>
            </w:r>
          </w:p>
        </w:tc>
        <w:tc>
          <w:tcPr>
            <w:tcW w:w="67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1,253,540</w:t>
            </w:r>
          </w:p>
        </w:tc>
        <w:tc>
          <w:tcPr>
            <w:tcW w:w="162"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w:t>
            </w:r>
          </w:p>
        </w:tc>
        <w:tc>
          <w:tcPr>
            <w:tcW w:w="144"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79"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23.87</w:t>
            </w:r>
          </w:p>
        </w:tc>
      </w:tr>
      <w:tr w:rsidR="00000000">
        <w:trPr>
          <w:divId w:val="1450779532"/>
        </w:trPr>
        <w:tc>
          <w:tcPr>
            <w:tcW w:w="3215"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Vested</w:t>
            </w:r>
          </w:p>
        </w:tc>
        <w:tc>
          <w:tcPr>
            <w:tcW w:w="1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w:t>
            </w:r>
          </w:p>
        </w:tc>
        <w:tc>
          <w:tcPr>
            <w:tcW w:w="6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w:t>
            </w:r>
          </w:p>
        </w:tc>
        <w:tc>
          <w:tcPr>
            <w:tcW w:w="14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1450779532"/>
        </w:trPr>
        <w:tc>
          <w:tcPr>
            <w:tcW w:w="3215"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Canceled/Forfeited</w:t>
            </w:r>
          </w:p>
        </w:tc>
        <w:tc>
          <w:tcPr>
            <w:tcW w:w="118"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w:t>
            </w:r>
          </w:p>
        </w:tc>
        <w:tc>
          <w:tcPr>
            <w:tcW w:w="67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(143,530)</w:t>
            </w:r>
          </w:p>
        </w:tc>
        <w:tc>
          <w:tcPr>
            <w:tcW w:w="162"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w:t>
            </w:r>
          </w:p>
        </w:tc>
        <w:tc>
          <w:tcPr>
            <w:tcW w:w="14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7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23.87</w:t>
            </w:r>
          </w:p>
        </w:tc>
      </w:tr>
      <w:tr w:rsidR="00000000">
        <w:trPr>
          <w:divId w:val="1450779532"/>
        </w:trPr>
        <w:tc>
          <w:tcPr>
            <w:tcW w:w="3215"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Outstanding, non-vested as of December 31, 2021</w:t>
            </w:r>
          </w:p>
        </w:tc>
        <w:tc>
          <w:tcPr>
            <w:tcW w:w="11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w:t>
            </w:r>
          </w:p>
        </w:tc>
        <w:tc>
          <w:tcPr>
            <w:tcW w:w="6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1,110,010</w:t>
            </w:r>
          </w:p>
        </w:tc>
        <w:tc>
          <w:tcPr>
            <w:tcW w:w="1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rFonts w:ascii="Calibri" w:hAnsi="Calibri" w:cs="Calibri"/>
                <w:color w:val="FF0000"/>
                <w:sz w:val="22"/>
                <w:szCs w:val="22"/>
              </w:rPr>
              <w:t>​</w:t>
            </w:r>
          </w:p>
        </w:tc>
        <w:tc>
          <w:tcPr>
            <w:tcW w:w="1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23.87</w:t>
            </w:r>
          </w:p>
        </w:tc>
      </w:tr>
    </w:tbl>
    <w:p w:rsidR="00000000" w:rsidRDefault="00F22B2C">
      <w:pPr>
        <w:pStyle w:val="a3"/>
        <w:spacing w:before="0" w:beforeAutospacing="0" w:after="0" w:afterAutospacing="0"/>
        <w:ind w:firstLine="547"/>
        <w:divId w:val="1450779532"/>
        <w:rPr>
          <w:sz w:val="20"/>
          <w:szCs w:val="20"/>
        </w:rPr>
      </w:pPr>
      <w:r>
        <w:rPr>
          <w:sz w:val="20"/>
          <w:szCs w:val="20"/>
        </w:rPr>
        <w:t>​</w:t>
      </w:r>
    </w:p>
    <w:p w:rsidR="00000000" w:rsidRDefault="00F22B2C">
      <w:pPr>
        <w:pStyle w:val="a3"/>
        <w:spacing w:before="0" w:beforeAutospacing="0" w:after="0" w:afterAutospacing="0"/>
        <w:ind w:firstLine="547"/>
        <w:divId w:val="1450779532"/>
        <w:rPr>
          <w:sz w:val="20"/>
          <w:szCs w:val="20"/>
        </w:rPr>
      </w:pPr>
      <w:r>
        <w:rPr>
          <w:sz w:val="20"/>
          <w:szCs w:val="20"/>
        </w:rPr>
        <w:t>As of December 31, 2021, there was $14.2 million of unrecognized stock-based compensation expense associated with unvested RSUs, which the Company expects to recognize over a remaining weighted-average period of</w:t>
      </w:r>
      <w:r>
        <w:rPr>
          <w:sz w:val="20"/>
          <w:szCs w:val="20"/>
        </w:rPr>
        <w:t xml:space="preserve"> </w:t>
      </w:r>
      <w:r>
        <w:rPr>
          <w:sz w:val="20"/>
          <w:szCs w:val="20"/>
        </w:rPr>
        <w:t>0.6</w:t>
      </w:r>
      <w:r>
        <w:rPr>
          <w:sz w:val="20"/>
          <w:szCs w:val="20"/>
        </w:rPr>
        <w:t>2</w:t>
      </w:r>
      <w:r>
        <w:rPr>
          <w:sz w:val="20"/>
          <w:szCs w:val="20"/>
        </w:rPr>
        <w:t xml:space="preserve"> years. The aggregate intrinsic value of</w:t>
      </w:r>
      <w:r>
        <w:rPr>
          <w:sz w:val="20"/>
          <w:szCs w:val="20"/>
        </w:rPr>
        <w:t xml:space="preserve"> the unvested RSUs outstanding as of December 31, 2021 was $21.2 million</w:t>
      </w:r>
      <w:r>
        <w:rPr>
          <w:sz w:val="20"/>
          <w:szCs w:val="20"/>
        </w:rPr>
        <w:t>.</w:t>
      </w:r>
    </w:p>
    <w:p w:rsidR="00000000" w:rsidRDefault="00F22B2C">
      <w:pPr>
        <w:pStyle w:val="a3"/>
        <w:spacing w:before="0" w:beforeAutospacing="0" w:after="0" w:afterAutospacing="0"/>
        <w:ind w:firstLine="547"/>
        <w:divId w:val="1450779532"/>
        <w:rPr>
          <w:sz w:val="20"/>
          <w:szCs w:val="20"/>
        </w:rPr>
      </w:pPr>
      <w:r>
        <w:rPr>
          <w:b/>
          <w:bCs/>
          <w:sz w:val="20"/>
          <w:szCs w:val="20"/>
        </w:rPr>
        <w:t>​</w:t>
      </w:r>
    </w:p>
    <w:p w:rsidR="00000000" w:rsidRDefault="00F22B2C">
      <w:pPr>
        <w:pStyle w:val="a3"/>
        <w:spacing w:before="0" w:beforeAutospacing="0" w:after="200" w:afterAutospacing="0"/>
        <w:divId w:val="1450779532"/>
        <w:rPr>
          <w:b/>
          <w:bCs/>
          <w:i/>
          <w:iCs/>
          <w:sz w:val="20"/>
          <w:szCs w:val="20"/>
        </w:rPr>
      </w:pPr>
      <w:r>
        <w:rPr>
          <w:b/>
          <w:bCs/>
          <w:i/>
          <w:iCs/>
          <w:sz w:val="20"/>
          <w:szCs w:val="20"/>
        </w:rPr>
        <w:t>Stock-Based Compensation</w:t>
      </w:r>
    </w:p>
    <w:p w:rsidR="00000000" w:rsidRDefault="00F22B2C">
      <w:pPr>
        <w:pStyle w:val="a3"/>
        <w:spacing w:before="0" w:beforeAutospacing="0" w:after="0" w:afterAutospacing="0"/>
        <w:ind w:firstLine="547"/>
        <w:divId w:val="1450779532"/>
        <w:rPr>
          <w:sz w:val="20"/>
          <w:szCs w:val="20"/>
        </w:rPr>
      </w:pPr>
      <w:r>
        <w:rPr>
          <w:sz w:val="20"/>
          <w:szCs w:val="20"/>
        </w:rPr>
        <w:t>Total stock-based compensation expense related to all of the Company’s stock-based awards was recorded on the Consolidated Statements of Operations as foll</w:t>
      </w:r>
      <w:r>
        <w:rPr>
          <w:sz w:val="20"/>
          <w:szCs w:val="20"/>
        </w:rPr>
        <w:t>ows (in thousands):</w:t>
      </w:r>
    </w:p>
    <w:p w:rsidR="00000000" w:rsidRDefault="00F22B2C">
      <w:pPr>
        <w:pStyle w:val="a3"/>
        <w:spacing w:before="0" w:beforeAutospacing="0" w:after="0" w:afterAutospacing="0"/>
        <w:divId w:val="145077953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838"/>
        <w:gridCol w:w="194"/>
        <w:gridCol w:w="183"/>
        <w:gridCol w:w="809"/>
        <w:gridCol w:w="204"/>
        <w:gridCol w:w="128"/>
        <w:gridCol w:w="807"/>
        <w:gridCol w:w="204"/>
        <w:gridCol w:w="128"/>
        <w:gridCol w:w="811"/>
      </w:tblGrid>
      <w:tr w:rsidR="00000000">
        <w:trPr>
          <w:divId w:val="1450779532"/>
          <w:trHeight w:val="20"/>
        </w:trPr>
        <w:tc>
          <w:tcPr>
            <w:tcW w:w="2911" w:type="pct"/>
            <w:tcMar>
              <w:top w:w="0" w:type="dxa"/>
              <w:left w:w="0" w:type="dxa"/>
              <w:bottom w:w="0" w:type="dxa"/>
              <w:right w:w="0" w:type="dxa"/>
            </w:tcMar>
            <w:vAlign w:val="bottom"/>
            <w:hideMark/>
          </w:tcPr>
          <w:p w:rsidR="00000000" w:rsidRDefault="00F22B2C">
            <w:pPr>
              <w:pStyle w:val="a3"/>
              <w:spacing w:before="0" w:beforeAutospacing="0" w:after="1" w:afterAutospacing="0"/>
              <w:divId w:val="1747149192"/>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5018859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028867356"/>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2992807"/>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69183669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419640979"/>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27160723"/>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8288868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33411192"/>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10018093"/>
              <w:rPr>
                <w:sz w:val="20"/>
                <w:szCs w:val="20"/>
              </w:rPr>
            </w:pPr>
            <w:r>
              <w:rPr>
                <w:sz w:val="2"/>
                <w:szCs w:val="2"/>
              </w:rPr>
              <w:t>​</w:t>
            </w:r>
          </w:p>
        </w:tc>
      </w:tr>
      <w:tr w:rsidR="00000000">
        <w:trPr>
          <w:divId w:val="1450779532"/>
        </w:trPr>
        <w:tc>
          <w:tcPr>
            <w:tcW w:w="291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487"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4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77"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4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r>
      <w:tr w:rsidR="00000000">
        <w:trPr>
          <w:divId w:val="1450779532"/>
        </w:trPr>
        <w:tc>
          <w:tcPr>
            <w:tcW w:w="291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971" w:type="pct"/>
            <w:gridSpan w:val="8"/>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Years Ended December 31, </w:t>
            </w:r>
          </w:p>
        </w:tc>
      </w:tr>
      <w:tr w:rsidR="00000000">
        <w:trPr>
          <w:divId w:val="1450779532"/>
        </w:trPr>
        <w:tc>
          <w:tcPr>
            <w:tcW w:w="2911"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97"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2019</w:t>
            </w:r>
          </w:p>
        </w:tc>
      </w:tr>
      <w:tr w:rsidR="00000000">
        <w:trPr>
          <w:divId w:val="1450779532"/>
        </w:trPr>
        <w:tc>
          <w:tcPr>
            <w:tcW w:w="291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Research and development</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40,833</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19,727</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11,396</w:t>
            </w:r>
          </w:p>
        </w:tc>
      </w:tr>
      <w:tr w:rsidR="00000000">
        <w:trPr>
          <w:divId w:val="1450779532"/>
        </w:trPr>
        <w:tc>
          <w:tcPr>
            <w:tcW w:w="291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General and administrative</w:t>
            </w:r>
          </w:p>
        </w:tc>
        <w:tc>
          <w:tcPr>
            <w:tcW w:w="117"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10"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28,932</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21,160</w:t>
            </w:r>
          </w:p>
        </w:tc>
        <w:tc>
          <w:tcPr>
            <w:tcW w:w="123"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12,881</w:t>
            </w:r>
          </w:p>
        </w:tc>
      </w:tr>
      <w:tr w:rsidR="00000000">
        <w:trPr>
          <w:divId w:val="1450779532"/>
        </w:trPr>
        <w:tc>
          <w:tcPr>
            <w:tcW w:w="291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Total stock-based compensation expens</w:t>
            </w:r>
            <w:r>
              <w:rPr>
                <w:sz w:val="20"/>
                <w:szCs w:val="20"/>
              </w:rPr>
              <w:t>e</w:t>
            </w:r>
          </w:p>
        </w:tc>
        <w:tc>
          <w:tcPr>
            <w:tcW w:w="11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69,765</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40,887</w:t>
            </w:r>
          </w:p>
        </w:tc>
        <w:tc>
          <w:tcPr>
            <w:tcW w:w="12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24,277</w:t>
            </w:r>
          </w:p>
        </w:tc>
      </w:tr>
    </w:tbl>
    <w:p w:rsidR="00000000" w:rsidRDefault="00F22B2C">
      <w:pPr>
        <w:pStyle w:val="a3"/>
        <w:spacing w:before="0" w:beforeAutospacing="0" w:after="0" w:afterAutospacing="0"/>
        <w:divId w:val="1450779532"/>
        <w:rPr>
          <w:sz w:val="20"/>
          <w:szCs w:val="20"/>
        </w:rPr>
      </w:pPr>
      <w:r>
        <w:rPr>
          <w:sz w:val="20"/>
          <w:szCs w:val="20"/>
        </w:rPr>
        <w:t>​</w:t>
      </w:r>
    </w:p>
    <w:p w:rsidR="00000000" w:rsidRDefault="00F22B2C">
      <w:pPr>
        <w:pStyle w:val="a3"/>
        <w:spacing w:before="0" w:beforeAutospacing="0" w:after="0" w:afterAutospacing="0"/>
        <w:ind w:firstLine="547"/>
        <w:divId w:val="1450779532"/>
        <w:rPr>
          <w:sz w:val="20"/>
          <w:szCs w:val="20"/>
        </w:rPr>
      </w:pPr>
      <w:r>
        <w:rPr>
          <w:sz w:val="20"/>
          <w:szCs w:val="20"/>
        </w:rPr>
        <w:t>Total stock-based compensation expense by type of award was as follows (in thousands):</w:t>
      </w:r>
    </w:p>
    <w:p w:rsidR="00000000" w:rsidRDefault="00F22B2C">
      <w:pPr>
        <w:pStyle w:val="a3"/>
        <w:spacing w:before="0" w:beforeAutospacing="0" w:after="0" w:afterAutospacing="0"/>
        <w:ind w:firstLine="547"/>
        <w:divId w:val="145077953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26"/>
        <w:gridCol w:w="14"/>
        <w:gridCol w:w="131"/>
        <w:gridCol w:w="819"/>
        <w:gridCol w:w="208"/>
        <w:gridCol w:w="131"/>
        <w:gridCol w:w="819"/>
        <w:gridCol w:w="208"/>
        <w:gridCol w:w="131"/>
        <w:gridCol w:w="819"/>
      </w:tblGrid>
      <w:tr w:rsidR="00000000">
        <w:trPr>
          <w:divId w:val="1450779532"/>
          <w:trHeight w:val="20"/>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divId w:val="1755515249"/>
              <w:rPr>
                <w:sz w:val="20"/>
                <w:szCs w:val="20"/>
              </w:rPr>
            </w:pPr>
            <w:r>
              <w:rPr>
                <w:sz w:val="2"/>
                <w:szCs w:val="2"/>
              </w:rPr>
              <w:t>​</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59397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4299823"/>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27106323"/>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9217353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818112707"/>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540702951"/>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191601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34680408"/>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10754486"/>
              <w:rPr>
                <w:sz w:val="20"/>
                <w:szCs w:val="20"/>
              </w:rPr>
            </w:pPr>
            <w:r>
              <w:rPr>
                <w:sz w:val="2"/>
                <w:szCs w:val="2"/>
              </w:rPr>
              <w:t>​</w:t>
            </w:r>
          </w:p>
        </w:tc>
      </w:tr>
      <w:tr w:rsidR="00000000">
        <w:trPr>
          <w:divId w:val="1450779532"/>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rFonts w:ascii="Calibri" w:hAnsi="Calibri" w:cs="Calibri"/>
                <w:sz w:val="16"/>
                <w:szCs w:val="16"/>
              </w:rPr>
              <w:t>​</w:t>
            </w:r>
          </w:p>
        </w:tc>
      </w:tr>
      <w:tr w:rsidR="00000000">
        <w:trPr>
          <w:divId w:val="1450779532"/>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966" w:type="pct"/>
            <w:gridSpan w:val="8"/>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Years Ended December 31, </w:t>
            </w:r>
          </w:p>
        </w:tc>
      </w:tr>
      <w:tr w:rsidR="00000000">
        <w:trPr>
          <w:divId w:val="1450779532"/>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2019</w:t>
            </w:r>
          </w:p>
        </w:tc>
      </w:tr>
      <w:tr w:rsidR="00000000">
        <w:trPr>
          <w:divId w:val="1450779532"/>
        </w:trPr>
        <w:tc>
          <w:tcPr>
            <w:tcW w:w="302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Stock option expense</w:t>
            </w:r>
          </w:p>
        </w:tc>
        <w:tc>
          <w:tcPr>
            <w:tcW w:w="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56,305</w:t>
            </w:r>
          </w:p>
        </w:tc>
        <w:tc>
          <w:tcPr>
            <w:tcW w:w="1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40,714</w:t>
            </w:r>
          </w:p>
        </w:tc>
        <w:tc>
          <w:tcPr>
            <w:tcW w:w="1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23,964</w:t>
            </w:r>
          </w:p>
        </w:tc>
      </w:tr>
      <w:tr w:rsidR="00000000">
        <w:trPr>
          <w:divId w:val="1450779532"/>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Restricted stock unit expense</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12,247</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112</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313</w:t>
            </w:r>
          </w:p>
        </w:tc>
      </w:tr>
      <w:tr w:rsidR="00000000">
        <w:trPr>
          <w:divId w:val="1450779532"/>
        </w:trPr>
        <w:tc>
          <w:tcPr>
            <w:tcW w:w="302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ESPP expense</w:t>
            </w:r>
          </w:p>
        </w:tc>
        <w:tc>
          <w:tcPr>
            <w:tcW w:w="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1,213</w:t>
            </w:r>
          </w:p>
        </w:tc>
        <w:tc>
          <w:tcPr>
            <w:tcW w:w="1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61</w:t>
            </w:r>
          </w:p>
        </w:tc>
        <w:tc>
          <w:tcPr>
            <w:tcW w:w="12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1450779532"/>
        </w:trPr>
        <w:tc>
          <w:tcPr>
            <w:tcW w:w="3024"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Total stock-based compensation expens</w:t>
            </w:r>
            <w:r>
              <w:rPr>
                <w:sz w:val="20"/>
                <w:szCs w:val="20"/>
              </w:rPr>
              <w:t>e</w:t>
            </w:r>
          </w:p>
        </w:tc>
        <w:tc>
          <w:tcPr>
            <w:tcW w:w="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69,765</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40,887</w:t>
            </w:r>
          </w:p>
        </w:tc>
        <w:tc>
          <w:tcPr>
            <w:tcW w:w="12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24,277</w:t>
            </w:r>
          </w:p>
        </w:tc>
      </w:tr>
    </w:tbl>
    <w:p w:rsidR="00000000" w:rsidRDefault="00F22B2C">
      <w:pPr>
        <w:pStyle w:val="a3"/>
        <w:spacing w:before="0" w:beforeAutospacing="0" w:after="200" w:afterAutospacing="0"/>
        <w:divId w:val="1450779532"/>
        <w:rPr>
          <w:sz w:val="20"/>
          <w:szCs w:val="20"/>
        </w:rPr>
      </w:pPr>
      <w:r>
        <w:rPr>
          <w:sz w:val="2"/>
          <w:szCs w:val="2"/>
        </w:rPr>
        <w:t>​</w:t>
      </w:r>
    </w:p>
    <w:p w:rsidR="00000000" w:rsidRDefault="00F22B2C">
      <w:pPr>
        <w:pStyle w:val="a3"/>
        <w:spacing w:before="0" w:beforeAutospacing="0" w:after="200" w:afterAutospacing="0"/>
        <w:ind w:firstLine="547"/>
        <w:divId w:val="1450779532"/>
        <w:rPr>
          <w:sz w:val="20"/>
          <w:szCs w:val="20"/>
        </w:rPr>
      </w:pPr>
      <w:r>
        <w:rPr>
          <w:sz w:val="20"/>
          <w:szCs w:val="20"/>
        </w:rPr>
        <w:t>As of December 31, 2021, there was $93.6 million </w:t>
      </w:r>
      <w:r>
        <w:rPr>
          <w:sz w:val="20"/>
          <w:szCs w:val="20"/>
        </w:rPr>
        <w:t>of total unrecognized compensation expense related to unvested employee stock options, which the Company expects to recognize over a remaining weighted average period of</w:t>
      </w:r>
      <w:r>
        <w:rPr>
          <w:sz w:val="20"/>
          <w:szCs w:val="20"/>
        </w:rPr>
        <w:t> </w:t>
      </w:r>
      <w:r>
        <w:rPr>
          <w:sz w:val="20"/>
          <w:szCs w:val="20"/>
        </w:rPr>
        <w:t>1.8</w:t>
      </w:r>
      <w:r>
        <w:rPr>
          <w:sz w:val="20"/>
          <w:szCs w:val="20"/>
        </w:rPr>
        <w:t>4</w:t>
      </w:r>
      <w:r>
        <w:rPr>
          <w:sz w:val="20"/>
          <w:szCs w:val="20"/>
        </w:rPr>
        <w:t> years</w:t>
      </w:r>
      <w:r>
        <w:rPr>
          <w:sz w:val="20"/>
          <w:szCs w:val="20"/>
        </w:rPr>
        <w:t>.</w:t>
      </w:r>
    </w:p>
    <w:p w:rsidR="00000000" w:rsidRDefault="00F22B2C">
      <w:pPr>
        <w:pStyle w:val="a3"/>
        <w:spacing w:before="0" w:beforeAutospacing="0" w:after="200" w:afterAutospacing="0"/>
        <w:ind w:firstLine="547"/>
        <w:divId w:val="1450779532"/>
        <w:rPr>
          <w:sz w:val="20"/>
          <w:szCs w:val="20"/>
        </w:rPr>
      </w:pPr>
      <w:r>
        <w:rPr>
          <w:sz w:val="20"/>
          <w:szCs w:val="20"/>
        </w:rPr>
        <w:t>The weighted average grant date fair value for employee options granted un</w:t>
      </w:r>
      <w:r>
        <w:rPr>
          <w:sz w:val="20"/>
          <w:szCs w:val="20"/>
        </w:rPr>
        <w:t>der the Company's stock option plans during the years ended December 31, 2021, 2020, and 2019 was $22.28, $17.32, and $9.48 per option respectively.</w:t>
      </w:r>
    </w:p>
    <w:p w:rsidR="00000000" w:rsidRDefault="00F22B2C">
      <w:pPr>
        <w:pStyle w:val="a3"/>
        <w:spacing w:before="0" w:beforeAutospacing="0" w:after="200" w:afterAutospacing="0"/>
        <w:ind w:firstLine="547"/>
        <w:divId w:val="1450779532"/>
        <w:rPr>
          <w:sz w:val="20"/>
          <w:szCs w:val="20"/>
        </w:rPr>
      </w:pPr>
      <w:r>
        <w:rPr>
          <w:sz w:val="20"/>
          <w:szCs w:val="20"/>
        </w:rPr>
        <w:t>The aggregate intrinsic value in the table above reflects the total pre-tax intrinsic value (the difference</w:t>
      </w:r>
      <w:r>
        <w:rPr>
          <w:sz w:val="20"/>
          <w:szCs w:val="20"/>
        </w:rPr>
        <w:t xml:space="preserve"> between the Company’s closing stock price on the last trading day of the year ended December 31, 2021 and the exercise price of the options, multiplied by the number of in-the-money stock options) that would have been received by the option holders had al</w:t>
      </w:r>
      <w:r>
        <w:rPr>
          <w:sz w:val="20"/>
          <w:szCs w:val="20"/>
        </w:rPr>
        <w:t>l option holders exercised their options on December 31, 2021. The intrinsic value of the Company’s stock options changes based on the closing price of the Company’s common stock.</w:t>
      </w:r>
    </w:p>
    <w:p w:rsidR="00000000" w:rsidRDefault="00F22B2C">
      <w:pPr>
        <w:pStyle w:val="a3"/>
        <w:spacing w:before="480" w:beforeAutospacing="0" w:after="0" w:afterAutospacing="0"/>
        <w:jc w:val="center"/>
        <w:divId w:val="1322734883"/>
        <w:rPr>
          <w:sz w:val="20"/>
          <w:szCs w:val="20"/>
        </w:rPr>
      </w:pPr>
      <w:r>
        <w:rPr>
          <w:sz w:val="20"/>
          <w:szCs w:val="20"/>
        </w:rPr>
        <w:t>F-24</w:t>
      </w:r>
    </w:p>
    <w:p w:rsidR="00000000" w:rsidRDefault="00F22B2C">
      <w:pPr>
        <w:pStyle w:val="a3"/>
        <w:spacing w:before="0" w:beforeAutospacing="0" w:after="300" w:afterAutospacing="0"/>
        <w:divId w:val="493885017"/>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493885017"/>
        <w:rPr>
          <w:sz w:val="20"/>
          <w:szCs w:val="20"/>
        </w:rPr>
      </w:pPr>
      <w:r>
        <w:rPr>
          <w:b/>
          <w:bCs/>
          <w:sz w:val="20"/>
          <w:szCs w:val="20"/>
        </w:rPr>
        <w:t>IOVANCE BIOTHERAPEUTICS, INC.</w:t>
      </w:r>
    </w:p>
    <w:p w:rsidR="00000000" w:rsidRDefault="00F22B2C">
      <w:pPr>
        <w:pStyle w:val="a3"/>
        <w:spacing w:before="0" w:beforeAutospacing="0" w:after="300" w:afterAutospacing="0"/>
        <w:jc w:val="center"/>
        <w:divId w:val="493885017"/>
        <w:rPr>
          <w:sz w:val="20"/>
          <w:szCs w:val="20"/>
        </w:rPr>
      </w:pPr>
      <w:r>
        <w:rPr>
          <w:b/>
          <w:bCs/>
          <w:sz w:val="20"/>
          <w:szCs w:val="20"/>
        </w:rPr>
        <w:t>NOTES TO CONSOLIDATED FINANCIAL STATEMENTS</w:t>
      </w:r>
    </w:p>
    <w:p w:rsidR="00000000" w:rsidRDefault="00F22B2C">
      <w:pPr>
        <w:pStyle w:val="a3"/>
        <w:spacing w:before="0" w:beforeAutospacing="0" w:after="200" w:afterAutospacing="0"/>
        <w:ind w:firstLine="547"/>
        <w:divId w:val="1638416139"/>
        <w:rPr>
          <w:sz w:val="20"/>
          <w:szCs w:val="20"/>
        </w:rPr>
      </w:pPr>
      <w:r>
        <w:rPr>
          <w:sz w:val="20"/>
          <w:szCs w:val="20"/>
        </w:rPr>
        <w:t>The aggregate intrinsic value of stock options exercised during the year ended December 31, 2021, 2020, and 2019 were $21.3 million, $21.4 million, and $5.3 million, respectively.</w:t>
      </w:r>
    </w:p>
    <w:p w:rsidR="00000000" w:rsidRDefault="00F22B2C">
      <w:pPr>
        <w:pStyle w:val="a3"/>
        <w:spacing w:before="0" w:beforeAutospacing="0" w:after="0" w:afterAutospacing="0"/>
        <w:ind w:firstLine="547"/>
        <w:divId w:val="1638416139"/>
        <w:rPr>
          <w:sz w:val="20"/>
          <w:szCs w:val="20"/>
        </w:rPr>
      </w:pPr>
      <w:r>
        <w:rPr>
          <w:sz w:val="20"/>
          <w:szCs w:val="20"/>
        </w:rPr>
        <w:t>The</w:t>
      </w:r>
      <w:r>
        <w:rPr>
          <w:sz w:val="20"/>
          <w:szCs w:val="20"/>
        </w:rPr>
        <w:t xml:space="preserve"> following table summarizes the assumptions relating to options granted pursuant to the Company’s equity incentive plans for the years ended December 31, 2021, 2020, and 2019:</w:t>
      </w:r>
    </w:p>
    <w:p w:rsidR="00000000" w:rsidRDefault="00F22B2C">
      <w:pPr>
        <w:pStyle w:val="a3"/>
        <w:spacing w:before="0" w:beforeAutospacing="0" w:after="0" w:afterAutospacing="0"/>
        <w:ind w:firstLine="547"/>
        <w:divId w:val="1638416139"/>
        <w:rPr>
          <w:sz w:val="20"/>
          <w:szCs w:val="20"/>
        </w:rPr>
      </w:pPr>
      <w:r>
        <w:rPr>
          <w:sz w:val="20"/>
          <w:szCs w:val="20"/>
        </w:rPr>
        <w:t>​</w:t>
      </w:r>
    </w:p>
    <w:tbl>
      <w:tblPr>
        <w:tblW w:w="4293" w:type="pct"/>
        <w:tblCellMar>
          <w:top w:w="15" w:type="dxa"/>
          <w:left w:w="0" w:type="dxa"/>
          <w:bottom w:w="15" w:type="dxa"/>
          <w:right w:w="0" w:type="dxa"/>
        </w:tblCellMar>
        <w:tblLook w:val="04A0" w:firstRow="1" w:lastRow="0" w:firstColumn="1" w:lastColumn="0" w:noHBand="0" w:noVBand="1"/>
      </w:tblPr>
      <w:tblGrid>
        <w:gridCol w:w="934"/>
        <w:gridCol w:w="160"/>
        <w:gridCol w:w="1400"/>
        <w:gridCol w:w="160"/>
        <w:gridCol w:w="1400"/>
        <w:gridCol w:w="160"/>
        <w:gridCol w:w="1400"/>
        <w:gridCol w:w="160"/>
        <w:gridCol w:w="1400"/>
        <w:gridCol w:w="617"/>
      </w:tblGrid>
      <w:tr w:rsidR="00000000">
        <w:trPr>
          <w:divId w:val="1638416139"/>
          <w:trHeight w:val="20"/>
        </w:trPr>
        <w:tc>
          <w:tcPr>
            <w:tcW w:w="1167" w:type="pct"/>
            <w:tcMar>
              <w:top w:w="0" w:type="dxa"/>
              <w:left w:w="0" w:type="dxa"/>
              <w:bottom w:w="0" w:type="dxa"/>
              <w:right w:w="0" w:type="dxa"/>
            </w:tcMar>
            <w:vAlign w:val="bottom"/>
            <w:hideMark/>
          </w:tcPr>
          <w:p w:rsidR="00000000" w:rsidRDefault="00F22B2C">
            <w:pPr>
              <w:pStyle w:val="a3"/>
              <w:spacing w:before="0" w:beforeAutospacing="0" w:after="1" w:afterAutospacing="0"/>
              <w:divId w:val="161351341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0801486"/>
              <w:rPr>
                <w:sz w:val="20"/>
                <w:szCs w:val="20"/>
              </w:rPr>
            </w:pPr>
            <w:r>
              <w:rPr>
                <w:sz w:val="2"/>
                <w:szCs w:val="2"/>
              </w:rPr>
              <w:t>​</w:t>
            </w:r>
          </w:p>
        </w:tc>
        <w:tc>
          <w:tcPr>
            <w:tcW w:w="80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8658945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594048549"/>
              <w:rPr>
                <w:sz w:val="20"/>
                <w:szCs w:val="20"/>
              </w:rPr>
            </w:pPr>
            <w:r>
              <w:rPr>
                <w:sz w:val="2"/>
                <w:szCs w:val="2"/>
              </w:rPr>
              <w:t>​</w:t>
            </w:r>
          </w:p>
        </w:tc>
        <w:tc>
          <w:tcPr>
            <w:tcW w:w="80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11918240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22723377"/>
              <w:rPr>
                <w:sz w:val="20"/>
                <w:szCs w:val="20"/>
              </w:rPr>
            </w:pPr>
            <w:r>
              <w:rPr>
                <w:sz w:val="2"/>
                <w:szCs w:val="2"/>
              </w:rPr>
              <w:t>​</w:t>
            </w:r>
          </w:p>
        </w:tc>
        <w:tc>
          <w:tcPr>
            <w:tcW w:w="78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5647736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05002028"/>
              <w:rPr>
                <w:sz w:val="20"/>
                <w:szCs w:val="20"/>
              </w:rPr>
            </w:pPr>
            <w:r>
              <w:rPr>
                <w:sz w:val="2"/>
                <w:szCs w:val="2"/>
              </w:rPr>
              <w:t>​</w:t>
            </w:r>
          </w:p>
        </w:tc>
        <w:tc>
          <w:tcPr>
            <w:tcW w:w="754"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414398875"/>
              <w:rPr>
                <w:sz w:val="20"/>
                <w:szCs w:val="20"/>
              </w:rPr>
            </w:pPr>
            <w:r>
              <w:rPr>
                <w:sz w:val="2"/>
                <w:szCs w:val="2"/>
              </w:rPr>
              <w:t>​</w:t>
            </w:r>
          </w:p>
        </w:tc>
        <w:tc>
          <w:tcPr>
            <w:tcW w:w="333"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07060965"/>
              <w:rPr>
                <w:sz w:val="20"/>
                <w:szCs w:val="20"/>
              </w:rPr>
            </w:pPr>
            <w:r>
              <w:rPr>
                <w:sz w:val="2"/>
                <w:szCs w:val="2"/>
              </w:rPr>
              <w:t>​</w:t>
            </w:r>
          </w:p>
        </w:tc>
      </w:tr>
      <w:tr w:rsidR="00000000">
        <w:trPr>
          <w:divId w:val="1638416139"/>
        </w:trPr>
        <w:tc>
          <w:tcPr>
            <w:tcW w:w="1167"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2571"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Stock Option</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088"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ESPP</w:t>
            </w:r>
          </w:p>
        </w:tc>
      </w:tr>
      <w:tr w:rsidR="00000000">
        <w:trPr>
          <w:divId w:val="1638416139"/>
        </w:trPr>
        <w:tc>
          <w:tcPr>
            <w:tcW w:w="1167"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2571" w:type="pct"/>
            <w:gridSpan w:val="5"/>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Years Ended December 31, </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088"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Years Ended December 31, </w:t>
            </w:r>
          </w:p>
        </w:tc>
      </w:tr>
      <w:tr w:rsidR="00000000">
        <w:trPr>
          <w:divId w:val="1638416139"/>
        </w:trPr>
        <w:tc>
          <w:tcPr>
            <w:tcW w:w="1167"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Assumptions:</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80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80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7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2019</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754"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333"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r>
      <w:tr w:rsidR="00000000">
        <w:trPr>
          <w:divId w:val="1638416139"/>
        </w:trPr>
        <w:tc>
          <w:tcPr>
            <w:tcW w:w="1167"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Expected term (years)</w:t>
            </w:r>
          </w:p>
        </w:tc>
        <w:tc>
          <w:tcPr>
            <w:tcW w:w="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0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4.94 - 5.28</w:t>
            </w:r>
          </w:p>
        </w:tc>
        <w:tc>
          <w:tcPr>
            <w:tcW w:w="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 </w:t>
            </w:r>
          </w:p>
        </w:tc>
        <w:tc>
          <w:tcPr>
            <w:tcW w:w="80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5.18 - 6.19</w:t>
            </w:r>
          </w:p>
        </w:tc>
        <w:tc>
          <w:tcPr>
            <w:tcW w:w="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 </w:t>
            </w:r>
          </w:p>
        </w:tc>
        <w:tc>
          <w:tcPr>
            <w:tcW w:w="7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6.14 - 6.06</w:t>
            </w:r>
          </w:p>
        </w:tc>
        <w:tc>
          <w:tcPr>
            <w:tcW w:w="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w:t>
            </w:r>
          </w:p>
        </w:tc>
        <w:tc>
          <w:tcPr>
            <w:tcW w:w="75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0.50</w:t>
            </w:r>
          </w:p>
        </w:tc>
        <w:tc>
          <w:tcPr>
            <w:tcW w:w="33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0.50</w:t>
            </w:r>
          </w:p>
        </w:tc>
      </w:tr>
      <w:tr w:rsidR="00000000">
        <w:trPr>
          <w:divId w:val="1638416139"/>
        </w:trPr>
        <w:tc>
          <w:tcPr>
            <w:tcW w:w="1167"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Expected volatility</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80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70.35</w:t>
            </w:r>
            <w:r>
              <w:rPr>
                <w:sz w:val="20"/>
                <w:szCs w:val="20"/>
              </w:rPr>
              <w:t>%</w:t>
            </w:r>
            <w:r>
              <w:rPr>
                <w:sz w:val="20"/>
                <w:szCs w:val="20"/>
              </w:rPr>
              <w:t xml:space="preserve"> -</w:t>
            </w:r>
            <w:r>
              <w:rPr>
                <w:sz w:val="20"/>
                <w:szCs w:val="20"/>
              </w:rPr>
              <w:t xml:space="preserve"> </w:t>
            </w:r>
            <w:r>
              <w:rPr>
                <w:sz w:val="20"/>
                <w:szCs w:val="20"/>
              </w:rPr>
              <w:t xml:space="preserve">73.88% </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 </w:t>
            </w:r>
          </w:p>
        </w:tc>
        <w:tc>
          <w:tcPr>
            <w:tcW w:w="80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69.99</w:t>
            </w:r>
            <w:r>
              <w:rPr>
                <w:sz w:val="20"/>
                <w:szCs w:val="20"/>
              </w:rPr>
              <w:t>%</w:t>
            </w:r>
            <w:r>
              <w:rPr>
                <w:sz w:val="20"/>
                <w:szCs w:val="20"/>
              </w:rPr>
              <w:t xml:space="preserve"> -</w:t>
            </w:r>
            <w:r>
              <w:rPr>
                <w:sz w:val="20"/>
                <w:szCs w:val="20"/>
              </w:rPr>
              <w:t xml:space="preserve"> </w:t>
            </w:r>
            <w:r>
              <w:rPr>
                <w:sz w:val="20"/>
                <w:szCs w:val="20"/>
              </w:rPr>
              <w:t xml:space="preserve">70.99% </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 </w:t>
            </w:r>
          </w:p>
        </w:tc>
        <w:tc>
          <w:tcPr>
            <w:tcW w:w="781"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71.62</w:t>
            </w:r>
            <w:r>
              <w:rPr>
                <w:sz w:val="20"/>
                <w:szCs w:val="20"/>
              </w:rPr>
              <w:t>%</w:t>
            </w:r>
            <w:r>
              <w:rPr>
                <w:sz w:val="20"/>
                <w:szCs w:val="20"/>
              </w:rPr>
              <w:t xml:space="preserve"> -</w:t>
            </w:r>
            <w:r>
              <w:rPr>
                <w:sz w:val="20"/>
                <w:szCs w:val="20"/>
              </w:rPr>
              <w:t xml:space="preserve"> </w:t>
            </w:r>
            <w:r>
              <w:rPr>
                <w:sz w:val="20"/>
                <w:szCs w:val="20"/>
              </w:rPr>
              <w:t xml:space="preserve">70.63% </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w:t>
            </w:r>
          </w:p>
        </w:tc>
        <w:tc>
          <w:tcPr>
            <w:tcW w:w="754"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52.04% - 94.56%</w:t>
            </w:r>
          </w:p>
        </w:tc>
        <w:tc>
          <w:tcPr>
            <w:tcW w:w="33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54.90%</w:t>
            </w:r>
          </w:p>
        </w:tc>
      </w:tr>
      <w:tr w:rsidR="00000000">
        <w:trPr>
          <w:divId w:val="1638416139"/>
        </w:trPr>
        <w:tc>
          <w:tcPr>
            <w:tcW w:w="1167"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Risk-free interest rate</w:t>
            </w:r>
          </w:p>
        </w:tc>
        <w:tc>
          <w:tcPr>
            <w:tcW w:w="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80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 xml:space="preserve">0.36% - 0.97% </w:t>
            </w:r>
          </w:p>
        </w:tc>
        <w:tc>
          <w:tcPr>
            <w:tcW w:w="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80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 xml:space="preserve">0.28% - 1.83% </w:t>
            </w:r>
          </w:p>
        </w:tc>
        <w:tc>
          <w:tcPr>
            <w:tcW w:w="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7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 xml:space="preserve">2.59% - 1.62% </w:t>
            </w:r>
          </w:p>
        </w:tc>
        <w:tc>
          <w:tcPr>
            <w:tcW w:w="8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75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0.06% - 0.13%</w:t>
            </w:r>
          </w:p>
        </w:tc>
        <w:tc>
          <w:tcPr>
            <w:tcW w:w="333"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0.09%</w:t>
            </w:r>
          </w:p>
        </w:tc>
      </w:tr>
      <w:tr w:rsidR="00000000">
        <w:trPr>
          <w:divId w:val="1638416139"/>
        </w:trPr>
        <w:tc>
          <w:tcPr>
            <w:tcW w:w="1167"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Expected dividend yield</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80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0%</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808"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0%</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781"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0%</w:t>
            </w:r>
          </w:p>
        </w:tc>
        <w:tc>
          <w:tcPr>
            <w:tcW w:w="8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rFonts w:ascii="Calibri" w:hAnsi="Calibri" w:cs="Calibri"/>
                <w:sz w:val="22"/>
                <w:szCs w:val="22"/>
              </w:rPr>
              <w:t>​</w:t>
            </w:r>
          </w:p>
        </w:tc>
        <w:tc>
          <w:tcPr>
            <w:tcW w:w="754"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0%</w:t>
            </w:r>
          </w:p>
        </w:tc>
        <w:tc>
          <w:tcPr>
            <w:tcW w:w="333"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sz w:val="20"/>
                <w:szCs w:val="20"/>
              </w:rPr>
              <w:t>0%</w:t>
            </w:r>
          </w:p>
        </w:tc>
      </w:tr>
    </w:tbl>
    <w:p w:rsidR="00000000" w:rsidRDefault="00F22B2C">
      <w:pPr>
        <w:pStyle w:val="a3"/>
        <w:spacing w:before="0" w:beforeAutospacing="0" w:after="200" w:afterAutospacing="0"/>
        <w:ind w:firstLine="547"/>
        <w:divId w:val="16384161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286"/>
        <w:gridCol w:w="7480"/>
      </w:tblGrid>
      <w:tr w:rsidR="00000000">
        <w:trPr>
          <w:divId w:val="1638416139"/>
        </w:trPr>
        <w:tc>
          <w:tcPr>
            <w:tcW w:w="540" w:type="dxa"/>
            <w:vAlign w:val="center"/>
            <w:hideMark/>
          </w:tcPr>
          <w:p w:rsidR="00000000" w:rsidRDefault="00F22B2C">
            <w:pPr>
              <w:rPr>
                <w:sz w:val="20"/>
                <w:szCs w:val="20"/>
              </w:rPr>
            </w:pPr>
          </w:p>
        </w:tc>
        <w:tc>
          <w:tcPr>
            <w:tcW w:w="27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i/>
                <w:iCs/>
                <w:sz w:val="20"/>
                <w:szCs w:val="20"/>
              </w:rPr>
              <w:t>Expected Term (Years)</w:t>
            </w:r>
            <w:r>
              <w:rPr>
                <w:rFonts w:eastAsia="Times New Roman"/>
                <w:sz w:val="20"/>
                <w:szCs w:val="20"/>
              </w:rPr>
              <w:t>—</w:t>
            </w:r>
            <w:r>
              <w:rPr>
                <w:rFonts w:eastAsia="Times New Roman"/>
                <w:sz w:val="20"/>
                <w:szCs w:val="20"/>
              </w:rPr>
              <w:t>The expected term of the stock option grants was calculated based on historical exercises, cancellations, and forfeitures of stock options and outstanding option shares</w:t>
            </w:r>
          </w:p>
        </w:tc>
      </w:tr>
    </w:tbl>
    <w:p w:rsidR="00000000" w:rsidRDefault="00F22B2C">
      <w:pPr>
        <w:divId w:val="163841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286"/>
        <w:gridCol w:w="7480"/>
      </w:tblGrid>
      <w:tr w:rsidR="00000000">
        <w:trPr>
          <w:divId w:val="1638416139"/>
        </w:trPr>
        <w:tc>
          <w:tcPr>
            <w:tcW w:w="540" w:type="dxa"/>
            <w:vAlign w:val="center"/>
            <w:hideMark/>
          </w:tcPr>
          <w:p w:rsidR="00000000" w:rsidRDefault="00F22B2C">
            <w:pPr>
              <w:rPr>
                <w:rFonts w:eastAsia="Times New Roman"/>
              </w:rPr>
            </w:pPr>
          </w:p>
        </w:tc>
        <w:tc>
          <w:tcPr>
            <w:tcW w:w="27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i/>
                <w:iCs/>
                <w:sz w:val="20"/>
                <w:szCs w:val="20"/>
              </w:rPr>
              <w:t>Expected Volatility</w:t>
            </w:r>
            <w:r>
              <w:rPr>
                <w:rFonts w:eastAsia="Times New Roman"/>
                <w:sz w:val="20"/>
                <w:szCs w:val="20"/>
              </w:rPr>
              <w:t xml:space="preserve"> —</w:t>
            </w:r>
            <w:r>
              <w:rPr>
                <w:rFonts w:eastAsia="Times New Roman"/>
                <w:sz w:val="20"/>
                <w:szCs w:val="20"/>
              </w:rPr>
              <w:t>The expected volatility is based on the historical volatility for the Company's stock over a period equal to the expected terms of the options.</w:t>
            </w:r>
          </w:p>
        </w:tc>
      </w:tr>
    </w:tbl>
    <w:p w:rsidR="00000000" w:rsidRDefault="00F22B2C">
      <w:pPr>
        <w:divId w:val="163841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286"/>
        <w:gridCol w:w="7480"/>
      </w:tblGrid>
      <w:tr w:rsidR="00000000">
        <w:trPr>
          <w:divId w:val="1638416139"/>
        </w:trPr>
        <w:tc>
          <w:tcPr>
            <w:tcW w:w="540" w:type="dxa"/>
            <w:vAlign w:val="center"/>
            <w:hideMark/>
          </w:tcPr>
          <w:p w:rsidR="00000000" w:rsidRDefault="00F22B2C">
            <w:pPr>
              <w:rPr>
                <w:rFonts w:eastAsia="Times New Roman"/>
              </w:rPr>
            </w:pPr>
          </w:p>
        </w:tc>
        <w:tc>
          <w:tcPr>
            <w:tcW w:w="27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i/>
                <w:iCs/>
                <w:sz w:val="20"/>
                <w:szCs w:val="20"/>
              </w:rPr>
              <w:t>Risk-Free Interest Rate</w:t>
            </w:r>
            <w:r>
              <w:rPr>
                <w:rFonts w:eastAsia="Times New Roman"/>
                <w:sz w:val="20"/>
                <w:szCs w:val="20"/>
              </w:rPr>
              <w:t xml:space="preserve"> —The risk-free interest rate was based on the market yield currently available on U</w:t>
            </w:r>
            <w:r>
              <w:rPr>
                <w:rFonts w:eastAsia="Times New Roman"/>
                <w:sz w:val="20"/>
                <w:szCs w:val="20"/>
              </w:rPr>
              <w:t>nited States Treasury securities with maturities approximately equal to the option’s expected term.</w:t>
            </w:r>
          </w:p>
        </w:tc>
      </w:tr>
    </w:tbl>
    <w:p w:rsidR="00000000" w:rsidRDefault="00F22B2C">
      <w:pPr>
        <w:divId w:val="163841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286"/>
        <w:gridCol w:w="7480"/>
      </w:tblGrid>
      <w:tr w:rsidR="00000000">
        <w:trPr>
          <w:divId w:val="1638416139"/>
        </w:trPr>
        <w:tc>
          <w:tcPr>
            <w:tcW w:w="540" w:type="dxa"/>
            <w:vAlign w:val="center"/>
            <w:hideMark/>
          </w:tcPr>
          <w:p w:rsidR="00000000" w:rsidRDefault="00F22B2C">
            <w:pPr>
              <w:rPr>
                <w:rFonts w:eastAsia="Times New Roman"/>
              </w:rPr>
            </w:pPr>
          </w:p>
        </w:tc>
        <w:tc>
          <w:tcPr>
            <w:tcW w:w="270" w:type="dxa"/>
            <w:noWrap/>
            <w:tcMar>
              <w:top w:w="0" w:type="dxa"/>
              <w:left w:w="0" w:type="dxa"/>
              <w:bottom w:w="0" w:type="dxa"/>
              <w:right w:w="0" w:type="dxa"/>
            </w:tcMar>
            <w:hideMark/>
          </w:tcPr>
          <w:p w:rsidR="00000000" w:rsidRDefault="00F22B2C">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spacing w:after="200"/>
              <w:rPr>
                <w:rFonts w:eastAsia="Times New Roman"/>
                <w:sz w:val="20"/>
                <w:szCs w:val="20"/>
              </w:rPr>
            </w:pPr>
            <w:r>
              <w:rPr>
                <w:rFonts w:eastAsia="Times New Roman"/>
                <w:i/>
                <w:iCs/>
                <w:sz w:val="20"/>
                <w:szCs w:val="20"/>
              </w:rPr>
              <w:t>Expected Dividend Yield</w:t>
            </w:r>
            <w:r>
              <w:rPr>
                <w:rFonts w:eastAsia="Times New Roman"/>
                <w:sz w:val="20"/>
                <w:szCs w:val="20"/>
              </w:rPr>
              <w:t xml:space="preserve"> —The Company has never paid dividends and does not expect to pay dividends in the foreseeable future.</w:t>
            </w:r>
          </w:p>
        </w:tc>
      </w:tr>
    </w:tbl>
    <w:p w:rsidR="00000000" w:rsidRDefault="00F22B2C">
      <w:pPr>
        <w:divId w:val="16384161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286"/>
        <w:gridCol w:w="7480"/>
      </w:tblGrid>
      <w:tr w:rsidR="00000000">
        <w:trPr>
          <w:divId w:val="1638416139"/>
        </w:trPr>
        <w:tc>
          <w:tcPr>
            <w:tcW w:w="540" w:type="dxa"/>
            <w:vAlign w:val="center"/>
            <w:hideMark/>
          </w:tcPr>
          <w:p w:rsidR="00000000" w:rsidRDefault="00F22B2C">
            <w:pPr>
              <w:rPr>
                <w:rFonts w:eastAsia="Times New Roman"/>
              </w:rPr>
            </w:pPr>
          </w:p>
        </w:tc>
        <w:tc>
          <w:tcPr>
            <w:tcW w:w="270" w:type="dxa"/>
            <w:noWrap/>
            <w:tcMar>
              <w:top w:w="0" w:type="dxa"/>
              <w:left w:w="0" w:type="dxa"/>
              <w:bottom w:w="0" w:type="dxa"/>
              <w:right w:w="0" w:type="dxa"/>
            </w:tcMar>
            <w:hideMark/>
          </w:tcPr>
          <w:p w:rsidR="00000000" w:rsidRDefault="00F22B2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22B2C">
            <w:pPr>
              <w:rPr>
                <w:rFonts w:eastAsia="Times New Roman"/>
                <w:sz w:val="20"/>
                <w:szCs w:val="20"/>
              </w:rPr>
            </w:pPr>
            <w:r>
              <w:rPr>
                <w:rFonts w:eastAsia="Times New Roman"/>
                <w:i/>
                <w:iCs/>
                <w:sz w:val="20"/>
                <w:szCs w:val="20"/>
              </w:rPr>
              <w:t>Forfeiture Rate</w:t>
            </w:r>
            <w:r>
              <w:rPr>
                <w:rFonts w:eastAsia="Times New Roman"/>
                <w:sz w:val="20"/>
                <w:szCs w:val="20"/>
              </w:rPr>
              <w:t xml:space="preserve"> —The</w:t>
            </w:r>
            <w:r>
              <w:rPr>
                <w:rFonts w:eastAsia="Times New Roman"/>
                <w:sz w:val="20"/>
                <w:szCs w:val="20"/>
              </w:rPr>
              <w:t xml:space="preserve"> Company recognizes forfeitures as they occur.</w:t>
            </w:r>
          </w:p>
        </w:tc>
      </w:tr>
    </w:tbl>
    <w:p w:rsidR="00000000" w:rsidRDefault="00F22B2C">
      <w:pPr>
        <w:pStyle w:val="a3"/>
        <w:spacing w:before="0" w:beforeAutospacing="0" w:after="0" w:afterAutospacing="0"/>
        <w:ind w:firstLine="547"/>
        <w:divId w:val="1638416139"/>
        <w:rPr>
          <w:sz w:val="20"/>
          <w:szCs w:val="20"/>
        </w:rPr>
      </w:pPr>
      <w:r>
        <w:rPr>
          <w:sz w:val="20"/>
          <w:szCs w:val="20"/>
        </w:rPr>
        <w:t>Each of the inputs discussed above is subjective and generally requires significant management judgment.</w:t>
      </w:r>
    </w:p>
    <w:p w:rsidR="00000000" w:rsidRDefault="00F22B2C">
      <w:pPr>
        <w:pStyle w:val="a3"/>
        <w:spacing w:before="0" w:beforeAutospacing="0" w:after="0" w:afterAutospacing="0"/>
        <w:ind w:firstLine="547"/>
        <w:divId w:val="1638416139"/>
        <w:rPr>
          <w:sz w:val="20"/>
          <w:szCs w:val="20"/>
        </w:rPr>
      </w:pPr>
      <w:r>
        <w:rPr>
          <w:sz w:val="20"/>
          <w:szCs w:val="20"/>
        </w:rPr>
        <w:t>​</w:t>
      </w:r>
    </w:p>
    <w:p w:rsidR="00000000" w:rsidRDefault="00F22B2C">
      <w:pPr>
        <w:pStyle w:val="a3"/>
        <w:spacing w:before="0" w:beforeAutospacing="0" w:after="0" w:afterAutospacing="0"/>
        <w:ind w:firstLine="360"/>
        <w:divId w:val="1638416139"/>
        <w:rPr>
          <w:sz w:val="20"/>
          <w:szCs w:val="20"/>
        </w:rPr>
      </w:pPr>
      <w:r>
        <w:rPr>
          <w:sz w:val="2"/>
          <w:szCs w:val="2"/>
        </w:rPr>
        <w:t>​</w:t>
      </w:r>
    </w:p>
    <w:p w:rsidR="00000000" w:rsidRDefault="00F22B2C">
      <w:pPr>
        <w:pStyle w:val="a3"/>
        <w:spacing w:before="0" w:beforeAutospacing="0" w:after="0" w:afterAutospacing="0"/>
        <w:ind w:firstLine="360"/>
        <w:divId w:val="1638416139"/>
        <w:rPr>
          <w:sz w:val="20"/>
          <w:szCs w:val="20"/>
        </w:rPr>
      </w:pPr>
      <w:r>
        <w:rPr>
          <w:sz w:val="20"/>
          <w:szCs w:val="20"/>
        </w:rPr>
        <w:t>​</w:t>
      </w:r>
    </w:p>
    <w:p w:rsidR="00000000" w:rsidRDefault="00F22B2C">
      <w:pPr>
        <w:pStyle w:val="a3"/>
        <w:spacing w:before="0" w:beforeAutospacing="0" w:after="200" w:afterAutospacing="0"/>
        <w:divId w:val="1638416139"/>
        <w:rPr>
          <w:b/>
          <w:bCs/>
          <w:sz w:val="20"/>
          <w:szCs w:val="20"/>
        </w:rPr>
      </w:pPr>
      <w:r>
        <w:rPr>
          <w:b/>
          <w:bCs/>
          <w:sz w:val="20"/>
          <w:szCs w:val="20"/>
        </w:rPr>
        <w:t>NOTE 7. EMPLOYEE BENEFIT PLAN</w:t>
      </w:r>
    </w:p>
    <w:p w:rsidR="00000000" w:rsidRDefault="00F22B2C">
      <w:pPr>
        <w:pStyle w:val="a3"/>
        <w:spacing w:before="0" w:beforeAutospacing="0" w:after="0" w:afterAutospacing="0"/>
        <w:ind w:firstLine="547"/>
        <w:divId w:val="1638416139"/>
        <w:rPr>
          <w:sz w:val="20"/>
          <w:szCs w:val="20"/>
        </w:rPr>
      </w:pPr>
      <w:r>
        <w:rPr>
          <w:sz w:val="20"/>
          <w:szCs w:val="20"/>
        </w:rPr>
        <w:t>The Company maintains a defined contribution plan covering substantially all U.S. employees under Section 401(k) of the Internal Revenue Code of 1986, as amended (the “IRC”). The Company's matching contribution to the defined contribution plan was $2.2 mil</w:t>
      </w:r>
      <w:r>
        <w:rPr>
          <w:sz w:val="20"/>
          <w:szCs w:val="20"/>
        </w:rPr>
        <w:t>lion, $1.2 million, and $0.9 million for the years ended December 31, 2021, 2020, and 2019, respectively.</w:t>
      </w:r>
    </w:p>
    <w:p w:rsidR="00000000" w:rsidRDefault="00F22B2C">
      <w:pPr>
        <w:pStyle w:val="a3"/>
        <w:spacing w:before="0" w:beforeAutospacing="0" w:after="0" w:afterAutospacing="0"/>
        <w:ind w:firstLine="360"/>
        <w:divId w:val="1638416139"/>
        <w:rPr>
          <w:sz w:val="20"/>
          <w:szCs w:val="20"/>
        </w:rPr>
      </w:pPr>
      <w:r>
        <w:rPr>
          <w:sz w:val="20"/>
          <w:szCs w:val="20"/>
        </w:rPr>
        <w:t>​</w:t>
      </w:r>
    </w:p>
    <w:p w:rsidR="00000000" w:rsidRDefault="00F22B2C">
      <w:pPr>
        <w:pStyle w:val="a3"/>
        <w:spacing w:before="480" w:beforeAutospacing="0" w:after="0" w:afterAutospacing="0"/>
        <w:jc w:val="center"/>
        <w:divId w:val="602035123"/>
        <w:rPr>
          <w:sz w:val="20"/>
          <w:szCs w:val="20"/>
        </w:rPr>
      </w:pPr>
      <w:r>
        <w:rPr>
          <w:sz w:val="20"/>
          <w:szCs w:val="20"/>
        </w:rPr>
        <w:t>F-25</w:t>
      </w:r>
    </w:p>
    <w:p w:rsidR="00000000" w:rsidRDefault="00F22B2C">
      <w:pPr>
        <w:pStyle w:val="a3"/>
        <w:spacing w:before="0" w:beforeAutospacing="0" w:after="300" w:afterAutospacing="0"/>
        <w:divId w:val="1690794589"/>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690794589"/>
        <w:rPr>
          <w:sz w:val="20"/>
          <w:szCs w:val="20"/>
        </w:rPr>
      </w:pPr>
      <w:r>
        <w:rPr>
          <w:b/>
          <w:bCs/>
          <w:sz w:val="20"/>
          <w:szCs w:val="20"/>
        </w:rPr>
        <w:t>IOVANCE BIOTHERAPEUTICS, INC.</w:t>
      </w:r>
    </w:p>
    <w:p w:rsidR="00000000" w:rsidRDefault="00F22B2C">
      <w:pPr>
        <w:pStyle w:val="a3"/>
        <w:spacing w:before="0" w:beforeAutospacing="0" w:after="300" w:afterAutospacing="0"/>
        <w:jc w:val="center"/>
        <w:divId w:val="1690794589"/>
        <w:rPr>
          <w:sz w:val="20"/>
          <w:szCs w:val="20"/>
        </w:rPr>
      </w:pPr>
      <w:r>
        <w:rPr>
          <w:b/>
          <w:bCs/>
          <w:sz w:val="20"/>
          <w:szCs w:val="20"/>
        </w:rPr>
        <w:t>NOTES TO CONSOLIDATED FINANCIAL STATEMENTS</w:t>
      </w:r>
    </w:p>
    <w:p w:rsidR="00000000" w:rsidRDefault="00F22B2C">
      <w:pPr>
        <w:pStyle w:val="a3"/>
        <w:spacing w:before="0" w:beforeAutospacing="0" w:after="200" w:afterAutospacing="0"/>
        <w:divId w:val="203951778"/>
        <w:rPr>
          <w:b/>
          <w:bCs/>
          <w:sz w:val="20"/>
          <w:szCs w:val="20"/>
        </w:rPr>
      </w:pPr>
      <w:r>
        <w:rPr>
          <w:b/>
          <w:bCs/>
          <w:sz w:val="20"/>
          <w:szCs w:val="20"/>
        </w:rPr>
        <w:t>NOTE 8. INCOME TAXES</w:t>
      </w:r>
    </w:p>
    <w:p w:rsidR="00000000" w:rsidRDefault="00F22B2C">
      <w:pPr>
        <w:pStyle w:val="a3"/>
        <w:spacing w:before="0" w:beforeAutospacing="0" w:after="200" w:afterAutospacing="0"/>
        <w:ind w:firstLine="547"/>
        <w:divId w:val="203951778"/>
        <w:rPr>
          <w:sz w:val="20"/>
          <w:szCs w:val="20"/>
        </w:rPr>
      </w:pPr>
      <w:r>
        <w:rPr>
          <w:sz w:val="20"/>
          <w:szCs w:val="20"/>
        </w:rPr>
        <w:t>The C</w:t>
      </w:r>
      <w:r>
        <w:rPr>
          <w:sz w:val="20"/>
          <w:szCs w:val="20"/>
        </w:rPr>
        <w:t xml:space="preserve">ompany did not record a provision or benefit for income taxes for the years ended December 31, 2021, 2020 or 2019. </w:t>
      </w:r>
    </w:p>
    <w:p w:rsidR="00000000" w:rsidRDefault="00F22B2C">
      <w:pPr>
        <w:pStyle w:val="a3"/>
        <w:spacing w:before="0" w:beforeAutospacing="0" w:after="200" w:afterAutospacing="0"/>
        <w:ind w:firstLine="547"/>
        <w:divId w:val="203951778"/>
        <w:rPr>
          <w:sz w:val="20"/>
          <w:szCs w:val="20"/>
        </w:rPr>
      </w:pPr>
      <w:r>
        <w:rPr>
          <w:sz w:val="20"/>
          <w:szCs w:val="20"/>
        </w:rPr>
        <w:t>The significant components of the Company’s net deferred tax assets and liabilities are summarized as follows (in thousands):</w:t>
      </w:r>
    </w:p>
    <w:p w:rsidR="00000000" w:rsidRDefault="00F22B2C">
      <w:pPr>
        <w:pStyle w:val="a3"/>
        <w:spacing w:before="0" w:beforeAutospacing="0" w:after="0" w:afterAutospacing="0"/>
        <w:divId w:val="20395177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71"/>
        <w:gridCol w:w="280"/>
        <w:gridCol w:w="176"/>
        <w:gridCol w:w="1111"/>
        <w:gridCol w:w="279"/>
        <w:gridCol w:w="176"/>
        <w:gridCol w:w="1113"/>
      </w:tblGrid>
      <w:tr w:rsidR="00000000">
        <w:trPr>
          <w:divId w:val="203951778"/>
          <w:trHeight w:val="20"/>
        </w:trPr>
        <w:tc>
          <w:tcPr>
            <w:tcW w:w="3111" w:type="pct"/>
            <w:tcMar>
              <w:top w:w="0" w:type="dxa"/>
              <w:left w:w="0" w:type="dxa"/>
              <w:bottom w:w="0" w:type="dxa"/>
              <w:right w:w="0" w:type="dxa"/>
            </w:tcMar>
            <w:vAlign w:val="bottom"/>
            <w:hideMark/>
          </w:tcPr>
          <w:p w:rsidR="00000000" w:rsidRDefault="00F22B2C">
            <w:pPr>
              <w:pStyle w:val="a3"/>
              <w:spacing w:before="0" w:beforeAutospacing="0" w:after="1" w:afterAutospacing="0"/>
              <w:divId w:val="1931306497"/>
              <w:rPr>
                <w:sz w:val="20"/>
                <w:szCs w:val="20"/>
              </w:rPr>
            </w:pPr>
            <w:r>
              <w:rPr>
                <w:sz w:val="2"/>
                <w:szCs w:val="2"/>
              </w:rPr>
              <w:t>​</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34960036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770544586"/>
              <w:rPr>
                <w:sz w:val="20"/>
                <w:szCs w:val="20"/>
              </w:rPr>
            </w:pPr>
            <w:r>
              <w:rPr>
                <w:sz w:val="2"/>
                <w:szCs w:val="2"/>
              </w:rPr>
              <w:t>​</w:t>
            </w:r>
          </w:p>
        </w:tc>
        <w:tc>
          <w:tcPr>
            <w:tcW w:w="6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05382562"/>
              <w:rPr>
                <w:sz w:val="20"/>
                <w:szCs w:val="20"/>
              </w:rPr>
            </w:pPr>
            <w:r>
              <w:rPr>
                <w:sz w:val="2"/>
                <w:szCs w:val="2"/>
              </w:rPr>
              <w:t>​</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4707658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79186274"/>
              <w:rPr>
                <w:sz w:val="20"/>
                <w:szCs w:val="20"/>
              </w:rPr>
            </w:pPr>
            <w:r>
              <w:rPr>
                <w:sz w:val="2"/>
                <w:szCs w:val="2"/>
              </w:rPr>
              <w:t>​</w:t>
            </w:r>
          </w:p>
        </w:tc>
        <w:tc>
          <w:tcPr>
            <w:tcW w:w="66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56494832"/>
              <w:rPr>
                <w:sz w:val="20"/>
                <w:szCs w:val="20"/>
              </w:rPr>
            </w:pPr>
            <w:r>
              <w:rPr>
                <w:sz w:val="2"/>
                <w:szCs w:val="2"/>
              </w:rPr>
              <w:t>​</w:t>
            </w:r>
          </w:p>
        </w:tc>
      </w:tr>
      <w:tr w:rsidR="00000000">
        <w:trPr>
          <w:divId w:val="203951778"/>
        </w:trPr>
        <w:tc>
          <w:tcPr>
            <w:tcW w:w="311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719"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As of December 31, </w:t>
            </w:r>
          </w:p>
        </w:tc>
      </w:tr>
      <w:tr w:rsidR="00000000">
        <w:trPr>
          <w:divId w:val="203951778"/>
        </w:trPr>
        <w:tc>
          <w:tcPr>
            <w:tcW w:w="3111"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775"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775"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r>
      <w:tr w:rsidR="00000000">
        <w:trPr>
          <w:divId w:val="203951778"/>
        </w:trPr>
        <w:tc>
          <w:tcPr>
            <w:tcW w:w="311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Deferred income tax assets:</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  </w:t>
            </w:r>
          </w:p>
        </w:tc>
      </w:tr>
      <w:tr w:rsidR="00000000">
        <w:trPr>
          <w:divId w:val="203951778"/>
        </w:trPr>
        <w:tc>
          <w:tcPr>
            <w:tcW w:w="3111"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Net operating loss carryforwards</w:t>
            </w:r>
            <w:r>
              <w:rPr>
                <w:sz w:val="20"/>
                <w:szCs w:val="20"/>
              </w:rPr>
              <w:t xml:space="preserve"> </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203,298</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144,087</w:t>
            </w:r>
          </w:p>
        </w:tc>
      </w:tr>
      <w:tr w:rsidR="00000000">
        <w:trPr>
          <w:divId w:val="203951778"/>
        </w:trPr>
        <w:tc>
          <w:tcPr>
            <w:tcW w:w="311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Stock-based compensation</w:t>
            </w:r>
            <w:r>
              <w:rPr>
                <w:sz w:val="20"/>
                <w:szCs w:val="20"/>
              </w:rPr>
              <w:t xml:space="preserve"> </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18,319</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11,364</w:t>
            </w:r>
          </w:p>
        </w:tc>
      </w:tr>
      <w:tr w:rsidR="00000000">
        <w:trPr>
          <w:divId w:val="203951778"/>
        </w:trPr>
        <w:tc>
          <w:tcPr>
            <w:tcW w:w="3111"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Tax credit carryforward</w:t>
            </w:r>
            <w:r>
              <w:rPr>
                <w:sz w:val="20"/>
                <w:szCs w:val="20"/>
              </w:rPr>
              <w:t>s</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40,851</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32,508</w:t>
            </w:r>
          </w:p>
        </w:tc>
      </w:tr>
      <w:tr w:rsidR="00000000">
        <w:trPr>
          <w:divId w:val="203951778"/>
        </w:trPr>
        <w:tc>
          <w:tcPr>
            <w:tcW w:w="311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Lease liabilitie</w:t>
            </w:r>
            <w:r>
              <w:rPr>
                <w:sz w:val="20"/>
                <w:szCs w:val="20"/>
              </w:rPr>
              <w:t>s</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14,970</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11,051</w:t>
            </w:r>
          </w:p>
        </w:tc>
      </w:tr>
      <w:tr w:rsidR="00000000">
        <w:trPr>
          <w:divId w:val="203951778"/>
        </w:trPr>
        <w:tc>
          <w:tcPr>
            <w:tcW w:w="3111"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Depreciation and amortizatio</w:t>
            </w:r>
            <w:r>
              <w:rPr>
                <w:sz w:val="20"/>
                <w:szCs w:val="20"/>
              </w:rPr>
              <w:t>n</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228</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250</w:t>
            </w:r>
          </w:p>
        </w:tc>
      </w:tr>
      <w:tr w:rsidR="00000000">
        <w:trPr>
          <w:divId w:val="203951778"/>
        </w:trPr>
        <w:tc>
          <w:tcPr>
            <w:tcW w:w="311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Reserves and accrual</w:t>
            </w:r>
            <w:r>
              <w:rPr>
                <w:sz w:val="20"/>
                <w:szCs w:val="20"/>
              </w:rPr>
              <w:t>s</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4,445</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1,866</w:t>
            </w:r>
          </w:p>
        </w:tc>
      </w:tr>
      <w:tr w:rsidR="00000000">
        <w:trPr>
          <w:divId w:val="203951778"/>
        </w:trPr>
        <w:tc>
          <w:tcPr>
            <w:tcW w:w="3111"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xml:space="preserve">Deferred tax assets before valuation allowance </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282,111</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201,126</w:t>
            </w:r>
          </w:p>
        </w:tc>
      </w:tr>
      <w:tr w:rsidR="00000000">
        <w:trPr>
          <w:divId w:val="203951778"/>
        </w:trPr>
        <w:tc>
          <w:tcPr>
            <w:tcW w:w="311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Less: valuation allowanc</w:t>
            </w:r>
            <w:r>
              <w:rPr>
                <w:sz w:val="20"/>
                <w:szCs w:val="20"/>
              </w:rPr>
              <w:t>e</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(267,469)</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(189,412)</w:t>
            </w:r>
          </w:p>
        </w:tc>
      </w:tr>
      <w:tr w:rsidR="00000000">
        <w:trPr>
          <w:divId w:val="203951778"/>
        </w:trPr>
        <w:tc>
          <w:tcPr>
            <w:tcW w:w="3111"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Net deferred income tax asset</w:t>
            </w:r>
            <w:r>
              <w:rPr>
                <w:sz w:val="20"/>
                <w:szCs w:val="20"/>
              </w:rPr>
              <w:t>s</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14,642</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11,714</w:t>
            </w:r>
          </w:p>
        </w:tc>
      </w:tr>
      <w:tr w:rsidR="00000000">
        <w:trPr>
          <w:divId w:val="203951778"/>
        </w:trPr>
        <w:tc>
          <w:tcPr>
            <w:tcW w:w="311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Deferred tax liabilities:</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w:t>
            </w:r>
          </w:p>
        </w:tc>
      </w:tr>
      <w:tr w:rsidR="00000000">
        <w:trPr>
          <w:divId w:val="203951778"/>
        </w:trPr>
        <w:tc>
          <w:tcPr>
            <w:tcW w:w="3111"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Depreciation and amortization</w:t>
            </w:r>
            <w:r>
              <w:rPr>
                <w:sz w:val="20"/>
                <w:szCs w:val="20"/>
              </w:rPr>
              <w:t xml:space="preserve"> </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(14,642)</w:t>
            </w:r>
          </w:p>
        </w:tc>
        <w:tc>
          <w:tcPr>
            <w:tcW w:w="168"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(11,714)</w:t>
            </w:r>
          </w:p>
        </w:tc>
      </w:tr>
      <w:tr w:rsidR="00000000">
        <w:trPr>
          <w:divId w:val="203951778"/>
        </w:trPr>
        <w:tc>
          <w:tcPr>
            <w:tcW w:w="3111"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xml:space="preserve">Net deferred tax assets (liabilities) </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6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bl>
    <w:p w:rsidR="00000000" w:rsidRDefault="00F22B2C">
      <w:pPr>
        <w:pStyle w:val="a3"/>
        <w:spacing w:before="0" w:beforeAutospacing="0" w:after="0" w:afterAutospacing="0"/>
        <w:divId w:val="203951778"/>
        <w:rPr>
          <w:sz w:val="20"/>
          <w:szCs w:val="20"/>
        </w:rPr>
      </w:pPr>
      <w:r>
        <w:rPr>
          <w:sz w:val="20"/>
          <w:szCs w:val="20"/>
        </w:rPr>
        <w:t>​</w:t>
      </w:r>
    </w:p>
    <w:p w:rsidR="00000000" w:rsidRDefault="00F22B2C">
      <w:pPr>
        <w:pStyle w:val="a3"/>
        <w:spacing w:before="0" w:beforeAutospacing="0" w:after="0" w:afterAutospacing="0"/>
        <w:ind w:firstLine="547"/>
        <w:divId w:val="203951778"/>
        <w:rPr>
          <w:sz w:val="20"/>
          <w:szCs w:val="20"/>
        </w:rPr>
      </w:pPr>
      <w:r>
        <w:rPr>
          <w:sz w:val="20"/>
          <w:szCs w:val="20"/>
        </w:rPr>
        <w:t>The reconciliation of the effective income tax rate to the U.S. statutory rate is as follows:</w:t>
      </w:r>
    </w:p>
    <w:p w:rsidR="00000000" w:rsidRDefault="00F22B2C">
      <w:pPr>
        <w:pStyle w:val="a3"/>
        <w:spacing w:before="0" w:beforeAutospacing="0" w:after="0" w:afterAutospacing="0"/>
        <w:ind w:firstLine="547"/>
        <w:divId w:val="20395177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18"/>
        <w:gridCol w:w="291"/>
        <w:gridCol w:w="1143"/>
        <w:gridCol w:w="291"/>
        <w:gridCol w:w="1143"/>
        <w:gridCol w:w="291"/>
        <w:gridCol w:w="1146"/>
        <w:gridCol w:w="183"/>
      </w:tblGrid>
      <w:tr w:rsidR="00000000">
        <w:trPr>
          <w:divId w:val="203951778"/>
          <w:trHeight w:val="20"/>
        </w:trPr>
        <w:tc>
          <w:tcPr>
            <w:tcW w:w="2298" w:type="pct"/>
            <w:tcMar>
              <w:top w:w="0" w:type="dxa"/>
              <w:left w:w="0" w:type="dxa"/>
              <w:bottom w:w="0" w:type="dxa"/>
              <w:right w:w="0" w:type="dxa"/>
            </w:tcMar>
            <w:vAlign w:val="bottom"/>
            <w:hideMark/>
          </w:tcPr>
          <w:p w:rsidR="00000000" w:rsidRDefault="00F22B2C">
            <w:pPr>
              <w:pStyle w:val="a3"/>
              <w:spacing w:before="0" w:beforeAutospacing="0" w:after="1" w:afterAutospacing="0"/>
              <w:divId w:val="604272580"/>
              <w:rPr>
                <w:sz w:val="20"/>
                <w:szCs w:val="20"/>
              </w:rPr>
            </w:pPr>
            <w:r>
              <w:rPr>
                <w:sz w:val="2"/>
                <w:szCs w:val="2"/>
              </w:rPr>
              <w:t>​</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972176716"/>
              <w:rPr>
                <w:sz w:val="20"/>
                <w:szCs w:val="20"/>
              </w:rPr>
            </w:pPr>
            <w:r>
              <w:rPr>
                <w:sz w:val="2"/>
                <w:szCs w:val="2"/>
              </w:rPr>
              <w:t>​</w:t>
            </w:r>
          </w:p>
        </w:tc>
        <w:tc>
          <w:tcPr>
            <w:tcW w:w="68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090998323"/>
              <w:rPr>
                <w:sz w:val="20"/>
                <w:szCs w:val="20"/>
              </w:rPr>
            </w:pPr>
            <w:r>
              <w:rPr>
                <w:sz w:val="2"/>
                <w:szCs w:val="2"/>
              </w:rPr>
              <w:t>​</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04810042"/>
              <w:rPr>
                <w:sz w:val="20"/>
                <w:szCs w:val="20"/>
              </w:rPr>
            </w:pPr>
            <w:r>
              <w:rPr>
                <w:sz w:val="2"/>
                <w:szCs w:val="2"/>
              </w:rPr>
              <w:t>​</w:t>
            </w:r>
          </w:p>
        </w:tc>
        <w:tc>
          <w:tcPr>
            <w:tcW w:w="68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27497770"/>
              <w:rPr>
                <w:sz w:val="20"/>
                <w:szCs w:val="20"/>
              </w:rPr>
            </w:pPr>
            <w:r>
              <w:rPr>
                <w:sz w:val="2"/>
                <w:szCs w:val="2"/>
              </w:rPr>
              <w:t>​</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75812941"/>
              <w:rPr>
                <w:sz w:val="20"/>
                <w:szCs w:val="20"/>
              </w:rPr>
            </w:pPr>
            <w:r>
              <w:rPr>
                <w:sz w:val="2"/>
                <w:szCs w:val="2"/>
              </w:rPr>
              <w:t>​</w:t>
            </w:r>
          </w:p>
        </w:tc>
        <w:tc>
          <w:tcPr>
            <w:tcW w:w="688"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88899785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32884455"/>
              <w:rPr>
                <w:sz w:val="20"/>
                <w:szCs w:val="20"/>
              </w:rPr>
            </w:pPr>
            <w:r>
              <w:rPr>
                <w:sz w:val="2"/>
                <w:szCs w:val="2"/>
              </w:rPr>
              <w:t>​</w:t>
            </w:r>
          </w:p>
        </w:tc>
      </w:tr>
      <w:tr w:rsidR="00000000">
        <w:trPr>
          <w:divId w:val="203951778"/>
        </w:trPr>
        <w:tc>
          <w:tcPr>
            <w:tcW w:w="2298"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2416" w:type="pct"/>
            <w:gridSpan w:val="5"/>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Years ended December 31, </w:t>
            </w:r>
          </w:p>
        </w:tc>
        <w:tc>
          <w:tcPr>
            <w:tcW w:w="11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r>
      <w:tr w:rsidR="00000000">
        <w:trPr>
          <w:divId w:val="203951778"/>
        </w:trPr>
        <w:tc>
          <w:tcPr>
            <w:tcW w:w="2298"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2019</w:t>
            </w:r>
          </w:p>
        </w:tc>
        <w:tc>
          <w:tcPr>
            <w:tcW w:w="11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 </w:t>
            </w:r>
          </w:p>
        </w:tc>
      </w:tr>
      <w:tr w:rsidR="00000000">
        <w:trPr>
          <w:divId w:val="203951778"/>
        </w:trPr>
        <w:tc>
          <w:tcPr>
            <w:tcW w:w="2298"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Federal statutory tax rate</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21</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21</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21</w:t>
            </w:r>
          </w:p>
        </w:tc>
        <w:tc>
          <w:tcPr>
            <w:tcW w:w="11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203951778"/>
        </w:trPr>
        <w:tc>
          <w:tcPr>
            <w:tcW w:w="2298"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Orphan drug and research credits</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w:t>
            </w:r>
          </w:p>
        </w:tc>
        <w:tc>
          <w:tcPr>
            <w:tcW w:w="11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203951778"/>
        </w:trPr>
        <w:tc>
          <w:tcPr>
            <w:tcW w:w="2298"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Permanent and other differences</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w:t>
            </w:r>
          </w:p>
        </w:tc>
        <w:tc>
          <w:tcPr>
            <w:tcW w:w="11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203951778"/>
        </w:trPr>
        <w:tc>
          <w:tcPr>
            <w:tcW w:w="2298"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State tax, net of federal benefit</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w:t>
            </w:r>
          </w:p>
        </w:tc>
        <w:tc>
          <w:tcPr>
            <w:tcW w:w="11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203951778"/>
        </w:trPr>
        <w:tc>
          <w:tcPr>
            <w:tcW w:w="2298"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23</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26</w:t>
            </w:r>
          </w:p>
        </w:tc>
        <w:tc>
          <w:tcPr>
            <w:tcW w:w="11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203951778"/>
        </w:trPr>
        <w:tc>
          <w:tcPr>
            <w:tcW w:w="2298"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Valuation allowance</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(23)</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(23)</w:t>
            </w:r>
          </w:p>
        </w:tc>
        <w:tc>
          <w:tcPr>
            <w:tcW w:w="175"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(26)</w:t>
            </w:r>
          </w:p>
        </w:tc>
        <w:tc>
          <w:tcPr>
            <w:tcW w:w="11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r w:rsidR="00000000">
        <w:trPr>
          <w:divId w:val="203951778"/>
        </w:trPr>
        <w:tc>
          <w:tcPr>
            <w:tcW w:w="2298"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Effective tax rate</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75"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r>
    </w:tbl>
    <w:p w:rsidR="00000000" w:rsidRDefault="00F22B2C">
      <w:pPr>
        <w:pStyle w:val="a3"/>
        <w:spacing w:before="0" w:beforeAutospacing="0" w:after="0" w:afterAutospacing="0"/>
        <w:divId w:val="203951778"/>
        <w:rPr>
          <w:sz w:val="20"/>
          <w:szCs w:val="20"/>
        </w:rPr>
      </w:pPr>
      <w:r>
        <w:rPr>
          <w:sz w:val="20"/>
          <w:szCs w:val="20"/>
        </w:rPr>
        <w:t>​</w:t>
      </w:r>
    </w:p>
    <w:p w:rsidR="00000000" w:rsidRDefault="00F22B2C">
      <w:pPr>
        <w:pStyle w:val="a3"/>
        <w:spacing w:before="0" w:beforeAutospacing="0" w:after="200" w:afterAutospacing="0"/>
        <w:ind w:firstLine="547"/>
        <w:divId w:val="203951778"/>
        <w:rPr>
          <w:sz w:val="20"/>
          <w:szCs w:val="20"/>
        </w:rPr>
      </w:pPr>
      <w:r>
        <w:rPr>
          <w:sz w:val="20"/>
          <w:szCs w:val="20"/>
        </w:rPr>
        <w:t>The Company had net operating loss carryforwards (“NOLs”) for federal and state income tax purposes of approximately $945.3 million and $149.6 million, respectively, as of December 31, 2021. $142.4 million of federal NOLs will expire beginning in 2027, whi</w:t>
      </w:r>
      <w:r>
        <w:rPr>
          <w:sz w:val="20"/>
          <w:szCs w:val="20"/>
        </w:rPr>
        <w:t>le $803.0 million generated after the recently enacted tax reform will have an indefinite life under the Tax Cuts and Jobs Act of 2017 (the “Tax Act”). The state NOLs will expire if unused in years 2030 through 2041.</w:t>
      </w:r>
    </w:p>
    <w:p w:rsidR="00000000" w:rsidRDefault="00F22B2C">
      <w:pPr>
        <w:pStyle w:val="a3"/>
        <w:spacing w:before="0" w:beforeAutospacing="0" w:after="200" w:afterAutospacing="0"/>
        <w:ind w:firstLine="547"/>
        <w:divId w:val="203951778"/>
        <w:rPr>
          <w:sz w:val="20"/>
          <w:szCs w:val="20"/>
        </w:rPr>
      </w:pPr>
      <w:r>
        <w:rPr>
          <w:sz w:val="20"/>
          <w:szCs w:val="20"/>
        </w:rPr>
        <w:t>The Company’s utilization of NOLs is su</w:t>
      </w:r>
      <w:r>
        <w:rPr>
          <w:sz w:val="20"/>
          <w:szCs w:val="20"/>
        </w:rPr>
        <w:t>bject to an annual limitation due to ownership changes that have occurred previously or that could occur in the future as provided in Section 382 of the Internal Revenue Code (“Section 382”), as well as similar state provisions. Section 382 limits the util</w:t>
      </w:r>
      <w:r>
        <w:rPr>
          <w:sz w:val="20"/>
          <w:szCs w:val="20"/>
        </w:rPr>
        <w:t>ization of NOLs when there is a greater than 50% change of ownership as determined under the regulations. Since its formation, the Company has raised capital through the issuance of capital stock and various convertible instruments which, combined with the</w:t>
      </w:r>
      <w:r>
        <w:rPr>
          <w:sz w:val="20"/>
          <w:szCs w:val="20"/>
        </w:rPr>
        <w:t xml:space="preserve"> purchasing shareholders’ subsequent disposition of these shares, has resulted in multiple ownership changes as defined by Section 382, and could result in ownership change in the future upon subsequent disposition. The Company’s utilization of NOLs may al</w:t>
      </w:r>
      <w:r>
        <w:rPr>
          <w:sz w:val="20"/>
          <w:szCs w:val="20"/>
        </w:rPr>
        <w:t>so be adversely affected by future changes in federal and state tax laws and regulations.</w:t>
      </w:r>
    </w:p>
    <w:p w:rsidR="00000000" w:rsidRDefault="00F22B2C">
      <w:pPr>
        <w:pStyle w:val="a3"/>
        <w:spacing w:before="0" w:beforeAutospacing="0" w:after="0" w:afterAutospacing="0"/>
        <w:ind w:firstLine="547"/>
        <w:divId w:val="203951778"/>
        <w:rPr>
          <w:sz w:val="20"/>
          <w:szCs w:val="20"/>
        </w:rPr>
      </w:pPr>
      <w:r>
        <w:rPr>
          <w:sz w:val="20"/>
          <w:szCs w:val="20"/>
        </w:rPr>
        <w:t>In assessing the realization of deferred tax assets, management considers whether it is more likely than not that some portion or all the deferred tax assets will not</w:t>
      </w:r>
      <w:r>
        <w:rPr>
          <w:sz w:val="20"/>
          <w:szCs w:val="20"/>
        </w:rPr>
        <w:t xml:space="preserve"> be realized. The ultimate realization of deferred tax assets is dependent upon future generation for taxable income during the periods in which temporary differences representing net future deductible amounts become deductible. Management considers the sc</w:t>
      </w:r>
      <w:r>
        <w:rPr>
          <w:sz w:val="20"/>
          <w:szCs w:val="20"/>
        </w:rPr>
        <w:t xml:space="preserve">heduled reversal of deferred tax liabilities, projected future taxable income and tax planning strategies in making this assessment. After consideration of all the information available, management believes that significant uncertainty exists with respect </w:t>
      </w:r>
      <w:r>
        <w:rPr>
          <w:sz w:val="20"/>
          <w:szCs w:val="20"/>
        </w:rPr>
        <w:t xml:space="preserve">to future realization of the deferred tax assets and has therefore established a full valuation allowance. For the years ended </w:t>
      </w:r>
    </w:p>
    <w:p w:rsidR="00000000" w:rsidRDefault="00F22B2C">
      <w:pPr>
        <w:pStyle w:val="a3"/>
        <w:spacing w:before="480" w:beforeAutospacing="0" w:after="0" w:afterAutospacing="0"/>
        <w:jc w:val="center"/>
        <w:divId w:val="1542402571"/>
        <w:rPr>
          <w:sz w:val="20"/>
          <w:szCs w:val="20"/>
        </w:rPr>
      </w:pPr>
      <w:r>
        <w:rPr>
          <w:sz w:val="20"/>
          <w:szCs w:val="20"/>
        </w:rPr>
        <w:t>F-26</w:t>
      </w:r>
    </w:p>
    <w:p w:rsidR="00000000" w:rsidRDefault="00F22B2C">
      <w:pPr>
        <w:pStyle w:val="a3"/>
        <w:spacing w:before="0" w:beforeAutospacing="0" w:after="300" w:afterAutospacing="0"/>
        <w:divId w:val="211037352"/>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211037352"/>
        <w:rPr>
          <w:sz w:val="20"/>
          <w:szCs w:val="20"/>
        </w:rPr>
      </w:pPr>
      <w:r>
        <w:rPr>
          <w:b/>
          <w:bCs/>
          <w:sz w:val="20"/>
          <w:szCs w:val="20"/>
        </w:rPr>
        <w:t>IOVANCE BIOTHERAPEUTICS, INC.</w:t>
      </w:r>
    </w:p>
    <w:p w:rsidR="00000000" w:rsidRDefault="00F22B2C">
      <w:pPr>
        <w:pStyle w:val="a3"/>
        <w:spacing w:before="0" w:beforeAutospacing="0" w:after="300" w:afterAutospacing="0"/>
        <w:jc w:val="center"/>
        <w:divId w:val="211037352"/>
        <w:rPr>
          <w:sz w:val="20"/>
          <w:szCs w:val="20"/>
        </w:rPr>
      </w:pPr>
      <w:r>
        <w:rPr>
          <w:b/>
          <w:bCs/>
          <w:sz w:val="20"/>
          <w:szCs w:val="20"/>
        </w:rPr>
        <w:t>NOTES TO CONSOLIDATED FINANCIAL STATEMENTS</w:t>
      </w:r>
    </w:p>
    <w:p w:rsidR="00000000" w:rsidRDefault="00F22B2C">
      <w:pPr>
        <w:pStyle w:val="a3"/>
        <w:spacing w:before="0" w:beforeAutospacing="0" w:after="200" w:afterAutospacing="0"/>
        <w:divId w:val="487139099"/>
        <w:rPr>
          <w:sz w:val="20"/>
          <w:szCs w:val="20"/>
        </w:rPr>
      </w:pPr>
      <w:r>
        <w:rPr>
          <w:sz w:val="20"/>
          <w:szCs w:val="20"/>
        </w:rPr>
        <w:t>December 31, 2021 and 2020, the change in the valuation allowance was approximately $78.1 million, $60.7 million, and $50.6 million, respectively.</w:t>
      </w:r>
    </w:p>
    <w:p w:rsidR="00000000" w:rsidRDefault="00F22B2C">
      <w:pPr>
        <w:pStyle w:val="a3"/>
        <w:spacing w:before="0" w:beforeAutospacing="0" w:after="200" w:afterAutospacing="0"/>
        <w:ind w:firstLine="547"/>
        <w:divId w:val="487139099"/>
        <w:rPr>
          <w:sz w:val="20"/>
          <w:szCs w:val="20"/>
        </w:rPr>
      </w:pPr>
      <w:r>
        <w:rPr>
          <w:sz w:val="20"/>
          <w:szCs w:val="20"/>
        </w:rPr>
        <w:t>The Company evaluated the provisions of ASC 740 related to the accounting for uncertainty in income taxes recognized in an enterprise’s financial statements. ASC 740 prescribes a comprehensive model for how a company should recognize, present, and disclose</w:t>
      </w:r>
      <w:r>
        <w:rPr>
          <w:sz w:val="20"/>
          <w:szCs w:val="20"/>
        </w:rPr>
        <w:t xml:space="preserve"> uncertain positions that the Company has taken or expects to take in its tax return. For those benefits to be recognized, a tax position must be more-likely-than-not to be sustained upon examination by taxing authorities. Differences between tax positions</w:t>
      </w:r>
      <w:r>
        <w:rPr>
          <w:sz w:val="20"/>
          <w:szCs w:val="20"/>
        </w:rPr>
        <w:t xml:space="preserve"> taken or expected to be taken in a tax return and the net benefit recognized and measured pursuant to the interpretation are referred to as “unrecognized benefits.” A liability is recognized (or amount of net operating loss carry forward or amount of tax </w:t>
      </w:r>
      <w:r>
        <w:rPr>
          <w:sz w:val="20"/>
          <w:szCs w:val="20"/>
        </w:rPr>
        <w:t>refundable is reduced) for unrecognized tax benefit because it represents an enterprise’s potential future obligation to the taxing authority for a tax position that was not recognized as a result of applying the provisions of ASC 740.</w:t>
      </w:r>
    </w:p>
    <w:p w:rsidR="00000000" w:rsidRDefault="00F22B2C">
      <w:pPr>
        <w:pStyle w:val="a3"/>
        <w:spacing w:before="0" w:beforeAutospacing="0" w:after="200" w:afterAutospacing="0"/>
        <w:ind w:firstLine="547"/>
        <w:divId w:val="487139099"/>
        <w:rPr>
          <w:sz w:val="20"/>
          <w:szCs w:val="20"/>
        </w:rPr>
      </w:pPr>
      <w:r>
        <w:rPr>
          <w:sz w:val="20"/>
          <w:szCs w:val="20"/>
        </w:rPr>
        <w:t>If applicable, inter</w:t>
      </w:r>
      <w:r>
        <w:rPr>
          <w:sz w:val="20"/>
          <w:szCs w:val="20"/>
        </w:rPr>
        <w:t>est costs related to the unrecognized tax benefits are required to be calculated and would be classified as income tax expenses in the Consolidated Statements of Operations. Penalties would be recognized as a component of “General and Administrative Expens</w:t>
      </w:r>
      <w:r>
        <w:rPr>
          <w:sz w:val="20"/>
          <w:szCs w:val="20"/>
        </w:rPr>
        <w:t>es” in the Consolidated Statements of Operations.</w:t>
      </w:r>
    </w:p>
    <w:p w:rsidR="00000000" w:rsidRDefault="00F22B2C">
      <w:pPr>
        <w:pStyle w:val="a3"/>
        <w:spacing w:before="0" w:beforeAutospacing="0" w:after="0" w:afterAutospacing="0"/>
        <w:ind w:firstLine="547"/>
        <w:divId w:val="487139099"/>
        <w:rPr>
          <w:sz w:val="20"/>
          <w:szCs w:val="20"/>
        </w:rPr>
      </w:pPr>
      <w:r>
        <w:rPr>
          <w:sz w:val="20"/>
          <w:szCs w:val="20"/>
        </w:rPr>
        <w:t>A reconciliation of the beginning and ending balances of the unrecognized tax benefits during the years ended December 31, 2021, 2020, and 2019 is as follows (in thousands):</w:t>
      </w:r>
    </w:p>
    <w:p w:rsidR="00000000" w:rsidRDefault="00F22B2C">
      <w:pPr>
        <w:pStyle w:val="a3"/>
        <w:spacing w:before="0" w:beforeAutospacing="0" w:after="0" w:afterAutospacing="0"/>
        <w:ind w:firstLine="547"/>
        <w:divId w:val="48713909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53"/>
        <w:gridCol w:w="266"/>
        <w:gridCol w:w="166"/>
        <w:gridCol w:w="1052"/>
        <w:gridCol w:w="266"/>
        <w:gridCol w:w="166"/>
        <w:gridCol w:w="1052"/>
        <w:gridCol w:w="266"/>
        <w:gridCol w:w="166"/>
        <w:gridCol w:w="1053"/>
      </w:tblGrid>
      <w:tr w:rsidR="00000000">
        <w:trPr>
          <w:divId w:val="487139099"/>
          <w:trHeight w:val="20"/>
        </w:trPr>
        <w:tc>
          <w:tcPr>
            <w:tcW w:w="2318" w:type="pct"/>
            <w:tcMar>
              <w:top w:w="0" w:type="dxa"/>
              <w:left w:w="0" w:type="dxa"/>
              <w:bottom w:w="0" w:type="dxa"/>
              <w:right w:w="0" w:type="dxa"/>
            </w:tcMar>
            <w:vAlign w:val="bottom"/>
            <w:hideMark/>
          </w:tcPr>
          <w:p w:rsidR="00000000" w:rsidRDefault="00F22B2C">
            <w:pPr>
              <w:pStyle w:val="a3"/>
              <w:spacing w:before="0" w:beforeAutospacing="0" w:after="1" w:afterAutospacing="0"/>
              <w:divId w:val="1335255395"/>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86652234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31618343"/>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06279378"/>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69666402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98204921"/>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317876222"/>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98115645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337002230"/>
              <w:rPr>
                <w:sz w:val="20"/>
                <w:szCs w:val="20"/>
              </w:rPr>
            </w:pPr>
            <w:r>
              <w:rPr>
                <w:sz w:val="2"/>
                <w:szCs w:val="2"/>
              </w:rPr>
              <w:t>​</w:t>
            </w:r>
          </w:p>
        </w:tc>
        <w:tc>
          <w:tcPr>
            <w:tcW w:w="63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052991754"/>
              <w:rPr>
                <w:sz w:val="20"/>
                <w:szCs w:val="20"/>
              </w:rPr>
            </w:pPr>
            <w:r>
              <w:rPr>
                <w:sz w:val="2"/>
                <w:szCs w:val="2"/>
              </w:rPr>
              <w:t>​</w:t>
            </w:r>
          </w:p>
        </w:tc>
      </w:tr>
      <w:tr w:rsidR="00000000">
        <w:trPr>
          <w:divId w:val="487139099"/>
        </w:trPr>
        <w:tc>
          <w:tcPr>
            <w:tcW w:w="2318"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2520" w:type="pct"/>
            <w:gridSpan w:val="8"/>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Years</w:t>
            </w:r>
            <w:r>
              <w:rPr>
                <w:b/>
                <w:bCs/>
                <w:sz w:val="16"/>
                <w:szCs w:val="16"/>
              </w:rPr>
              <w:t xml:space="preserve"> Ended December 31, </w:t>
            </w:r>
          </w:p>
        </w:tc>
      </w:tr>
      <w:tr w:rsidR="00000000">
        <w:trPr>
          <w:divId w:val="487139099"/>
        </w:trPr>
        <w:tc>
          <w:tcPr>
            <w:tcW w:w="2318"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b/>
                <w:bCs/>
                <w:sz w:val="16"/>
                <w:szCs w:val="16"/>
              </w:rPr>
              <w:t>​</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73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2021</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733"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2020</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732"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2019</w:t>
            </w:r>
          </w:p>
        </w:tc>
      </w:tr>
      <w:tr w:rsidR="00000000">
        <w:trPr>
          <w:divId w:val="487139099"/>
        </w:trPr>
        <w:tc>
          <w:tcPr>
            <w:tcW w:w="2318"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Unrecognized benefit - beginning of period</w:t>
            </w:r>
          </w:p>
        </w:tc>
        <w:tc>
          <w:tcPr>
            <w:tcW w:w="16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14,432</w:t>
            </w:r>
          </w:p>
        </w:tc>
        <w:tc>
          <w:tcPr>
            <w:tcW w:w="16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10,038</w:t>
            </w:r>
          </w:p>
        </w:tc>
        <w:tc>
          <w:tcPr>
            <w:tcW w:w="16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6,344</w:t>
            </w:r>
          </w:p>
        </w:tc>
      </w:tr>
      <w:tr w:rsidR="00000000">
        <w:trPr>
          <w:divId w:val="487139099"/>
        </w:trPr>
        <w:tc>
          <w:tcPr>
            <w:tcW w:w="2318"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Gross decreases - prior period tax positions</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(159)</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r>
      <w:tr w:rsidR="00000000">
        <w:trPr>
          <w:divId w:val="487139099"/>
        </w:trPr>
        <w:tc>
          <w:tcPr>
            <w:tcW w:w="2318"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Gross increase current period tax positions</w:t>
            </w:r>
          </w:p>
        </w:tc>
        <w:tc>
          <w:tcPr>
            <w:tcW w:w="16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3,898</w:t>
            </w:r>
          </w:p>
        </w:tc>
        <w:tc>
          <w:tcPr>
            <w:tcW w:w="16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4,394</w:t>
            </w:r>
          </w:p>
        </w:tc>
        <w:tc>
          <w:tcPr>
            <w:tcW w:w="16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6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3,694</w:t>
            </w:r>
          </w:p>
        </w:tc>
      </w:tr>
      <w:tr w:rsidR="00000000">
        <w:trPr>
          <w:divId w:val="487139099"/>
        </w:trPr>
        <w:tc>
          <w:tcPr>
            <w:tcW w:w="2318"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Unrecognized benefit - end of period</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3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18,171</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32"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14,432</w:t>
            </w:r>
          </w:p>
        </w:tc>
        <w:tc>
          <w:tcPr>
            <w:tcW w:w="160"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631"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10,038</w:t>
            </w:r>
          </w:p>
        </w:tc>
      </w:tr>
    </w:tbl>
    <w:p w:rsidR="00000000" w:rsidRDefault="00F22B2C">
      <w:pPr>
        <w:pStyle w:val="a3"/>
        <w:spacing w:before="0" w:beforeAutospacing="0" w:after="0" w:afterAutospacing="0"/>
        <w:divId w:val="487139099"/>
        <w:rPr>
          <w:sz w:val="20"/>
          <w:szCs w:val="20"/>
        </w:rPr>
      </w:pPr>
      <w:r>
        <w:rPr>
          <w:sz w:val="20"/>
          <w:szCs w:val="20"/>
        </w:rPr>
        <w:t>​</w:t>
      </w:r>
    </w:p>
    <w:p w:rsidR="00000000" w:rsidRDefault="00F22B2C">
      <w:pPr>
        <w:pStyle w:val="a3"/>
        <w:spacing w:before="0" w:beforeAutospacing="0" w:after="200" w:afterAutospacing="0"/>
        <w:ind w:firstLine="547"/>
        <w:divId w:val="487139099"/>
        <w:rPr>
          <w:sz w:val="20"/>
          <w:szCs w:val="20"/>
        </w:rPr>
      </w:pPr>
      <w:r>
        <w:rPr>
          <w:sz w:val="20"/>
          <w:szCs w:val="20"/>
        </w:rPr>
        <w:t xml:space="preserve">No </w:t>
      </w:r>
      <w:r>
        <w:rPr>
          <w:sz w:val="20"/>
          <w:szCs w:val="20"/>
        </w:rPr>
        <w:t>interest or penalties on unpaid tax were recorded during the years ended December 31, 2021, 2020, or 2019. The Company does not anticipate any significant changes within 12 months of this reporting date of its uncertain tax positions.</w:t>
      </w:r>
    </w:p>
    <w:p w:rsidR="00000000" w:rsidRDefault="00F22B2C">
      <w:pPr>
        <w:pStyle w:val="a3"/>
        <w:spacing w:before="0" w:beforeAutospacing="0" w:after="0" w:afterAutospacing="0"/>
        <w:ind w:firstLine="547"/>
        <w:divId w:val="487139099"/>
        <w:rPr>
          <w:sz w:val="20"/>
          <w:szCs w:val="20"/>
        </w:rPr>
      </w:pPr>
      <w:r>
        <w:rPr>
          <w:sz w:val="20"/>
          <w:szCs w:val="20"/>
        </w:rPr>
        <w:t>The Company files tax</w:t>
      </w:r>
      <w:r>
        <w:rPr>
          <w:sz w:val="20"/>
          <w:szCs w:val="20"/>
        </w:rPr>
        <w:t xml:space="preserve"> returns in the U.S. federal and state jurisdictions. The U.S. federal and U.S. state taxing authorities may choose to audit tax returns for tax years beyond the statute of limitation period due to significant tax attribute carryforwards from prior years, </w:t>
      </w:r>
      <w:r>
        <w:rPr>
          <w:sz w:val="20"/>
          <w:szCs w:val="20"/>
        </w:rPr>
        <w:t>making adjustments only to carryforward attributes. The Company is not currently under examination by income tax authorities in federal, state or other foreign jurisdictions.</w:t>
      </w:r>
    </w:p>
    <w:p w:rsidR="00000000" w:rsidRDefault="00F22B2C">
      <w:pPr>
        <w:pStyle w:val="a3"/>
        <w:spacing w:before="0" w:beforeAutospacing="0" w:after="0" w:afterAutospacing="0"/>
        <w:ind w:firstLine="360"/>
        <w:divId w:val="487139099"/>
        <w:rPr>
          <w:sz w:val="20"/>
          <w:szCs w:val="20"/>
        </w:rPr>
      </w:pPr>
      <w:r>
        <w:rPr>
          <w:sz w:val="20"/>
          <w:szCs w:val="20"/>
        </w:rPr>
        <w:t>​</w:t>
      </w:r>
    </w:p>
    <w:p w:rsidR="00000000" w:rsidRDefault="00F22B2C">
      <w:pPr>
        <w:pStyle w:val="a3"/>
        <w:spacing w:before="0" w:beforeAutospacing="0" w:after="200" w:afterAutospacing="0"/>
        <w:divId w:val="487139099"/>
        <w:rPr>
          <w:b/>
          <w:bCs/>
          <w:sz w:val="20"/>
          <w:szCs w:val="20"/>
        </w:rPr>
      </w:pPr>
      <w:r>
        <w:rPr>
          <w:b/>
          <w:bCs/>
          <w:sz w:val="20"/>
          <w:szCs w:val="20"/>
        </w:rPr>
        <w:t>NOTE 9. LICENSES AND AGREEMENTS</w:t>
      </w:r>
    </w:p>
    <w:p w:rsidR="00000000" w:rsidRDefault="00F22B2C">
      <w:pPr>
        <w:pStyle w:val="a3"/>
        <w:spacing w:before="0" w:beforeAutospacing="0" w:after="200" w:afterAutospacing="0"/>
        <w:divId w:val="487139099"/>
        <w:rPr>
          <w:b/>
          <w:bCs/>
          <w:sz w:val="20"/>
          <w:szCs w:val="20"/>
        </w:rPr>
      </w:pPr>
      <w:r>
        <w:rPr>
          <w:b/>
          <w:bCs/>
          <w:sz w:val="20"/>
          <w:szCs w:val="20"/>
        </w:rPr>
        <w:t>National Institutes of Health (the “NIH”) and the National Cancer Institute (the “NCI”)</w:t>
      </w:r>
    </w:p>
    <w:p w:rsidR="00000000" w:rsidRDefault="00F22B2C">
      <w:pPr>
        <w:pStyle w:val="a3"/>
        <w:spacing w:before="0" w:beforeAutospacing="0" w:after="200" w:afterAutospacing="0"/>
        <w:divId w:val="487139099"/>
        <w:rPr>
          <w:i/>
          <w:iCs/>
          <w:sz w:val="20"/>
          <w:szCs w:val="20"/>
        </w:rPr>
      </w:pPr>
      <w:r>
        <w:rPr>
          <w:i/>
          <w:iCs/>
          <w:sz w:val="20"/>
          <w:szCs w:val="20"/>
        </w:rPr>
        <w:t>Cooperative Research and Development Agreement (the “CRADA”)</w:t>
      </w:r>
    </w:p>
    <w:p w:rsidR="00000000" w:rsidRDefault="00F22B2C">
      <w:pPr>
        <w:pStyle w:val="a3"/>
        <w:spacing w:before="0" w:beforeAutospacing="0" w:after="200" w:afterAutospacing="0"/>
        <w:ind w:firstLine="547"/>
        <w:divId w:val="487139099"/>
        <w:rPr>
          <w:sz w:val="20"/>
          <w:szCs w:val="20"/>
        </w:rPr>
      </w:pPr>
      <w:r>
        <w:rPr>
          <w:sz w:val="20"/>
          <w:szCs w:val="20"/>
        </w:rPr>
        <w:t>In August 2011, the Company signed a five-year CRADA with the NCI to work on the development of adoptive ce</w:t>
      </w:r>
      <w:r>
        <w:rPr>
          <w:sz w:val="20"/>
          <w:szCs w:val="20"/>
        </w:rPr>
        <w:t>ll immunotherapies that are designed to destroy metastatic melanoma cells.</w:t>
      </w:r>
    </w:p>
    <w:p w:rsidR="00000000" w:rsidRDefault="00F22B2C">
      <w:pPr>
        <w:pStyle w:val="a3"/>
        <w:spacing w:before="0" w:beforeAutospacing="0" w:after="200" w:afterAutospacing="0"/>
        <w:ind w:firstLine="547"/>
        <w:divId w:val="487139099"/>
        <w:rPr>
          <w:sz w:val="20"/>
          <w:szCs w:val="20"/>
        </w:rPr>
      </w:pPr>
      <w:r>
        <w:rPr>
          <w:sz w:val="20"/>
          <w:szCs w:val="20"/>
        </w:rPr>
        <w:t>The CRADA was amended in January 2015, to include four new indications, including the development of TIL therapy for the treatment of patients with bladder, lung, triple-negative br</w:t>
      </w:r>
      <w:r>
        <w:rPr>
          <w:sz w:val="20"/>
          <w:szCs w:val="20"/>
        </w:rPr>
        <w:t>east, and Human Papilloma Virus (“HPV”)-associated cancers.</w:t>
      </w:r>
    </w:p>
    <w:p w:rsidR="00000000" w:rsidRDefault="00F22B2C">
      <w:pPr>
        <w:pStyle w:val="a3"/>
        <w:spacing w:before="0" w:beforeAutospacing="0" w:after="200" w:afterAutospacing="0"/>
        <w:ind w:firstLine="547"/>
        <w:divId w:val="487139099"/>
        <w:rPr>
          <w:sz w:val="20"/>
          <w:szCs w:val="20"/>
        </w:rPr>
      </w:pPr>
      <w:r>
        <w:rPr>
          <w:sz w:val="20"/>
          <w:szCs w:val="20"/>
        </w:rPr>
        <w:t>The CRADA was further amended in August 2016 to, among other things, (i) extend the term of the CRADA by another five years to August 2021, and (ii) modify the focus on the development of unmodifi</w:t>
      </w:r>
      <w:r>
        <w:rPr>
          <w:sz w:val="20"/>
          <w:szCs w:val="20"/>
        </w:rPr>
        <w:t>ed TIL as a stand-alone therapy or in combination. The parties have continued the development of improved methods for the generation and selection of TIL with anti-tumor reactivity in metastatic melanoma, bladder, lung, breast, and HPV-associated cancers.</w:t>
      </w:r>
    </w:p>
    <w:p w:rsidR="00000000" w:rsidRDefault="00F22B2C">
      <w:pPr>
        <w:pStyle w:val="a3"/>
        <w:spacing w:before="0" w:beforeAutospacing="0" w:after="200" w:afterAutospacing="0"/>
        <w:ind w:firstLine="547"/>
        <w:divId w:val="487139099"/>
        <w:rPr>
          <w:sz w:val="20"/>
          <w:szCs w:val="20"/>
        </w:rPr>
      </w:pPr>
      <w:r>
        <w:rPr>
          <w:sz w:val="20"/>
          <w:szCs w:val="20"/>
        </w:rPr>
        <w:t>The CRADA was further amended in August 2021 to, among other things, extend the term of the CRADA by another three years to August 2024. The research plan in this amendment includes the evaluation in clinical trials of strategies for development of more po</w:t>
      </w:r>
      <w:r>
        <w:rPr>
          <w:sz w:val="20"/>
          <w:szCs w:val="20"/>
        </w:rPr>
        <w:t>tent TILs, such as selection of CD39/69 double negative cells and the use of certain inhibitors or other reagents in TIL expansion cultures.</w:t>
      </w:r>
    </w:p>
    <w:p w:rsidR="00000000" w:rsidRDefault="00F22B2C">
      <w:pPr>
        <w:pStyle w:val="a3"/>
        <w:spacing w:before="480" w:beforeAutospacing="0" w:after="0" w:afterAutospacing="0"/>
        <w:jc w:val="center"/>
        <w:divId w:val="1394160730"/>
        <w:rPr>
          <w:sz w:val="20"/>
          <w:szCs w:val="20"/>
        </w:rPr>
      </w:pPr>
      <w:r>
        <w:rPr>
          <w:sz w:val="20"/>
          <w:szCs w:val="20"/>
        </w:rPr>
        <w:t>F-27</w:t>
      </w:r>
    </w:p>
    <w:p w:rsidR="00000000" w:rsidRDefault="00F22B2C">
      <w:pPr>
        <w:pStyle w:val="a3"/>
        <w:spacing w:before="0" w:beforeAutospacing="0" w:after="300" w:afterAutospacing="0"/>
        <w:divId w:val="1625034978"/>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625034978"/>
        <w:rPr>
          <w:sz w:val="20"/>
          <w:szCs w:val="20"/>
        </w:rPr>
      </w:pPr>
      <w:r>
        <w:rPr>
          <w:b/>
          <w:bCs/>
          <w:sz w:val="20"/>
          <w:szCs w:val="20"/>
        </w:rPr>
        <w:t>IOVANCE BIOTHERAPEUTICS, INC.</w:t>
      </w:r>
    </w:p>
    <w:p w:rsidR="00000000" w:rsidRDefault="00F22B2C">
      <w:pPr>
        <w:pStyle w:val="a3"/>
        <w:spacing w:before="0" w:beforeAutospacing="0" w:after="300" w:afterAutospacing="0"/>
        <w:jc w:val="center"/>
        <w:divId w:val="1625034978"/>
        <w:rPr>
          <w:sz w:val="20"/>
          <w:szCs w:val="20"/>
        </w:rPr>
      </w:pPr>
      <w:r>
        <w:rPr>
          <w:b/>
          <w:bCs/>
          <w:sz w:val="20"/>
          <w:szCs w:val="20"/>
        </w:rPr>
        <w:t>NOTES TO CONSOLIDATED FINANCIAL STAT</w:t>
      </w:r>
      <w:r>
        <w:rPr>
          <w:b/>
          <w:bCs/>
          <w:sz w:val="20"/>
          <w:szCs w:val="20"/>
        </w:rPr>
        <w:t>EMENTS</w:t>
      </w:r>
    </w:p>
    <w:p w:rsidR="00000000" w:rsidRDefault="00F22B2C">
      <w:pPr>
        <w:pStyle w:val="a3"/>
        <w:spacing w:before="0" w:beforeAutospacing="0" w:after="200" w:afterAutospacing="0"/>
        <w:ind w:firstLine="547"/>
        <w:divId w:val="1003782050"/>
        <w:rPr>
          <w:sz w:val="20"/>
          <w:szCs w:val="20"/>
        </w:rPr>
      </w:pPr>
      <w:r>
        <w:rPr>
          <w:sz w:val="20"/>
          <w:szCs w:val="20"/>
        </w:rPr>
        <w:t>Pursuant to the terms of the CRADA, as amended, the Company is required to make quarterly payments of $0.5 million to the NCI for support of research activities. To the extent the Company licenses patent rights relating to a TIL-based product candid</w:t>
      </w:r>
      <w:r>
        <w:rPr>
          <w:sz w:val="20"/>
          <w:szCs w:val="20"/>
        </w:rPr>
        <w:t xml:space="preserve">ate, the Company will be responsible for all patent-related expenses and fees, past and future, relating to the TIL-based product candidate. In addition, the Company may be required to supply certain test articles, including TIL, grown and processed under </w:t>
      </w:r>
      <w:r>
        <w:rPr>
          <w:sz w:val="20"/>
          <w:szCs w:val="20"/>
        </w:rPr>
        <w:t>cGMP conditions, suitable for use in clinical trials. The extended CRADA has a three-year term expiring in August 2024. The Company or the NCI may unilaterally terminate the CRADA for any reason or for no reason at any time by providing written notice at l</w:t>
      </w:r>
      <w:r>
        <w:rPr>
          <w:sz w:val="20"/>
          <w:szCs w:val="20"/>
        </w:rPr>
        <w:t>east</w:t>
      </w:r>
      <w:r>
        <w:rPr>
          <w:sz w:val="20"/>
          <w:szCs w:val="20"/>
        </w:rPr>
        <w:t xml:space="preserve"> </w:t>
      </w:r>
      <w:r>
        <w:rPr>
          <w:sz w:val="20"/>
          <w:szCs w:val="20"/>
        </w:rPr>
        <w:t>60 day</w:t>
      </w:r>
      <w:r>
        <w:rPr>
          <w:sz w:val="20"/>
          <w:szCs w:val="20"/>
        </w:rPr>
        <w:t>s</w:t>
      </w:r>
      <w:r>
        <w:rPr>
          <w:sz w:val="20"/>
          <w:szCs w:val="20"/>
        </w:rPr>
        <w:t xml:space="preserve"> before the desired termination date. The Company recorded costs associated with the CRADA of $2.0 million, $2.0 million, and $2.2 million for the years ended December 31, 2021, 2020 and 2019, respectively, as research and development expenses</w:t>
      </w:r>
      <w:r>
        <w:rPr>
          <w:sz w:val="20"/>
          <w:szCs w:val="20"/>
        </w:rPr>
        <w:t>.</w:t>
      </w:r>
    </w:p>
    <w:p w:rsidR="00000000" w:rsidRDefault="00F22B2C">
      <w:pPr>
        <w:pStyle w:val="a3"/>
        <w:spacing w:before="0" w:beforeAutospacing="0" w:after="200" w:afterAutospacing="0"/>
        <w:divId w:val="1003782050"/>
        <w:rPr>
          <w:i/>
          <w:iCs/>
          <w:sz w:val="20"/>
          <w:szCs w:val="20"/>
        </w:rPr>
      </w:pPr>
      <w:r>
        <w:rPr>
          <w:i/>
          <w:iCs/>
          <w:sz w:val="20"/>
          <w:szCs w:val="20"/>
        </w:rPr>
        <w:t>Patent License Agreement Related to the Development and Manufacture of TIL</w:t>
      </w:r>
    </w:p>
    <w:p w:rsidR="00000000" w:rsidRDefault="00F22B2C">
      <w:pPr>
        <w:pStyle w:val="a3"/>
        <w:spacing w:before="0" w:beforeAutospacing="0" w:after="200" w:afterAutospacing="0"/>
        <w:ind w:firstLine="547"/>
        <w:divId w:val="1003782050"/>
        <w:rPr>
          <w:sz w:val="20"/>
          <w:szCs w:val="20"/>
        </w:rPr>
      </w:pPr>
      <w:r>
        <w:rPr>
          <w:sz w:val="20"/>
          <w:szCs w:val="20"/>
        </w:rPr>
        <w:t>The Company entered into an Exclusive Patent License Agreement (the “Patent License Agreement”) with the NIH, an agency of the U.S. Public Health Service within the Department of H</w:t>
      </w:r>
      <w:r>
        <w:rPr>
          <w:sz w:val="20"/>
          <w:szCs w:val="20"/>
        </w:rPr>
        <w:t>ealth and Human Services, in 2011, as amended in 2015. Pursuant to the Patent License Agreement, as amended, the NIH granted the Company licenses, including exclusive, co-exclusive, and non-exclusive licenses, to certain technologies relating to autologous</w:t>
      </w:r>
      <w:r>
        <w:rPr>
          <w:sz w:val="20"/>
          <w:szCs w:val="20"/>
        </w:rPr>
        <w:t xml:space="preserve"> tumor infiltrating lymphocyte adoptive cell therapy products for the treatment of metastatic melanoma, lung, breast, bladder and HPV-positive cancers.</w:t>
      </w:r>
    </w:p>
    <w:p w:rsidR="00000000" w:rsidRDefault="00F22B2C">
      <w:pPr>
        <w:pStyle w:val="a3"/>
        <w:spacing w:before="0" w:beforeAutospacing="0" w:after="200" w:afterAutospacing="0"/>
        <w:ind w:firstLine="547"/>
        <w:divId w:val="1003782050"/>
        <w:rPr>
          <w:sz w:val="20"/>
          <w:szCs w:val="20"/>
        </w:rPr>
      </w:pPr>
      <w:r>
        <w:rPr>
          <w:sz w:val="20"/>
          <w:szCs w:val="20"/>
        </w:rPr>
        <w:t>Effective May 6, 2021, the Company entered into an Amended and Restated Patent License Agreement with NI</w:t>
      </w:r>
      <w:r>
        <w:rPr>
          <w:sz w:val="20"/>
          <w:szCs w:val="20"/>
        </w:rPr>
        <w:t>H (the “Amended and Restated Patent License Agreement”), which includes the grant of additional exclusive, worldwide patent rights in the Indications to cytokine-tethered TIL technology, and expands the non-exclusive, worldwide field of use to all cancers.</w:t>
      </w:r>
      <w:r>
        <w:rPr>
          <w:sz w:val="20"/>
          <w:szCs w:val="20"/>
        </w:rPr>
        <w:t xml:space="preserve"> The Amended and Restated Patent License Agreement requires the Company to pay royalties based on a percentage of net sales in jurisdictions where patent rights exist, which percentage can fall into a tier that may be less than one percent to mid-single di</w:t>
      </w:r>
      <w:r>
        <w:rPr>
          <w:sz w:val="20"/>
          <w:szCs w:val="20"/>
        </w:rPr>
        <w:t>gits depending upon certain events, including the exclusivity of the rights, and the Company expects lower overall royalty payments as a result. The Company also agreed to potential milestone payments on the achievement of certain clinical, regulatory, and</w:t>
      </w:r>
      <w:r>
        <w:rPr>
          <w:sz w:val="20"/>
          <w:szCs w:val="20"/>
        </w:rPr>
        <w:t xml:space="preserve"> commercial sales milestones for each of the Indications and other direct costs incurred by the NIH pursuant to the Amended and Restated Patent License Agreement. The Company anticipates making milestone payments, including a payment in the low-single-digi</w:t>
      </w:r>
      <w:r>
        <w:rPr>
          <w:sz w:val="20"/>
          <w:szCs w:val="20"/>
        </w:rPr>
        <w:t>t millions of dollars in conjunction with the approval of a Biologics License Application for any of its product candidates covered by the Amended and Restated Patent License Agreement. The term of the Amended and Restated Patent License Agreement continue</w:t>
      </w:r>
      <w:r>
        <w:rPr>
          <w:sz w:val="20"/>
          <w:szCs w:val="20"/>
        </w:rPr>
        <w:t>s until the expiry of the last-to-expire patent rights licensed thereunder, and the agreement contains standard termination provisions.</w:t>
      </w:r>
    </w:p>
    <w:p w:rsidR="00000000" w:rsidRDefault="00F22B2C">
      <w:pPr>
        <w:pStyle w:val="a3"/>
        <w:spacing w:before="0" w:beforeAutospacing="0" w:after="200" w:afterAutospacing="0"/>
        <w:divId w:val="1003782050"/>
        <w:rPr>
          <w:i/>
          <w:iCs/>
          <w:sz w:val="20"/>
          <w:szCs w:val="20"/>
        </w:rPr>
      </w:pPr>
      <w:r>
        <w:rPr>
          <w:i/>
          <w:iCs/>
          <w:sz w:val="20"/>
          <w:szCs w:val="20"/>
        </w:rPr>
        <w:t>Exclusive Patent License Agreement Related to TIL Selection</w:t>
      </w:r>
    </w:p>
    <w:p w:rsidR="00000000" w:rsidRDefault="00F22B2C">
      <w:pPr>
        <w:pStyle w:val="a3"/>
        <w:spacing w:before="0" w:beforeAutospacing="0" w:after="200" w:afterAutospacing="0"/>
        <w:ind w:firstLine="547"/>
        <w:divId w:val="1003782050"/>
        <w:rPr>
          <w:sz w:val="20"/>
          <w:szCs w:val="20"/>
        </w:rPr>
      </w:pPr>
      <w:r>
        <w:rPr>
          <w:sz w:val="20"/>
          <w:szCs w:val="20"/>
        </w:rPr>
        <w:t xml:space="preserve">On February 10, 2015, the Company entered into an exclusive </w:t>
      </w:r>
      <w:r>
        <w:rPr>
          <w:sz w:val="20"/>
          <w:szCs w:val="20"/>
        </w:rPr>
        <w:t>patent license agreement (the “Exclusive Patent License Agreement”) with the NIH under which the Company received an exclusive license to the NIH’s rights to patent-pending technologies related to methods for improving adoptive cell therapy through more po</w:t>
      </w:r>
      <w:r>
        <w:rPr>
          <w:sz w:val="20"/>
          <w:szCs w:val="20"/>
        </w:rPr>
        <w:t>tent and efficient production of TIL from melanoma tumors by selecting for T cell populations that express various inhibitory receptors. Unless terminated sooner, the license shall remain in effect until the last licensed patent right expires. Under the Ex</w:t>
      </w:r>
      <w:r>
        <w:rPr>
          <w:sz w:val="20"/>
          <w:szCs w:val="20"/>
        </w:rPr>
        <w:t>clusive Patent License Agreement, the Company agreed to pay customary royalties based on a percentage of net sales of a licensed product (which percentage is in the mid-single digits), a percentage of revenues from sublicensing arrangements, and lump sum b</w:t>
      </w:r>
      <w:r>
        <w:rPr>
          <w:sz w:val="20"/>
          <w:szCs w:val="20"/>
        </w:rPr>
        <w:t>enchmark payments upon the successful completion of clinical studies involving licensed technologies, the receipt of the first FDA approval or foreign equivalent for a licensed product or process resulting from the licensed technologies, the first commerci</w:t>
      </w:r>
      <w:r>
        <w:rPr>
          <w:sz w:val="20"/>
          <w:szCs w:val="20"/>
        </w:rPr>
        <w:t>al sale of a licensed product or process in the U.S., and the first commercial sale of a licensed product or process in any foreign country.</w:t>
      </w:r>
    </w:p>
    <w:p w:rsidR="00000000" w:rsidRDefault="00F22B2C">
      <w:pPr>
        <w:pStyle w:val="a3"/>
        <w:spacing w:before="0" w:beforeAutospacing="0" w:after="200" w:afterAutospacing="0"/>
        <w:divId w:val="1003782050"/>
        <w:rPr>
          <w:b/>
          <w:bCs/>
          <w:sz w:val="20"/>
          <w:szCs w:val="20"/>
        </w:rPr>
      </w:pPr>
      <w:r>
        <w:rPr>
          <w:b/>
          <w:bCs/>
          <w:sz w:val="20"/>
          <w:szCs w:val="20"/>
        </w:rPr>
        <w:t>H. Lee Moffitt Cancer Center</w:t>
      </w:r>
    </w:p>
    <w:p w:rsidR="00000000" w:rsidRDefault="00F22B2C">
      <w:pPr>
        <w:pStyle w:val="a3"/>
        <w:spacing w:before="0" w:beforeAutospacing="0" w:after="200" w:afterAutospacing="0"/>
        <w:divId w:val="1003782050"/>
        <w:rPr>
          <w:i/>
          <w:iCs/>
          <w:sz w:val="20"/>
          <w:szCs w:val="20"/>
        </w:rPr>
      </w:pPr>
      <w:r>
        <w:rPr>
          <w:i/>
          <w:iCs/>
          <w:sz w:val="20"/>
          <w:szCs w:val="20"/>
        </w:rPr>
        <w:t>Research Collaboration and Clinical Grant Agreements with Moffitt</w:t>
      </w:r>
    </w:p>
    <w:p w:rsidR="00000000" w:rsidRDefault="00F22B2C">
      <w:pPr>
        <w:pStyle w:val="a3"/>
        <w:spacing w:before="0" w:beforeAutospacing="0" w:after="0" w:afterAutospacing="0"/>
        <w:ind w:firstLine="547"/>
        <w:divId w:val="1003782050"/>
        <w:rPr>
          <w:sz w:val="20"/>
          <w:szCs w:val="20"/>
        </w:rPr>
      </w:pPr>
      <w:r>
        <w:rPr>
          <w:sz w:val="20"/>
          <w:szCs w:val="20"/>
        </w:rPr>
        <w:t>In December 2016, the Company entered into a new three-year Sponsored Research Agreement with H. Lee Moffitt Cancer Center (“Moffitt”) which expired in December 2019. In June 2020, the Compa</w:t>
      </w:r>
      <w:r>
        <w:rPr>
          <w:sz w:val="20"/>
          <w:szCs w:val="20"/>
        </w:rPr>
        <w:t>ny entered into a new Sponsored Research Agreement with Moffitt, with a term that ends either upon completion of the research thereunder or on July 1, 2022, whichever is sooner, and under which immaterial payments will be made to Moffitt in connection with</w:t>
      </w:r>
      <w:r>
        <w:rPr>
          <w:sz w:val="20"/>
          <w:szCs w:val="20"/>
        </w:rPr>
        <w:t xml:space="preserve"> the research services thereunder. In December 2016, the Company entered into a clinical grant agreement with Moffitt to support an ongoing clinical trial at Moffitt that combines TIL therapy with nivolumab for the treatment of patients with metastatic mel</w:t>
      </w:r>
      <w:r>
        <w:rPr>
          <w:sz w:val="20"/>
          <w:szCs w:val="20"/>
        </w:rPr>
        <w:t xml:space="preserve">anoma. In June 2017, the Company entered into a second clinical grant agreement with Moffitt to support a new clinical trial at Moffitt that combines TIL therapy with nivolumab for the treatment of </w:t>
      </w:r>
    </w:p>
    <w:p w:rsidR="00000000" w:rsidRDefault="00F22B2C">
      <w:pPr>
        <w:pStyle w:val="a3"/>
        <w:spacing w:before="480" w:beforeAutospacing="0" w:after="0" w:afterAutospacing="0"/>
        <w:jc w:val="center"/>
        <w:divId w:val="354381338"/>
        <w:rPr>
          <w:sz w:val="20"/>
          <w:szCs w:val="20"/>
        </w:rPr>
      </w:pPr>
      <w:r>
        <w:rPr>
          <w:sz w:val="20"/>
          <w:szCs w:val="20"/>
        </w:rPr>
        <w:t>F-28</w:t>
      </w:r>
    </w:p>
    <w:p w:rsidR="00000000" w:rsidRDefault="00F22B2C">
      <w:pPr>
        <w:pStyle w:val="a3"/>
        <w:spacing w:before="0" w:beforeAutospacing="0" w:after="300" w:afterAutospacing="0"/>
        <w:divId w:val="578903098"/>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578903098"/>
        <w:rPr>
          <w:sz w:val="20"/>
          <w:szCs w:val="20"/>
        </w:rPr>
      </w:pPr>
      <w:r>
        <w:rPr>
          <w:b/>
          <w:bCs/>
          <w:sz w:val="20"/>
          <w:szCs w:val="20"/>
        </w:rPr>
        <w:t xml:space="preserve">IOVANCE </w:t>
      </w:r>
      <w:r>
        <w:rPr>
          <w:b/>
          <w:bCs/>
          <w:sz w:val="20"/>
          <w:szCs w:val="20"/>
        </w:rPr>
        <w:t>BIOTHERAPEUTICS, INC.</w:t>
      </w:r>
    </w:p>
    <w:p w:rsidR="00000000" w:rsidRDefault="00F22B2C">
      <w:pPr>
        <w:pStyle w:val="a3"/>
        <w:spacing w:before="0" w:beforeAutospacing="0" w:after="300" w:afterAutospacing="0"/>
        <w:jc w:val="center"/>
        <w:divId w:val="578903098"/>
        <w:rPr>
          <w:sz w:val="20"/>
          <w:szCs w:val="20"/>
        </w:rPr>
      </w:pPr>
      <w:r>
        <w:rPr>
          <w:b/>
          <w:bCs/>
          <w:sz w:val="20"/>
          <w:szCs w:val="20"/>
        </w:rPr>
        <w:t>NOTES TO CONSOLIDATED FINANCIAL STATEMENTS</w:t>
      </w:r>
    </w:p>
    <w:p w:rsidR="00000000" w:rsidRDefault="00F22B2C">
      <w:pPr>
        <w:pStyle w:val="a3"/>
        <w:spacing w:before="0" w:beforeAutospacing="0" w:after="200" w:afterAutospacing="0"/>
        <w:divId w:val="779374157"/>
        <w:rPr>
          <w:sz w:val="20"/>
          <w:szCs w:val="20"/>
        </w:rPr>
      </w:pPr>
      <w:r>
        <w:rPr>
          <w:sz w:val="20"/>
          <w:szCs w:val="20"/>
        </w:rPr>
        <w:t xml:space="preserve">patients with non-small cell lung cancer, under which the Company obtained a non-exclusive, royalty-free license to any new Moffitt inventions made in the performance of the agreement. Under </w:t>
      </w:r>
      <w:r>
        <w:rPr>
          <w:sz w:val="20"/>
          <w:szCs w:val="20"/>
        </w:rPr>
        <w:t xml:space="preserve">both clinical grant agreements with Moffit, the Company has non-exclusive rights to clinical data arising from the respective clinical trials. In the years ended December 31, 2021, 2020 and 2019, the Company recorded research and development costs of $0.4 </w:t>
      </w:r>
      <w:r>
        <w:rPr>
          <w:sz w:val="20"/>
          <w:szCs w:val="20"/>
        </w:rPr>
        <w:t>million, $0.6 million, and $0.7 million, respectively, in connection with the research collaboration and clinical grant agreements with Moffitt.</w:t>
      </w:r>
    </w:p>
    <w:p w:rsidR="00000000" w:rsidRDefault="00F22B2C">
      <w:pPr>
        <w:pStyle w:val="a3"/>
        <w:spacing w:before="0" w:beforeAutospacing="0" w:after="200" w:afterAutospacing="0"/>
        <w:divId w:val="779374157"/>
        <w:rPr>
          <w:i/>
          <w:iCs/>
          <w:sz w:val="20"/>
          <w:szCs w:val="20"/>
        </w:rPr>
      </w:pPr>
      <w:r>
        <w:rPr>
          <w:i/>
          <w:iCs/>
          <w:sz w:val="20"/>
          <w:szCs w:val="20"/>
        </w:rPr>
        <w:t>Exclusive License Agreements with Moffitt</w:t>
      </w:r>
    </w:p>
    <w:p w:rsidR="00000000" w:rsidRDefault="00F22B2C">
      <w:pPr>
        <w:pStyle w:val="a3"/>
        <w:spacing w:before="0" w:beforeAutospacing="0" w:after="200" w:afterAutospacing="0"/>
        <w:ind w:firstLine="547"/>
        <w:divId w:val="779374157"/>
        <w:rPr>
          <w:sz w:val="20"/>
          <w:szCs w:val="20"/>
        </w:rPr>
      </w:pPr>
      <w:r>
        <w:rPr>
          <w:sz w:val="20"/>
          <w:szCs w:val="20"/>
        </w:rPr>
        <w:t>The Company entered into a license agreement with Moffitt (the “First</w:t>
      </w:r>
      <w:r>
        <w:rPr>
          <w:sz w:val="20"/>
          <w:szCs w:val="20"/>
        </w:rPr>
        <w:t xml:space="preserve"> Moffitt License”), effective as of June 28, 2014, under which the Company received a world-wide license to Moffitt’s rights to patent-pending technologies related to methods for improving TIL for adoptive cell therapy using toll-like receptor agonists. Un</w:t>
      </w:r>
      <w:r>
        <w:rPr>
          <w:sz w:val="20"/>
          <w:szCs w:val="20"/>
        </w:rPr>
        <w:t>less earlier terminated, the term of the license extends until the earlier of the expiration of the last issued patent related to the licensed technology or 20 years after the effective date of the license agreement.</w:t>
      </w:r>
    </w:p>
    <w:p w:rsidR="00000000" w:rsidRDefault="00F22B2C">
      <w:pPr>
        <w:pStyle w:val="a3"/>
        <w:spacing w:before="0" w:beforeAutospacing="0" w:after="200" w:afterAutospacing="0"/>
        <w:ind w:firstLine="547"/>
        <w:divId w:val="779374157"/>
        <w:rPr>
          <w:sz w:val="20"/>
          <w:szCs w:val="20"/>
        </w:rPr>
      </w:pPr>
      <w:r>
        <w:rPr>
          <w:sz w:val="20"/>
          <w:szCs w:val="20"/>
        </w:rPr>
        <w:t xml:space="preserve">Pursuant to the First Moffitt License, </w:t>
      </w:r>
      <w:r>
        <w:rPr>
          <w:sz w:val="20"/>
          <w:szCs w:val="20"/>
        </w:rPr>
        <w:t>the Company paid an upfront licensing fee in the amount of $0.1 million. A patent issuance fee will also be payable under the First Moffitt License, upon the issuance of the first U.S. patent covering the subject technology. In addition, the Company agreed</w:t>
      </w:r>
      <w:r>
        <w:rPr>
          <w:sz w:val="20"/>
          <w:szCs w:val="20"/>
        </w:rPr>
        <w:t xml:space="preserve"> to pay milestone license fees upon completion of specified milestones, customary royalties based on a specified percentage of net sales (which percentage is in the low single digits) and sublicensing payments, as applicable, and annual minimum royalties b</w:t>
      </w:r>
      <w:r>
        <w:rPr>
          <w:sz w:val="20"/>
          <w:szCs w:val="20"/>
        </w:rPr>
        <w:t>eginning with the first sale of products based on the licensed technologies, which minimum royalties will be credited against the percentage royalty payments otherwise payable in that year. The Company will also be responsible for all costs associated with</w:t>
      </w:r>
      <w:r>
        <w:rPr>
          <w:sz w:val="20"/>
          <w:szCs w:val="20"/>
        </w:rPr>
        <w:t xml:space="preserve"> the preparation, filing, maintenance and prosecution of the patent applications and patents covered by the First Moffitt License related to the treatment of any cancers in the U.S., Europe and Japan and in other countries designated by the Company in agre</w:t>
      </w:r>
      <w:r>
        <w:rPr>
          <w:sz w:val="20"/>
          <w:szCs w:val="20"/>
        </w:rPr>
        <w:t>ement with Moffitt. No expenses were recorded for the First Moffitt License for the year ended December 31, 2021, 2020, and 2019.</w:t>
      </w:r>
    </w:p>
    <w:p w:rsidR="00000000" w:rsidRDefault="00F22B2C">
      <w:pPr>
        <w:pStyle w:val="a3"/>
        <w:spacing w:before="0" w:beforeAutospacing="0" w:after="200" w:afterAutospacing="0"/>
        <w:ind w:firstLine="547"/>
        <w:divId w:val="779374157"/>
        <w:rPr>
          <w:sz w:val="20"/>
          <w:szCs w:val="20"/>
        </w:rPr>
      </w:pPr>
      <w:r>
        <w:rPr>
          <w:sz w:val="20"/>
          <w:szCs w:val="20"/>
        </w:rPr>
        <w:t>The Company entered into a second license agreement with Moffitt effective as of May 7, 2018 (the “Second Moffitt License”), u</w:t>
      </w:r>
      <w:r>
        <w:rPr>
          <w:sz w:val="20"/>
          <w:szCs w:val="20"/>
        </w:rPr>
        <w:t>nder which the Company received a license to Moffitt’s rights to patent-pending technologies related to the use of 4-1BB agonists in conjunction with TIL manufacturing processes and therapies. Pursuant to the Second Moffitt License, the Company paid an upf</w:t>
      </w:r>
      <w:r>
        <w:rPr>
          <w:sz w:val="20"/>
          <w:szCs w:val="20"/>
        </w:rPr>
        <w:t>ront licensing fee in the amount of $0.1 million in 2018. An annual license maintenance fee is also payable commencing on the first anniversary of the effective date. In addition, the Company agreed to pay an annual commercial use payment for each indicati</w:t>
      </w:r>
      <w:r>
        <w:rPr>
          <w:sz w:val="20"/>
          <w:szCs w:val="20"/>
        </w:rPr>
        <w:t>on for which a first sale has occurred, which in the aggregate amounts to up to $0.4 million a year. The Company recorded $0.1 million for the years ended December 31, 2021, 2020 and 2019 as research and development expenses in connection with this agreeme</w:t>
      </w:r>
      <w:r>
        <w:rPr>
          <w:sz w:val="20"/>
          <w:szCs w:val="20"/>
        </w:rPr>
        <w:t>nt. The Company subsequently exercised an option to exclusively license Moffitt’s rights to patent pending technologies related to the use of tumor digests in conjunction with TIL manufacturing processes and therapies, and entered into an amended and resta</w:t>
      </w:r>
      <w:r>
        <w:rPr>
          <w:sz w:val="20"/>
          <w:szCs w:val="20"/>
        </w:rPr>
        <w:t>ted Second Moffitt License in October 2021 (the “Amended &amp; Restated Second Moffit License”), to include these rights. Pursuant to the Amended &amp; Restated Second Moffitt License, the Company paid an upfront licensing fee in the amount of $0.2 million in 2021</w:t>
      </w:r>
      <w:r>
        <w:rPr>
          <w:sz w:val="20"/>
          <w:szCs w:val="20"/>
        </w:rPr>
        <w:t>. In addition, the Company agreed to pay an annual commercial use payment for each indication for which a first sale has occurred for products relating to the use of 4-1BB antagonists and for products relating to the use of tumor digests covered by the lic</w:t>
      </w:r>
      <w:r>
        <w:rPr>
          <w:sz w:val="20"/>
          <w:szCs w:val="20"/>
        </w:rPr>
        <w:t>ense.</w:t>
      </w:r>
    </w:p>
    <w:p w:rsidR="00000000" w:rsidRDefault="00F22B2C">
      <w:pPr>
        <w:pStyle w:val="a3"/>
        <w:spacing w:before="0" w:beforeAutospacing="0" w:after="200" w:afterAutospacing="0"/>
        <w:divId w:val="779374157"/>
        <w:rPr>
          <w:b/>
          <w:bCs/>
          <w:sz w:val="20"/>
          <w:szCs w:val="20"/>
        </w:rPr>
      </w:pPr>
      <w:r>
        <w:rPr>
          <w:b/>
          <w:bCs/>
          <w:sz w:val="20"/>
          <w:szCs w:val="20"/>
        </w:rPr>
        <w:t>The University of Texas M.D. Anderson Cancer Center</w:t>
      </w:r>
    </w:p>
    <w:p w:rsidR="00000000" w:rsidRDefault="00F22B2C">
      <w:pPr>
        <w:pStyle w:val="a3"/>
        <w:spacing w:before="0" w:beforeAutospacing="0" w:after="200" w:afterAutospacing="0"/>
        <w:divId w:val="779374157"/>
        <w:rPr>
          <w:i/>
          <w:iCs/>
          <w:sz w:val="20"/>
          <w:szCs w:val="20"/>
        </w:rPr>
      </w:pPr>
      <w:r>
        <w:rPr>
          <w:i/>
          <w:iCs/>
          <w:sz w:val="20"/>
          <w:szCs w:val="20"/>
        </w:rPr>
        <w:t>Strategic Alliance Agreement</w:t>
      </w:r>
    </w:p>
    <w:p w:rsidR="00000000" w:rsidRDefault="00F22B2C">
      <w:pPr>
        <w:pStyle w:val="a3"/>
        <w:spacing w:before="0" w:beforeAutospacing="0" w:after="200" w:afterAutospacing="0"/>
        <w:ind w:firstLine="547"/>
        <w:divId w:val="779374157"/>
        <w:rPr>
          <w:sz w:val="20"/>
          <w:szCs w:val="20"/>
        </w:rPr>
      </w:pPr>
      <w:r>
        <w:rPr>
          <w:sz w:val="20"/>
          <w:szCs w:val="20"/>
        </w:rPr>
        <w:t>On April 17, 2017, the Company entered into a Strategic Alliance Agreement (the “SAA”) with The University of Texas M.D. Anderson Cancer Center (“MDACC”) under which the</w:t>
      </w:r>
      <w:r>
        <w:rPr>
          <w:sz w:val="20"/>
          <w:szCs w:val="20"/>
        </w:rPr>
        <w:t xml:space="preserve"> Company and MDACC agreed to conduct clinical and preclinical research studies. The Company agreed in the SAA to provide total funding not to exceed approximately $14.2 million for the performance of the multi-year studies under the SAA. In return, the Com</w:t>
      </w:r>
      <w:r>
        <w:rPr>
          <w:sz w:val="20"/>
          <w:szCs w:val="20"/>
        </w:rPr>
        <w:t>pany acquired all rights to inventions resulting from the studies and has been granted a non-exclusive, sub-licensable, royalty-free, and perpetual license to specified background intellectual property of MDACC reasonably necessary to exploit, including th</w:t>
      </w:r>
      <w:r>
        <w:rPr>
          <w:sz w:val="20"/>
          <w:szCs w:val="20"/>
        </w:rPr>
        <w:t>e commercialization thereof. The Company has also been granted certain rights in clinical data generated by MDACC outside of the clinical trials to be performed under the SAA. The SAA’s term shall continue in effect until the later of the fourth anniversar</w:t>
      </w:r>
      <w:r>
        <w:rPr>
          <w:sz w:val="20"/>
          <w:szCs w:val="20"/>
        </w:rPr>
        <w:t>y of the SAA or the completion or termination of the research and receipt by the Company of all deliverables due from MDACC thereunder. The Company recorded $0.5 million, $1.1 million and $3.4 million associated with the SAA for the year ended December 31,</w:t>
      </w:r>
      <w:r>
        <w:rPr>
          <w:sz w:val="20"/>
          <w:szCs w:val="20"/>
        </w:rPr>
        <w:t xml:space="preserve"> 2021, 2020, and 2019 as research and development expenses, respectively.</w:t>
      </w:r>
    </w:p>
    <w:p w:rsidR="00000000" w:rsidRDefault="00F22B2C">
      <w:pPr>
        <w:pStyle w:val="a3"/>
        <w:spacing w:before="480" w:beforeAutospacing="0" w:after="0" w:afterAutospacing="0"/>
        <w:jc w:val="center"/>
        <w:divId w:val="226452928"/>
        <w:rPr>
          <w:sz w:val="20"/>
          <w:szCs w:val="20"/>
        </w:rPr>
      </w:pPr>
      <w:r>
        <w:rPr>
          <w:sz w:val="20"/>
          <w:szCs w:val="20"/>
        </w:rPr>
        <w:t>F-29</w:t>
      </w:r>
    </w:p>
    <w:p w:rsidR="00000000" w:rsidRDefault="00F22B2C">
      <w:pPr>
        <w:pStyle w:val="a3"/>
        <w:spacing w:before="0" w:beforeAutospacing="0" w:after="300" w:afterAutospacing="0"/>
        <w:divId w:val="104079166"/>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04079166"/>
        <w:rPr>
          <w:sz w:val="20"/>
          <w:szCs w:val="20"/>
        </w:rPr>
      </w:pPr>
      <w:r>
        <w:rPr>
          <w:b/>
          <w:bCs/>
          <w:sz w:val="20"/>
          <w:szCs w:val="20"/>
        </w:rPr>
        <w:t>IOVANCE BIOTHERAPEUTICS, INC.</w:t>
      </w:r>
    </w:p>
    <w:p w:rsidR="00000000" w:rsidRDefault="00F22B2C">
      <w:pPr>
        <w:pStyle w:val="a3"/>
        <w:spacing w:before="0" w:beforeAutospacing="0" w:after="300" w:afterAutospacing="0"/>
        <w:jc w:val="center"/>
        <w:divId w:val="104079166"/>
        <w:rPr>
          <w:sz w:val="20"/>
          <w:szCs w:val="20"/>
        </w:rPr>
      </w:pPr>
      <w:r>
        <w:rPr>
          <w:b/>
          <w:bCs/>
          <w:sz w:val="20"/>
          <w:szCs w:val="20"/>
        </w:rPr>
        <w:t>NOTES TO CONSOLIDATED FINANCIAL STATEMENTS</w:t>
      </w:r>
    </w:p>
    <w:p w:rsidR="00000000" w:rsidRDefault="00F22B2C">
      <w:pPr>
        <w:pStyle w:val="a3"/>
        <w:spacing w:before="0" w:beforeAutospacing="0" w:after="200" w:afterAutospacing="0"/>
        <w:divId w:val="778766034"/>
        <w:rPr>
          <w:b/>
          <w:bCs/>
          <w:sz w:val="20"/>
          <w:szCs w:val="20"/>
        </w:rPr>
      </w:pPr>
      <w:r>
        <w:rPr>
          <w:b/>
          <w:bCs/>
          <w:sz w:val="20"/>
          <w:szCs w:val="20"/>
        </w:rPr>
        <w:t>WuXi Advanced Therapies, Inc.</w:t>
      </w:r>
    </w:p>
    <w:p w:rsidR="00000000" w:rsidRDefault="00F22B2C">
      <w:pPr>
        <w:pStyle w:val="a3"/>
        <w:spacing w:before="0" w:beforeAutospacing="0" w:after="200" w:afterAutospacing="0"/>
        <w:ind w:firstLine="547"/>
        <w:divId w:val="778766034"/>
        <w:rPr>
          <w:sz w:val="20"/>
          <w:szCs w:val="20"/>
        </w:rPr>
      </w:pPr>
      <w:r>
        <w:rPr>
          <w:sz w:val="20"/>
          <w:szCs w:val="20"/>
        </w:rPr>
        <w:t>In November 2016, the Company entered into a three-year manufacturing and services agreement (“MSA”) with WuXi Advanced Therapies, Inc. (“WuXi”) pursuant to which WuXi agreed to provide manufacturing and other services, which has since been amended and ass</w:t>
      </w:r>
      <w:r>
        <w:rPr>
          <w:sz w:val="20"/>
          <w:szCs w:val="20"/>
        </w:rPr>
        <w:t>igned to our subsidiary Iovance Biotherapeutics Manufacturing LLC. Under the agreement, the Company entered into two statements of work for two cGMP manufacturing suites to be established and operated by WuXi for the Company, both of the suites are expecte</w:t>
      </w:r>
      <w:r>
        <w:rPr>
          <w:sz w:val="20"/>
          <w:szCs w:val="20"/>
        </w:rPr>
        <w:t>d to be capable of being used for the commercial manufacture of its products. The terms of the related statements of work currently extend to February 2022 for the first statement of work and were extended to December 2022 for the second statement of work.</w:t>
      </w:r>
      <w:r>
        <w:rPr>
          <w:sz w:val="20"/>
          <w:szCs w:val="20"/>
        </w:rPr>
        <w:t xml:space="preserve"> The Company recorded costs associated with agreements with WuXi of $17.5 million, $20.6 million, and $28.4 million for the years ended December 31, 2021, 2020, and 2019 respectively, as research and development expenses.</w:t>
      </w:r>
    </w:p>
    <w:p w:rsidR="00000000" w:rsidRDefault="00F22B2C">
      <w:pPr>
        <w:pStyle w:val="a3"/>
        <w:spacing w:before="0" w:beforeAutospacing="0" w:after="200" w:afterAutospacing="0"/>
        <w:divId w:val="778766034"/>
        <w:rPr>
          <w:i/>
          <w:iCs/>
          <w:sz w:val="20"/>
          <w:szCs w:val="20"/>
        </w:rPr>
      </w:pPr>
      <w:r>
        <w:rPr>
          <w:b/>
          <w:bCs/>
          <w:sz w:val="20"/>
          <w:szCs w:val="20"/>
        </w:rPr>
        <w:t>Cellectis S.A</w:t>
      </w:r>
      <w:r>
        <w:rPr>
          <w:i/>
          <w:iCs/>
          <w:sz w:val="20"/>
          <w:szCs w:val="20"/>
        </w:rPr>
        <w:t>.</w:t>
      </w:r>
    </w:p>
    <w:p w:rsidR="00000000" w:rsidRDefault="00F22B2C">
      <w:pPr>
        <w:pStyle w:val="a3"/>
        <w:spacing w:before="0" w:beforeAutospacing="0" w:after="200" w:afterAutospacing="0"/>
        <w:ind w:firstLine="547"/>
        <w:divId w:val="778766034"/>
        <w:rPr>
          <w:sz w:val="20"/>
          <w:szCs w:val="20"/>
        </w:rPr>
      </w:pPr>
      <w:r>
        <w:rPr>
          <w:sz w:val="20"/>
          <w:szCs w:val="20"/>
        </w:rPr>
        <w:t>On December 31, 201</w:t>
      </w:r>
      <w:r>
        <w:rPr>
          <w:sz w:val="20"/>
          <w:szCs w:val="20"/>
        </w:rPr>
        <w:t xml:space="preserve">9, the Company entered into a research collaboration and exclusive worldwide license agreement whereby the Company will license gene-editing technology from Cellectis S.A. (“Cellectis”), a clinical-stage biopharmaceutical company, to develop TIL therapies </w:t>
      </w:r>
      <w:r>
        <w:rPr>
          <w:sz w:val="20"/>
          <w:szCs w:val="20"/>
        </w:rPr>
        <w:t>that have been genetically edited. Financial terms of the license include development, regulatory and sales milestone payments from the Company to Cellectis, as well as royalty payments based on net sales of TALEN®-modified TIL products. The Company record</w:t>
      </w:r>
      <w:r>
        <w:rPr>
          <w:sz w:val="20"/>
          <w:szCs w:val="20"/>
        </w:rPr>
        <w:t>ed costs associated with the license agreement from Cellectis of $0.4 million the years ended December 31, 2021, and 2020 respectively.</w:t>
      </w:r>
    </w:p>
    <w:p w:rsidR="00000000" w:rsidRDefault="00F22B2C">
      <w:pPr>
        <w:pStyle w:val="a3"/>
        <w:spacing w:before="0" w:beforeAutospacing="0" w:after="200" w:afterAutospacing="0"/>
        <w:divId w:val="778766034"/>
        <w:rPr>
          <w:i/>
          <w:iCs/>
          <w:sz w:val="20"/>
          <w:szCs w:val="20"/>
        </w:rPr>
      </w:pPr>
      <w:r>
        <w:rPr>
          <w:b/>
          <w:bCs/>
          <w:sz w:val="20"/>
          <w:szCs w:val="20"/>
        </w:rPr>
        <w:t>Novartis Pharma AG</w:t>
      </w:r>
    </w:p>
    <w:p w:rsidR="00000000" w:rsidRDefault="00F22B2C">
      <w:pPr>
        <w:pStyle w:val="a3"/>
        <w:spacing w:before="0" w:beforeAutospacing="0" w:after="0" w:afterAutospacing="0"/>
        <w:ind w:firstLine="547"/>
        <w:divId w:val="778766034"/>
        <w:rPr>
          <w:sz w:val="20"/>
          <w:szCs w:val="20"/>
        </w:rPr>
      </w:pPr>
      <w:r>
        <w:rPr>
          <w:sz w:val="20"/>
          <w:szCs w:val="20"/>
        </w:rPr>
        <w:t>On January 9, 2020, the Company obtained a license from Novartis Pharma AG (“Novartis”) to develop an</w:t>
      </w:r>
      <w:r>
        <w:rPr>
          <w:sz w:val="20"/>
          <w:szCs w:val="20"/>
        </w:rPr>
        <w:t>d commercialize an antibody cytokine engrafted protein, which the Company refers to as IOV-3001. Under the agreement, the Company paid an upfront payment to Novartis and may pay future milestones related to initiation of patient dosing in various phases of</w:t>
      </w:r>
      <w:r>
        <w:rPr>
          <w:sz w:val="20"/>
          <w:szCs w:val="20"/>
        </w:rPr>
        <w:t xml:space="preserve"> clinical development for IOV-3001 and approval of the product in the U.S., EU and Japan. Novartis is also entitled to low-to-mid single digit percentage royalties from commercial sales of the product. The Company recorded costs associated with the license</w:t>
      </w:r>
      <w:r>
        <w:rPr>
          <w:sz w:val="20"/>
          <w:szCs w:val="20"/>
        </w:rPr>
        <w:t xml:space="preserve"> agreement from Novartis of $10.0 million as research and development expenses for the year ended December 31, 2020. </w:t>
      </w:r>
    </w:p>
    <w:p w:rsidR="00000000" w:rsidRDefault="00F22B2C">
      <w:pPr>
        <w:pStyle w:val="a3"/>
        <w:spacing w:before="0" w:beforeAutospacing="0" w:after="0" w:afterAutospacing="0"/>
        <w:ind w:firstLine="360"/>
        <w:divId w:val="778766034"/>
        <w:rPr>
          <w:sz w:val="20"/>
          <w:szCs w:val="20"/>
        </w:rPr>
      </w:pPr>
      <w:r>
        <w:rPr>
          <w:sz w:val="20"/>
          <w:szCs w:val="20"/>
        </w:rPr>
        <w:t>​</w:t>
      </w:r>
    </w:p>
    <w:p w:rsidR="00000000" w:rsidRDefault="00F22B2C">
      <w:pPr>
        <w:pStyle w:val="a3"/>
        <w:spacing w:before="0" w:beforeAutospacing="0" w:after="200" w:afterAutospacing="0"/>
        <w:divId w:val="778766034"/>
        <w:rPr>
          <w:b/>
          <w:bCs/>
          <w:sz w:val="20"/>
          <w:szCs w:val="20"/>
        </w:rPr>
      </w:pPr>
      <w:r>
        <w:rPr>
          <w:b/>
          <w:bCs/>
          <w:sz w:val="20"/>
          <w:szCs w:val="20"/>
        </w:rPr>
        <w:t>NOTE 10. LEASES</w:t>
      </w:r>
    </w:p>
    <w:p w:rsidR="00000000" w:rsidRDefault="00F22B2C">
      <w:pPr>
        <w:pStyle w:val="a3"/>
        <w:spacing w:before="0" w:beforeAutospacing="0" w:after="200" w:afterAutospacing="0"/>
        <w:divId w:val="778766034"/>
        <w:rPr>
          <w:b/>
          <w:bCs/>
          <w:sz w:val="20"/>
          <w:szCs w:val="20"/>
        </w:rPr>
      </w:pPr>
      <w:r>
        <w:rPr>
          <w:b/>
          <w:bCs/>
          <w:sz w:val="20"/>
          <w:szCs w:val="20"/>
        </w:rPr>
        <w:t>Operating Leases</w:t>
      </w:r>
    </w:p>
    <w:p w:rsidR="00000000" w:rsidRDefault="00F22B2C">
      <w:pPr>
        <w:pStyle w:val="a3"/>
        <w:spacing w:before="0" w:beforeAutospacing="0" w:after="200" w:afterAutospacing="0"/>
        <w:ind w:firstLine="547"/>
        <w:divId w:val="778766034"/>
        <w:rPr>
          <w:sz w:val="20"/>
          <w:szCs w:val="20"/>
        </w:rPr>
      </w:pPr>
      <w:r>
        <w:rPr>
          <w:sz w:val="20"/>
          <w:szCs w:val="20"/>
        </w:rPr>
        <w:t>The Company leases corporate office space in California, including 49,918 square feet for its new corpo</w:t>
      </w:r>
      <w:r>
        <w:rPr>
          <w:sz w:val="20"/>
          <w:szCs w:val="20"/>
        </w:rPr>
        <w:t>rate headquarters’ office space in San Carlos, California, manufacturing, research and development lab facilities and office space in Pennsylvania, including 136,000 square feet of commercial manufacturing and lab space in Philadelphia, Pennsylvania, and r</w:t>
      </w:r>
      <w:r>
        <w:rPr>
          <w:sz w:val="20"/>
          <w:szCs w:val="20"/>
        </w:rPr>
        <w:t>esearch and development lab facilities in Florida. The determination if an arrangement is a lease occurs at inception, and for leases with terms greater than</w:t>
      </w:r>
      <w:r>
        <w:rPr>
          <w:sz w:val="20"/>
          <w:szCs w:val="20"/>
        </w:rPr>
        <w:t xml:space="preserve"> </w:t>
      </w:r>
      <w:r>
        <w:rPr>
          <w:sz w:val="20"/>
          <w:szCs w:val="20"/>
        </w:rPr>
        <w:t>12 month</w:t>
      </w:r>
      <w:r>
        <w:rPr>
          <w:sz w:val="20"/>
          <w:szCs w:val="20"/>
        </w:rPr>
        <w:t>s</w:t>
      </w:r>
      <w:r>
        <w:rPr>
          <w:sz w:val="20"/>
          <w:szCs w:val="20"/>
        </w:rPr>
        <w:t>, the Company records a related right-of-use asset and lease liability at the present val</w:t>
      </w:r>
      <w:r>
        <w:rPr>
          <w:sz w:val="20"/>
          <w:szCs w:val="20"/>
        </w:rPr>
        <w:t>ue of lease payments over the term. Many leases include fixed rental escalation clauses, renewal options and/or termination options that are factored into the determination of lease payments when appropriate. The Company’s leases do not provide an implicit</w:t>
      </w:r>
      <w:r>
        <w:rPr>
          <w:sz w:val="20"/>
          <w:szCs w:val="20"/>
        </w:rPr>
        <w:t xml:space="preserve"> rate, and thus the Company estimated the incremental borrowing rate in calculating the present value of the lease payments.</w:t>
      </w:r>
      <w:r>
        <w:rPr>
          <w:sz w:val="20"/>
          <w:szCs w:val="20"/>
        </w:rPr>
        <w:t xml:space="preserve"> </w:t>
      </w:r>
    </w:p>
    <w:p w:rsidR="00000000" w:rsidRDefault="00F22B2C">
      <w:pPr>
        <w:pStyle w:val="a3"/>
        <w:spacing w:before="0" w:beforeAutospacing="0" w:after="200" w:afterAutospacing="0"/>
        <w:ind w:firstLine="547"/>
        <w:divId w:val="778766034"/>
        <w:rPr>
          <w:sz w:val="20"/>
          <w:szCs w:val="20"/>
        </w:rPr>
      </w:pPr>
      <w:r>
        <w:rPr>
          <w:sz w:val="20"/>
          <w:szCs w:val="20"/>
        </w:rPr>
        <w:t>The Company’s leases have remaining lease terms of less than one year to approximately 20 years. Some of our leases include one or</w:t>
      </w:r>
      <w:r>
        <w:rPr>
          <w:sz w:val="20"/>
          <w:szCs w:val="20"/>
        </w:rPr>
        <w:t xml:space="preserve"> more options to renew with renewal terms that can extend the lease for additional years, or options to terminate the leases, both at the Company’s discretion. The Company’s leases may include options to extend or terminate the lease, which is considered i</w:t>
      </w:r>
      <w:r>
        <w:rPr>
          <w:sz w:val="20"/>
          <w:szCs w:val="20"/>
        </w:rPr>
        <w:t xml:space="preserve">n the lease term when it is reasonably certain that the Company will exercise any such options. Lease expense for minimum lease payments is recognized on a straight-line basis based on the fixed components of a lease arrangement. </w:t>
      </w:r>
    </w:p>
    <w:p w:rsidR="00000000" w:rsidRDefault="00F22B2C">
      <w:pPr>
        <w:pStyle w:val="a3"/>
        <w:spacing w:before="0" w:beforeAutospacing="0" w:after="200" w:afterAutospacing="0"/>
        <w:ind w:firstLine="547"/>
        <w:divId w:val="778766034"/>
        <w:rPr>
          <w:sz w:val="20"/>
          <w:szCs w:val="20"/>
        </w:rPr>
      </w:pPr>
      <w:r>
        <w:rPr>
          <w:sz w:val="20"/>
          <w:szCs w:val="20"/>
        </w:rPr>
        <w:t>Variable lease cost is de</w:t>
      </w:r>
      <w:r>
        <w:rPr>
          <w:sz w:val="20"/>
          <w:szCs w:val="20"/>
        </w:rPr>
        <w:t>termined based on performance or usage in accordance with the contractual agreements, and not based on an index or rate. Such costs that are not fixed in nature are recognized as incurred.</w:t>
      </w:r>
    </w:p>
    <w:p w:rsidR="00000000" w:rsidRDefault="00F22B2C">
      <w:pPr>
        <w:pStyle w:val="a3"/>
        <w:spacing w:before="0" w:beforeAutospacing="0" w:after="200" w:afterAutospacing="0"/>
        <w:ind w:firstLine="547"/>
        <w:divId w:val="778766034"/>
        <w:rPr>
          <w:sz w:val="20"/>
          <w:szCs w:val="20"/>
        </w:rPr>
      </w:pPr>
      <w:r>
        <w:rPr>
          <w:sz w:val="20"/>
          <w:szCs w:val="20"/>
        </w:rPr>
        <w:t xml:space="preserve">The Company also leases certain furniture and equipment that has a </w:t>
      </w:r>
      <w:r>
        <w:rPr>
          <w:sz w:val="20"/>
          <w:szCs w:val="20"/>
        </w:rPr>
        <w:t>lease term of 12 months or less. Since the lease agreement do not include an option to purchase the underlying asset, the Company elected not to apply the recognition requirements of Topic 842 for short-term leases, however, the lease costs that pertain to</w:t>
      </w:r>
      <w:r>
        <w:rPr>
          <w:sz w:val="20"/>
          <w:szCs w:val="20"/>
        </w:rPr>
        <w:t xml:space="preserve"> the short-term leases are disclosed in the components of lease costs table below.</w:t>
      </w:r>
    </w:p>
    <w:p w:rsidR="00000000" w:rsidRDefault="00F22B2C">
      <w:pPr>
        <w:pStyle w:val="a3"/>
        <w:spacing w:before="480" w:beforeAutospacing="0" w:after="0" w:afterAutospacing="0"/>
        <w:jc w:val="center"/>
        <w:divId w:val="937761274"/>
        <w:rPr>
          <w:sz w:val="20"/>
          <w:szCs w:val="20"/>
        </w:rPr>
      </w:pPr>
      <w:r>
        <w:rPr>
          <w:sz w:val="20"/>
          <w:szCs w:val="20"/>
        </w:rPr>
        <w:t>F-30</w:t>
      </w:r>
    </w:p>
    <w:p w:rsidR="00000000" w:rsidRDefault="00F22B2C">
      <w:pPr>
        <w:pStyle w:val="a3"/>
        <w:spacing w:before="0" w:beforeAutospacing="0" w:after="300" w:afterAutospacing="0"/>
        <w:divId w:val="1757938842"/>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757938842"/>
        <w:rPr>
          <w:sz w:val="20"/>
          <w:szCs w:val="20"/>
        </w:rPr>
      </w:pPr>
      <w:r>
        <w:rPr>
          <w:b/>
          <w:bCs/>
          <w:sz w:val="20"/>
          <w:szCs w:val="20"/>
        </w:rPr>
        <w:t>IOVANCE BIOTHERAPEUTICS, INC.</w:t>
      </w:r>
    </w:p>
    <w:p w:rsidR="00000000" w:rsidRDefault="00F22B2C">
      <w:pPr>
        <w:pStyle w:val="a3"/>
        <w:spacing w:before="0" w:beforeAutospacing="0" w:after="300" w:afterAutospacing="0"/>
        <w:jc w:val="center"/>
        <w:divId w:val="1757938842"/>
        <w:rPr>
          <w:sz w:val="20"/>
          <w:szCs w:val="20"/>
        </w:rPr>
      </w:pPr>
      <w:r>
        <w:rPr>
          <w:b/>
          <w:bCs/>
          <w:sz w:val="20"/>
          <w:szCs w:val="20"/>
        </w:rPr>
        <w:t>NOTES TO CONSOLIDATED FINANCIAL STATEMENTS</w:t>
      </w:r>
    </w:p>
    <w:p w:rsidR="00000000" w:rsidRDefault="00F22B2C">
      <w:pPr>
        <w:pStyle w:val="a3"/>
        <w:spacing w:before="0" w:beforeAutospacing="0" w:after="200" w:afterAutospacing="0"/>
        <w:divId w:val="1606886938"/>
        <w:rPr>
          <w:sz w:val="20"/>
          <w:szCs w:val="20"/>
        </w:rPr>
      </w:pPr>
      <w:r>
        <w:rPr>
          <w:b/>
          <w:bCs/>
          <w:sz w:val="20"/>
          <w:szCs w:val="20"/>
        </w:rPr>
        <w:t>Manufacturing Contracts</w:t>
      </w:r>
    </w:p>
    <w:p w:rsidR="00000000" w:rsidRDefault="00F22B2C">
      <w:pPr>
        <w:pStyle w:val="a3"/>
        <w:spacing w:before="0" w:beforeAutospacing="0" w:after="200" w:afterAutospacing="0"/>
        <w:ind w:firstLine="547"/>
        <w:divId w:val="1606886938"/>
        <w:rPr>
          <w:sz w:val="20"/>
          <w:szCs w:val="20"/>
        </w:rPr>
      </w:pPr>
      <w:r>
        <w:rPr>
          <w:sz w:val="20"/>
          <w:szCs w:val="20"/>
        </w:rPr>
        <w:t>The Company uses contract m</w:t>
      </w:r>
      <w:r>
        <w:rPr>
          <w:sz w:val="20"/>
          <w:szCs w:val="20"/>
        </w:rPr>
        <w:t>anufacturing organizations (collectively the “CMOs” and each a “CMO”) to manufacture and supply TILs for clinical and commercial purposes. The CMO contractual obligations consist of the use of manufacturing facilities and minimum fixed commitment fees, suc</w:t>
      </w:r>
      <w:r>
        <w:rPr>
          <w:sz w:val="20"/>
          <w:szCs w:val="20"/>
        </w:rPr>
        <w:t xml:space="preserve">h as personnel, general support fees, and minimum production or material fees. In addition to the minimum fixed commitment fees, the CMO contractual obligations include variable costs such as production and material costs in excess of the minimum quantity </w:t>
      </w:r>
      <w:r>
        <w:rPr>
          <w:sz w:val="20"/>
          <w:szCs w:val="20"/>
        </w:rPr>
        <w:t>specified in each CMO agreement. During the term of each CMO agreement, the Company has access to and control of the use of a dedicated suite in each of the CMOs’ facilities for manufacturing activities. The contracts with CMOs generally contain embedded o</w:t>
      </w:r>
      <w:r>
        <w:rPr>
          <w:sz w:val="20"/>
          <w:szCs w:val="20"/>
        </w:rPr>
        <w:t>perating leases based on the fact that the suites are used for the Company’s production are implicitly identified, are used exclusively by the Company during the contractual term of the arrangements, and the CMOs have no substantive contractual rights to s</w:t>
      </w:r>
      <w:r>
        <w:rPr>
          <w:sz w:val="20"/>
          <w:szCs w:val="20"/>
        </w:rPr>
        <w:t>ubstitute the facilities used by the Company. Further, the Company controls the use of the facilities by obtaining all of the economic benefits from the use of the facilities and direct the use of the facilities throughout the period of use. The terms of t</w:t>
      </w:r>
      <w:r>
        <w:rPr>
          <w:sz w:val="20"/>
          <w:szCs w:val="20"/>
        </w:rPr>
        <w:t>he CMO contracts include options to terminate the lease with an advance notice of five to six months. The termination clauses and extension clauses are included in the calculation of the lease term for each of the CMOs when it is reasonably certain that it</w:t>
      </w:r>
      <w:r>
        <w:rPr>
          <w:sz w:val="20"/>
          <w:szCs w:val="20"/>
        </w:rPr>
        <w:t xml:space="preserve"> will not exercise such options.</w:t>
      </w:r>
    </w:p>
    <w:p w:rsidR="00000000" w:rsidRDefault="00F22B2C">
      <w:pPr>
        <w:pStyle w:val="a3"/>
        <w:spacing w:before="0" w:beforeAutospacing="0" w:after="200" w:afterAutospacing="0"/>
        <w:ind w:firstLine="547"/>
        <w:divId w:val="1606886938"/>
        <w:rPr>
          <w:sz w:val="20"/>
          <w:szCs w:val="20"/>
        </w:rPr>
      </w:pPr>
      <w:r>
        <w:rPr>
          <w:sz w:val="20"/>
          <w:szCs w:val="20"/>
        </w:rPr>
        <w:t>For contracts with multiple deliverables, Topic 842 requires the Company to first identify a lease deliverable and non-lease deliverable included in the arrangements, and then allocate the fixed contractual consideration to the lease deliverable(s) and the</w:t>
      </w:r>
      <w:r>
        <w:rPr>
          <w:sz w:val="20"/>
          <w:szCs w:val="20"/>
        </w:rPr>
        <w:t xml:space="preserve"> non-lease deliverable(s) on a relative standalone selling price basis to determine the amount of operating lease right-of-use assets and liabilities. The Company identified the use of a dedicated suite as a single lease deliverable, and related labor serv</w:t>
      </w:r>
      <w:r>
        <w:rPr>
          <w:sz w:val="20"/>
          <w:szCs w:val="20"/>
        </w:rPr>
        <w:t>ices as a single non-lease deliverable in each of the CMO arrangements. Judgment is required to determine the relative standalone selling price of each deliverable as the observable standalone selling prices are not readily available. Therefore, management</w:t>
      </w:r>
      <w:r>
        <w:rPr>
          <w:sz w:val="20"/>
          <w:szCs w:val="20"/>
        </w:rPr>
        <w:t xml:space="preserve"> uses estimates and assumptions in determining relative standalone selling price of lease of a suite and labor service using information that includes market and other observable inputs to the extent possible.</w:t>
      </w:r>
    </w:p>
    <w:p w:rsidR="00000000" w:rsidRDefault="00F22B2C">
      <w:pPr>
        <w:pStyle w:val="a3"/>
        <w:spacing w:before="0" w:beforeAutospacing="0" w:after="0" w:afterAutospacing="0"/>
        <w:ind w:firstLine="547"/>
        <w:divId w:val="1606886938"/>
        <w:rPr>
          <w:sz w:val="20"/>
          <w:szCs w:val="20"/>
        </w:rPr>
      </w:pPr>
      <w:r>
        <w:rPr>
          <w:sz w:val="20"/>
          <w:szCs w:val="20"/>
        </w:rPr>
        <w:t>The balance sheet classification of the Compan</w:t>
      </w:r>
      <w:r>
        <w:rPr>
          <w:sz w:val="20"/>
          <w:szCs w:val="20"/>
        </w:rPr>
        <w:t>y’s right-of-use asset and lease liabilities was as follows (in thousands):</w:t>
      </w:r>
    </w:p>
    <w:p w:rsidR="00000000" w:rsidRDefault="00F22B2C">
      <w:pPr>
        <w:pStyle w:val="a3"/>
        <w:spacing w:before="0" w:beforeAutospacing="0" w:after="0" w:afterAutospacing="0"/>
        <w:ind w:firstLine="360"/>
        <w:divId w:val="160688693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00"/>
        <w:gridCol w:w="160"/>
        <w:gridCol w:w="142"/>
        <w:gridCol w:w="1151"/>
        <w:gridCol w:w="160"/>
        <w:gridCol w:w="142"/>
        <w:gridCol w:w="1151"/>
      </w:tblGrid>
      <w:tr w:rsidR="00000000">
        <w:trPr>
          <w:divId w:val="1606886938"/>
          <w:trHeight w:val="20"/>
        </w:trPr>
        <w:tc>
          <w:tcPr>
            <w:tcW w:w="3513" w:type="pct"/>
            <w:tcMar>
              <w:top w:w="0" w:type="dxa"/>
              <w:left w:w="0" w:type="dxa"/>
              <w:bottom w:w="0" w:type="dxa"/>
              <w:right w:w="0" w:type="dxa"/>
            </w:tcMar>
            <w:vAlign w:val="bottom"/>
            <w:hideMark/>
          </w:tcPr>
          <w:p w:rsidR="00000000" w:rsidRDefault="00F22B2C">
            <w:pPr>
              <w:pStyle w:val="a3"/>
              <w:spacing w:before="0" w:beforeAutospacing="0" w:after="0" w:afterAutospacing="0"/>
              <w:divId w:val="11325553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09760217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893664362"/>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633560098"/>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781800332"/>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572155354"/>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979071850"/>
              <w:rPr>
                <w:sz w:val="20"/>
                <w:szCs w:val="20"/>
              </w:rPr>
            </w:pPr>
            <w:r>
              <w:rPr>
                <w:sz w:val="2"/>
                <w:szCs w:val="2"/>
              </w:rPr>
              <w:t>​</w:t>
            </w:r>
          </w:p>
        </w:tc>
      </w:tr>
      <w:tr w:rsidR="00000000">
        <w:trPr>
          <w:divId w:val="1606886938"/>
        </w:trPr>
        <w:tc>
          <w:tcPr>
            <w:tcW w:w="3513"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December 31, 2021</w:t>
            </w:r>
          </w:p>
        </w:tc>
        <w:tc>
          <w:tcPr>
            <w:tcW w:w="111"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December 31, 2020</w:t>
            </w:r>
          </w:p>
        </w:tc>
      </w:tr>
      <w:tr w:rsidR="00000000">
        <w:trPr>
          <w:divId w:val="1606886938"/>
        </w:trPr>
        <w:tc>
          <w:tcPr>
            <w:tcW w:w="351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Operating lease right-of-use assets</w:t>
            </w:r>
          </w:p>
        </w:tc>
        <w:tc>
          <w:tcPr>
            <w:tcW w:w="11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68,983</w:t>
            </w:r>
          </w:p>
        </w:tc>
        <w:tc>
          <w:tcPr>
            <w:tcW w:w="11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54,756</w:t>
            </w:r>
          </w:p>
        </w:tc>
      </w:tr>
      <w:tr w:rsidR="00000000">
        <w:trPr>
          <w:divId w:val="1606886938"/>
        </w:trPr>
        <w:tc>
          <w:tcPr>
            <w:tcW w:w="3513"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Operating lease liabilities</w:t>
            </w:r>
          </w:p>
        </w:tc>
        <w:tc>
          <w:tcPr>
            <w:tcW w:w="11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  </w:t>
            </w:r>
          </w:p>
        </w:tc>
        <w:tc>
          <w:tcPr>
            <w:tcW w:w="111"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  </w:t>
            </w:r>
          </w:p>
        </w:tc>
      </w:tr>
      <w:tr w:rsidR="00000000">
        <w:trPr>
          <w:divId w:val="1606886938"/>
        </w:trPr>
        <w:tc>
          <w:tcPr>
            <w:tcW w:w="351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ind w:left="120"/>
              <w:rPr>
                <w:sz w:val="20"/>
                <w:szCs w:val="20"/>
              </w:rPr>
            </w:pPr>
            <w:r>
              <w:rPr>
                <w:sz w:val="20"/>
                <w:szCs w:val="20"/>
              </w:rPr>
              <w:t>Current portion included in current liabilities</w:t>
            </w:r>
          </w:p>
        </w:tc>
        <w:tc>
          <w:tcPr>
            <w:tcW w:w="11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5,057</w:t>
            </w:r>
          </w:p>
        </w:tc>
        <w:tc>
          <w:tcPr>
            <w:tcW w:w="11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6,284</w:t>
            </w:r>
          </w:p>
        </w:tc>
      </w:tr>
      <w:tr w:rsidR="00000000">
        <w:trPr>
          <w:divId w:val="1606886938"/>
        </w:trPr>
        <w:tc>
          <w:tcPr>
            <w:tcW w:w="3513" w:type="pct"/>
            <w:tcMar>
              <w:top w:w="0" w:type="dxa"/>
              <w:left w:w="0" w:type="dxa"/>
              <w:bottom w:w="0" w:type="dxa"/>
              <w:right w:w="0" w:type="dxa"/>
            </w:tcMar>
            <w:vAlign w:val="bottom"/>
            <w:hideMark/>
          </w:tcPr>
          <w:p w:rsidR="00000000" w:rsidRDefault="00F22B2C">
            <w:pPr>
              <w:pStyle w:val="a3"/>
              <w:spacing w:before="0" w:beforeAutospacing="0" w:after="0" w:afterAutospacing="0"/>
              <w:ind w:left="120"/>
              <w:rPr>
                <w:sz w:val="20"/>
                <w:szCs w:val="20"/>
              </w:rPr>
            </w:pPr>
            <w:r>
              <w:rPr>
                <w:sz w:val="20"/>
                <w:szCs w:val="20"/>
              </w:rPr>
              <w:t>Long-term portion included in non-current liabilities</w:t>
            </w:r>
          </w:p>
        </w:tc>
        <w:tc>
          <w:tcPr>
            <w:tcW w:w="111"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65,474</w:t>
            </w:r>
          </w:p>
        </w:tc>
        <w:tc>
          <w:tcPr>
            <w:tcW w:w="111"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45,375</w:t>
            </w:r>
          </w:p>
        </w:tc>
      </w:tr>
      <w:tr w:rsidR="00000000">
        <w:trPr>
          <w:divId w:val="1606886938"/>
        </w:trPr>
        <w:tc>
          <w:tcPr>
            <w:tcW w:w="3513"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ind w:left="240"/>
              <w:rPr>
                <w:sz w:val="20"/>
                <w:szCs w:val="20"/>
              </w:rPr>
            </w:pPr>
            <w:r>
              <w:rPr>
                <w:sz w:val="20"/>
                <w:szCs w:val="20"/>
              </w:rPr>
              <w:t>Total operating lease liabilities</w:t>
            </w:r>
          </w:p>
        </w:tc>
        <w:tc>
          <w:tcPr>
            <w:tcW w:w="11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70,531</w:t>
            </w:r>
          </w:p>
        </w:tc>
        <w:tc>
          <w:tcPr>
            <w:tcW w:w="11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51,659</w:t>
            </w:r>
          </w:p>
        </w:tc>
      </w:tr>
    </w:tbl>
    <w:p w:rsidR="00000000" w:rsidRDefault="00F22B2C">
      <w:pPr>
        <w:pStyle w:val="a3"/>
        <w:spacing w:before="0" w:beforeAutospacing="0" w:after="0" w:afterAutospacing="0"/>
        <w:ind w:firstLine="360"/>
        <w:divId w:val="1606886938"/>
        <w:rPr>
          <w:sz w:val="20"/>
          <w:szCs w:val="20"/>
        </w:rPr>
      </w:pPr>
      <w:r>
        <w:rPr>
          <w:sz w:val="20"/>
          <w:szCs w:val="20"/>
        </w:rPr>
        <w:t>​</w:t>
      </w:r>
    </w:p>
    <w:p w:rsidR="00000000" w:rsidRDefault="00F22B2C">
      <w:pPr>
        <w:pStyle w:val="a3"/>
        <w:spacing w:before="0" w:beforeAutospacing="0" w:after="0" w:afterAutospacing="0"/>
        <w:ind w:firstLine="547"/>
        <w:divId w:val="1606886938"/>
        <w:rPr>
          <w:sz w:val="20"/>
          <w:szCs w:val="20"/>
        </w:rPr>
      </w:pPr>
      <w:r>
        <w:rPr>
          <w:sz w:val="20"/>
          <w:szCs w:val="20"/>
        </w:rPr>
        <w:t>The following table summarizes components of lease expenses, which were included in Total expenses in the Company’s Consolidated Statements of Operations, and other information related to our operating leases as follows (in thousands, except weighted-avera</w:t>
      </w:r>
      <w:r>
        <w:rPr>
          <w:sz w:val="20"/>
          <w:szCs w:val="20"/>
        </w:rPr>
        <w:t>ge remaining lease terms and discount rates):</w:t>
      </w:r>
    </w:p>
    <w:p w:rsidR="00000000" w:rsidRDefault="00F22B2C">
      <w:pPr>
        <w:pStyle w:val="a3"/>
        <w:spacing w:before="0" w:beforeAutospacing="0" w:after="0" w:afterAutospacing="0"/>
        <w:ind w:firstLine="547"/>
        <w:divId w:val="160688693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25"/>
        <w:gridCol w:w="210"/>
        <w:gridCol w:w="145"/>
        <w:gridCol w:w="1148"/>
        <w:gridCol w:w="209"/>
        <w:gridCol w:w="145"/>
        <w:gridCol w:w="1148"/>
        <w:gridCol w:w="176"/>
      </w:tblGrid>
      <w:tr w:rsidR="00000000">
        <w:trPr>
          <w:divId w:val="1606886938"/>
          <w:trHeight w:val="20"/>
        </w:trPr>
        <w:tc>
          <w:tcPr>
            <w:tcW w:w="3084" w:type="pct"/>
            <w:tcMar>
              <w:top w:w="0" w:type="dxa"/>
              <w:left w:w="0" w:type="dxa"/>
              <w:bottom w:w="0" w:type="dxa"/>
              <w:right w:w="0" w:type="dxa"/>
            </w:tcMar>
            <w:vAlign w:val="bottom"/>
            <w:hideMark/>
          </w:tcPr>
          <w:p w:rsidR="00000000" w:rsidRDefault="00F22B2C">
            <w:pPr>
              <w:pStyle w:val="a3"/>
              <w:spacing w:before="0" w:beforeAutospacing="0" w:after="0" w:afterAutospacing="0"/>
              <w:divId w:val="147091692"/>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00915742"/>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1205756243"/>
              <w:rPr>
                <w:sz w:val="20"/>
                <w:szCs w:val="20"/>
              </w:rPr>
            </w:pPr>
            <w:r>
              <w:rPr>
                <w:sz w:val="2"/>
                <w:szCs w:val="2"/>
              </w:rPr>
              <w:t>​</w:t>
            </w:r>
          </w:p>
        </w:tc>
        <w:tc>
          <w:tcPr>
            <w:tcW w:w="690"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820728620"/>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93166624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377291009"/>
              <w:rPr>
                <w:sz w:val="20"/>
                <w:szCs w:val="20"/>
              </w:rPr>
            </w:pPr>
            <w:r>
              <w:rPr>
                <w:sz w:val="2"/>
                <w:szCs w:val="2"/>
              </w:rPr>
              <w:t>​</w:t>
            </w:r>
          </w:p>
        </w:tc>
        <w:tc>
          <w:tcPr>
            <w:tcW w:w="689"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68960147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0" w:afterAutospacing="0"/>
              <w:divId w:val="42021309"/>
              <w:rPr>
                <w:sz w:val="20"/>
                <w:szCs w:val="20"/>
              </w:rPr>
            </w:pPr>
            <w:r>
              <w:rPr>
                <w:sz w:val="2"/>
                <w:szCs w:val="2"/>
              </w:rPr>
              <w:t>​</w:t>
            </w:r>
          </w:p>
        </w:tc>
      </w:tr>
      <w:tr w:rsidR="00000000">
        <w:trPr>
          <w:divId w:val="1606886938"/>
        </w:trPr>
        <w:tc>
          <w:tcPr>
            <w:tcW w:w="3084"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16"/>
                <w:szCs w:val="16"/>
              </w:rPr>
              <w:t>​</w:t>
            </w:r>
          </w:p>
        </w:tc>
        <w:tc>
          <w:tcPr>
            <w:tcW w:w="777" w:type="pct"/>
            <w:gridSpan w:val="2"/>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For the Year</w:t>
            </w:r>
          </w:p>
        </w:tc>
        <w:tc>
          <w:tcPr>
            <w:tcW w:w="12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776" w:type="pct"/>
            <w:gridSpan w:val="2"/>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For the Year</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r>
      <w:tr w:rsidR="00000000">
        <w:trPr>
          <w:divId w:val="1606886938"/>
        </w:trPr>
        <w:tc>
          <w:tcPr>
            <w:tcW w:w="3084"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b/>
                <w:bCs/>
                <w:sz w:val="16"/>
                <w:szCs w:val="16"/>
              </w:rPr>
              <w:t>​</w:t>
            </w:r>
          </w:p>
        </w:tc>
        <w:tc>
          <w:tcPr>
            <w:tcW w:w="777" w:type="pct"/>
            <w:gridSpan w:val="2"/>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Ended</w:t>
            </w:r>
          </w:p>
        </w:tc>
        <w:tc>
          <w:tcPr>
            <w:tcW w:w="12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20"/>
                <w:szCs w:val="20"/>
              </w:rPr>
            </w:pPr>
            <w:r>
              <w:rPr>
                <w:b/>
                <w:bCs/>
                <w:sz w:val="16"/>
                <w:szCs w:val="16"/>
              </w:rPr>
              <w:t>​</w:t>
            </w:r>
          </w:p>
        </w:tc>
        <w:tc>
          <w:tcPr>
            <w:tcW w:w="776" w:type="pct"/>
            <w:gridSpan w:val="2"/>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Ended</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r>
      <w:tr w:rsidR="00000000">
        <w:trPr>
          <w:divId w:val="1606886938"/>
        </w:trPr>
        <w:tc>
          <w:tcPr>
            <w:tcW w:w="3084"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777"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December 31, 2021</w:t>
            </w:r>
          </w:p>
        </w:tc>
        <w:tc>
          <w:tcPr>
            <w:tcW w:w="12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c>
          <w:tcPr>
            <w:tcW w:w="776"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December 31, 2020</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0" w:afterAutospacing="0"/>
              <w:jc w:val="center"/>
              <w:rPr>
                <w:sz w:val="16"/>
                <w:szCs w:val="16"/>
              </w:rPr>
            </w:pPr>
            <w:r>
              <w:rPr>
                <w:b/>
                <w:bCs/>
                <w:sz w:val="16"/>
                <w:szCs w:val="16"/>
              </w:rPr>
              <w:t> </w:t>
            </w:r>
          </w:p>
        </w:tc>
      </w:tr>
      <w:tr w:rsidR="00000000">
        <w:trPr>
          <w:divId w:val="1606886938"/>
        </w:trPr>
        <w:tc>
          <w:tcPr>
            <w:tcW w:w="308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Operating lease cost</w:t>
            </w:r>
          </w:p>
        </w:tc>
        <w:tc>
          <w:tcPr>
            <w:tcW w:w="12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15,341</w:t>
            </w:r>
          </w:p>
        </w:tc>
        <w:tc>
          <w:tcPr>
            <w:tcW w:w="1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8,728</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606886938"/>
        </w:trPr>
        <w:tc>
          <w:tcPr>
            <w:tcW w:w="3084" w:type="pct"/>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Variable lease cost</w:t>
            </w:r>
          </w:p>
        </w:tc>
        <w:tc>
          <w:tcPr>
            <w:tcW w:w="12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4,649</w:t>
            </w:r>
          </w:p>
        </w:tc>
        <w:tc>
          <w:tcPr>
            <w:tcW w:w="126"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5,585</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606886938"/>
        </w:trPr>
        <w:tc>
          <w:tcPr>
            <w:tcW w:w="308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Short-term lease cost</w:t>
            </w:r>
          </w:p>
        </w:tc>
        <w:tc>
          <w:tcPr>
            <w:tcW w:w="12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119</w:t>
            </w:r>
          </w:p>
        </w:tc>
        <w:tc>
          <w:tcPr>
            <w:tcW w:w="1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 </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91</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606886938"/>
        </w:trPr>
        <w:tc>
          <w:tcPr>
            <w:tcW w:w="3084" w:type="pct"/>
            <w:tcMar>
              <w:top w:w="0" w:type="dxa"/>
              <w:left w:w="0" w:type="dxa"/>
              <w:bottom w:w="0" w:type="dxa"/>
              <w:right w:w="0" w:type="dxa"/>
            </w:tcMar>
            <w:vAlign w:val="bottom"/>
            <w:hideMark/>
          </w:tcPr>
          <w:p w:rsidR="00000000" w:rsidRDefault="00F22B2C">
            <w:pPr>
              <w:pStyle w:val="a3"/>
              <w:spacing w:before="0" w:beforeAutospacing="0" w:after="0" w:afterAutospacing="0"/>
              <w:ind w:left="120"/>
              <w:rPr>
                <w:sz w:val="20"/>
                <w:szCs w:val="20"/>
              </w:rPr>
            </w:pPr>
            <w:r>
              <w:rPr>
                <w:sz w:val="20"/>
                <w:szCs w:val="20"/>
              </w:rPr>
              <w:t>Total lease cost</w:t>
            </w:r>
          </w:p>
        </w:tc>
        <w:tc>
          <w:tcPr>
            <w:tcW w:w="12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20,109</w:t>
            </w:r>
          </w:p>
        </w:tc>
        <w:tc>
          <w:tcPr>
            <w:tcW w:w="126"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89"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14,404</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606886938"/>
        </w:trPr>
        <w:tc>
          <w:tcPr>
            <w:tcW w:w="308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color w:val="FF0000"/>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606886938"/>
        </w:trPr>
        <w:tc>
          <w:tcPr>
            <w:tcW w:w="3084"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i/>
                <w:iCs/>
                <w:sz w:val="20"/>
                <w:szCs w:val="20"/>
              </w:rPr>
              <w:t>Other information</w:t>
            </w:r>
          </w:p>
        </w:tc>
        <w:tc>
          <w:tcPr>
            <w:tcW w:w="12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color w:val="FF0000"/>
                <w:sz w:val="20"/>
                <w:szCs w:val="20"/>
              </w:rPr>
              <w:t>​</w:t>
            </w:r>
          </w:p>
        </w:tc>
        <w:tc>
          <w:tcPr>
            <w:tcW w:w="126"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606886938"/>
        </w:trPr>
        <w:tc>
          <w:tcPr>
            <w:tcW w:w="3084" w:type="pct"/>
            <w:shd w:val="clear" w:color="auto" w:fill="CCEEFF"/>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Cash paid for amounts included in the measurement of lease liabilities included in Operating cashflows</w:t>
            </w:r>
          </w:p>
        </w:tc>
        <w:tc>
          <w:tcPr>
            <w:tcW w:w="12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12,316</w:t>
            </w:r>
          </w:p>
        </w:tc>
        <w:tc>
          <w:tcPr>
            <w:tcW w:w="1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8,372</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606886938"/>
        </w:trPr>
        <w:tc>
          <w:tcPr>
            <w:tcW w:w="3084"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Right-of-use assets obtained from entering new leases</w:t>
            </w:r>
          </w:p>
        </w:tc>
        <w:tc>
          <w:tcPr>
            <w:tcW w:w="12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17,617</w:t>
            </w:r>
          </w:p>
        </w:tc>
        <w:tc>
          <w:tcPr>
            <w:tcW w:w="126"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50,327</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0" w:afterAutospacing="0"/>
              <w:jc w:val="right"/>
              <w:rPr>
                <w:sz w:val="20"/>
                <w:szCs w:val="20"/>
              </w:rPr>
            </w:pPr>
            <w:r>
              <w:rPr>
                <w:sz w:val="20"/>
                <w:szCs w:val="20"/>
              </w:rPr>
              <w:t>​</w:t>
            </w:r>
          </w:p>
        </w:tc>
      </w:tr>
      <w:tr w:rsidR="00000000">
        <w:trPr>
          <w:divId w:val="1606886938"/>
        </w:trPr>
        <w:tc>
          <w:tcPr>
            <w:tcW w:w="308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Increase in right-of-use assets from lease modifications</w:t>
            </w:r>
          </w:p>
        </w:tc>
        <w:tc>
          <w:tcPr>
            <w:tcW w:w="12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7,796</w:t>
            </w:r>
          </w:p>
        </w:tc>
        <w:tc>
          <w:tcPr>
            <w:tcW w:w="1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1,306</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606886938"/>
        </w:trPr>
        <w:tc>
          <w:tcPr>
            <w:tcW w:w="3084"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Weighted-average remaining lease terms (years)</w:t>
            </w:r>
          </w:p>
        </w:tc>
        <w:tc>
          <w:tcPr>
            <w:tcW w:w="12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15.38</w:t>
            </w:r>
          </w:p>
        </w:tc>
        <w:tc>
          <w:tcPr>
            <w:tcW w:w="12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16.76</w:t>
            </w:r>
          </w:p>
        </w:tc>
        <w:tc>
          <w:tcPr>
            <w:tcW w:w="106" w:type="pct"/>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r>
      <w:tr w:rsidR="00000000">
        <w:trPr>
          <w:divId w:val="1606886938"/>
        </w:trPr>
        <w:tc>
          <w:tcPr>
            <w:tcW w:w="3084"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Weighted-average discount rates</w:t>
            </w:r>
          </w:p>
        </w:tc>
        <w:tc>
          <w:tcPr>
            <w:tcW w:w="12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sz w:val="20"/>
                <w:szCs w:val="20"/>
              </w:rPr>
              <w:t>​</w:t>
            </w:r>
          </w:p>
        </w:tc>
        <w:tc>
          <w:tcPr>
            <w:tcW w:w="690"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7.3</w:t>
            </w:r>
          </w:p>
        </w:tc>
        <w:tc>
          <w:tcPr>
            <w:tcW w:w="12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rFonts w:ascii="Calibri" w:hAnsi="Calibri" w:cs="Calibri"/>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rFonts w:ascii="Calibri" w:hAnsi="Calibri" w:cs="Calibri"/>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ind w:right="60"/>
              <w:jc w:val="right"/>
              <w:rPr>
                <w:sz w:val="20"/>
                <w:szCs w:val="20"/>
              </w:rPr>
            </w:pPr>
            <w:r>
              <w:rPr>
                <w:sz w:val="20"/>
                <w:szCs w:val="20"/>
              </w:rPr>
              <w:t>8.3</w:t>
            </w:r>
          </w:p>
        </w:tc>
        <w:tc>
          <w:tcPr>
            <w:tcW w:w="10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0" w:afterAutospacing="0"/>
              <w:rPr>
                <w:sz w:val="20"/>
                <w:szCs w:val="20"/>
              </w:rPr>
            </w:pPr>
            <w:r>
              <w:rPr>
                <w:rFonts w:ascii="Calibri" w:hAnsi="Calibri" w:cs="Calibri"/>
                <w:sz w:val="20"/>
                <w:szCs w:val="20"/>
              </w:rPr>
              <w:t>%</w:t>
            </w:r>
          </w:p>
        </w:tc>
      </w:tr>
    </w:tbl>
    <w:p w:rsidR="00000000" w:rsidRDefault="00F22B2C">
      <w:pPr>
        <w:pStyle w:val="a3"/>
        <w:spacing w:before="0" w:beforeAutospacing="0" w:after="0" w:afterAutospacing="0"/>
        <w:divId w:val="1606886938"/>
        <w:rPr>
          <w:sz w:val="20"/>
          <w:szCs w:val="20"/>
        </w:rPr>
      </w:pPr>
      <w:r>
        <w:rPr>
          <w:sz w:val="20"/>
          <w:szCs w:val="20"/>
        </w:rPr>
        <w:t>​</w:t>
      </w:r>
    </w:p>
    <w:p w:rsidR="00000000" w:rsidRDefault="00F22B2C">
      <w:pPr>
        <w:pStyle w:val="a3"/>
        <w:spacing w:before="480" w:beforeAutospacing="0" w:after="0" w:afterAutospacing="0"/>
        <w:jc w:val="center"/>
        <w:divId w:val="1481078308"/>
        <w:rPr>
          <w:sz w:val="20"/>
          <w:szCs w:val="20"/>
        </w:rPr>
      </w:pPr>
      <w:r>
        <w:rPr>
          <w:sz w:val="20"/>
          <w:szCs w:val="20"/>
        </w:rPr>
        <w:t>F-31</w:t>
      </w:r>
    </w:p>
    <w:p w:rsidR="00000000" w:rsidRDefault="00F22B2C">
      <w:pPr>
        <w:pStyle w:val="a3"/>
        <w:spacing w:before="0" w:beforeAutospacing="0" w:after="300" w:afterAutospacing="0"/>
        <w:divId w:val="1710573332"/>
        <w:rPr>
          <w:sz w:val="20"/>
          <w:szCs w:val="20"/>
        </w:rPr>
      </w:pPr>
      <w:hyperlink w:anchor="TOC" w:history="1">
        <w:r>
          <w:rPr>
            <w:rStyle w:val="a4"/>
            <w:sz w:val="20"/>
            <w:szCs w:val="20"/>
          </w:rPr>
          <w:t>Table of Contents</w:t>
        </w:r>
      </w:hyperlink>
    </w:p>
    <w:p w:rsidR="00000000" w:rsidRDefault="00F22B2C">
      <w:pPr>
        <w:pStyle w:val="a3"/>
        <w:spacing w:before="0" w:beforeAutospacing="0" w:after="0" w:afterAutospacing="0"/>
        <w:jc w:val="center"/>
        <w:divId w:val="1710573332"/>
        <w:rPr>
          <w:sz w:val="20"/>
          <w:szCs w:val="20"/>
        </w:rPr>
      </w:pPr>
      <w:r>
        <w:rPr>
          <w:b/>
          <w:bCs/>
          <w:sz w:val="20"/>
          <w:szCs w:val="20"/>
        </w:rPr>
        <w:t>IOVANCE BIOTHERAPEUTICS, INC.</w:t>
      </w:r>
    </w:p>
    <w:p w:rsidR="00000000" w:rsidRDefault="00F22B2C">
      <w:pPr>
        <w:pStyle w:val="a3"/>
        <w:spacing w:before="0" w:beforeAutospacing="0" w:after="300" w:afterAutospacing="0"/>
        <w:jc w:val="center"/>
        <w:divId w:val="1710573332"/>
        <w:rPr>
          <w:sz w:val="20"/>
          <w:szCs w:val="20"/>
        </w:rPr>
      </w:pPr>
      <w:r>
        <w:rPr>
          <w:b/>
          <w:bCs/>
          <w:sz w:val="20"/>
          <w:szCs w:val="20"/>
        </w:rPr>
        <w:t>NOTES TO CONSOLIDATED FINANCIAL STATEMENTS</w:t>
      </w:r>
    </w:p>
    <w:p w:rsidR="00000000" w:rsidRDefault="00F22B2C">
      <w:pPr>
        <w:pStyle w:val="a3"/>
        <w:spacing w:before="0" w:beforeAutospacing="0" w:after="0" w:afterAutospacing="0"/>
        <w:ind w:firstLine="547"/>
        <w:divId w:val="1376857472"/>
        <w:rPr>
          <w:sz w:val="20"/>
          <w:szCs w:val="20"/>
        </w:rPr>
      </w:pPr>
      <w:r>
        <w:rPr>
          <w:sz w:val="20"/>
          <w:szCs w:val="20"/>
        </w:rPr>
        <w:t>As of December 31, 2021, future payments associated with the Company'</w:t>
      </w:r>
      <w:r>
        <w:rPr>
          <w:sz w:val="20"/>
          <w:szCs w:val="20"/>
        </w:rPr>
        <w:t>s operating lease liabilities were as follows (in thousands):</w:t>
      </w:r>
    </w:p>
    <w:p w:rsidR="00000000" w:rsidRDefault="00F22B2C">
      <w:pPr>
        <w:pStyle w:val="a3"/>
        <w:spacing w:before="0" w:beforeAutospacing="0" w:after="0" w:afterAutospacing="0"/>
        <w:ind w:firstLine="360"/>
        <w:divId w:val="137685747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15"/>
        <w:gridCol w:w="204"/>
        <w:gridCol w:w="126"/>
        <w:gridCol w:w="801"/>
        <w:gridCol w:w="203"/>
        <w:gridCol w:w="126"/>
        <w:gridCol w:w="801"/>
        <w:gridCol w:w="203"/>
        <w:gridCol w:w="126"/>
        <w:gridCol w:w="801"/>
      </w:tblGrid>
      <w:tr w:rsidR="00000000">
        <w:trPr>
          <w:divId w:val="1376857472"/>
          <w:trHeight w:val="20"/>
        </w:trPr>
        <w:tc>
          <w:tcPr>
            <w:tcW w:w="2956" w:type="pct"/>
            <w:tcMar>
              <w:top w:w="0" w:type="dxa"/>
              <w:left w:w="0" w:type="dxa"/>
              <w:bottom w:w="0" w:type="dxa"/>
              <w:right w:w="0" w:type="dxa"/>
            </w:tcMar>
            <w:vAlign w:val="bottom"/>
            <w:hideMark/>
          </w:tcPr>
          <w:p w:rsidR="00000000" w:rsidRDefault="00F22B2C">
            <w:pPr>
              <w:pStyle w:val="a3"/>
              <w:spacing w:before="0" w:beforeAutospacing="0" w:after="1" w:afterAutospacing="0"/>
              <w:divId w:val="1917325145"/>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171988147"/>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500849284"/>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368290141"/>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95319894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542206404"/>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67988360"/>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2064064677"/>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577518879"/>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divId w:val="1862015889"/>
              <w:rPr>
                <w:sz w:val="20"/>
                <w:szCs w:val="20"/>
              </w:rPr>
            </w:pPr>
            <w:r>
              <w:rPr>
                <w:sz w:val="2"/>
                <w:szCs w:val="2"/>
              </w:rPr>
              <w:t>​</w:t>
            </w:r>
          </w:p>
        </w:tc>
      </w:tr>
      <w:tr w:rsidR="00000000">
        <w:trPr>
          <w:divId w:val="1376857472"/>
        </w:trPr>
        <w:tc>
          <w:tcPr>
            <w:tcW w:w="2956" w:type="pct"/>
            <w:tcMar>
              <w:top w:w="0" w:type="dxa"/>
              <w:left w:w="0" w:type="dxa"/>
              <w:bottom w:w="0" w:type="dxa"/>
              <w:right w:w="0" w:type="dxa"/>
            </w:tcMar>
            <w:vAlign w:val="bottom"/>
            <w:hideMark/>
          </w:tcPr>
          <w:p w:rsidR="00000000" w:rsidRDefault="00F22B2C">
            <w:pPr>
              <w:pStyle w:val="a3"/>
              <w:spacing w:before="0" w:beforeAutospacing="0" w:after="1" w:afterAutospacing="0"/>
              <w:rPr>
                <w:sz w:val="16"/>
                <w:szCs w:val="16"/>
              </w:rPr>
            </w:pPr>
            <w:r>
              <w:rPr>
                <w:sz w:val="16"/>
                <w:szCs w:val="16"/>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558"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CMO</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r>
      <w:tr w:rsidR="00000000">
        <w:trPr>
          <w:divId w:val="1376857472"/>
        </w:trPr>
        <w:tc>
          <w:tcPr>
            <w:tcW w:w="2956"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558"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Facility</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16"/>
                <w:szCs w:val="16"/>
              </w:rPr>
              <w:t>​</w:t>
            </w:r>
          </w:p>
        </w:tc>
        <w:tc>
          <w:tcPr>
            <w:tcW w:w="558" w:type="pct"/>
            <w:gridSpan w:val="2"/>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embedded</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r>
      <w:tr w:rsidR="00000000">
        <w:trPr>
          <w:divId w:val="1376857472"/>
        </w:trPr>
        <w:tc>
          <w:tcPr>
            <w:tcW w:w="2956"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b/>
                <w:bCs/>
                <w:sz w:val="20"/>
                <w:szCs w:val="20"/>
              </w:rPr>
              <w:t xml:space="preserve">Year Ending December 31, </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20"/>
                <w:szCs w:val="20"/>
              </w:rPr>
            </w:pPr>
            <w:r>
              <w:rPr>
                <w:b/>
                <w:bCs/>
                <w:sz w:val="16"/>
                <w:szCs w:val="16"/>
              </w:rPr>
              <w:t>​</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jc w:val="center"/>
              <w:rPr>
                <w:sz w:val="16"/>
                <w:szCs w:val="16"/>
              </w:rPr>
            </w:pPr>
            <w:r>
              <w:rPr>
                <w:b/>
                <w:bCs/>
                <w:sz w:val="16"/>
                <w:szCs w:val="16"/>
              </w:rPr>
              <w:t>Total</w:t>
            </w:r>
          </w:p>
        </w:tc>
      </w:tr>
      <w:tr w:rsidR="00000000">
        <w:trPr>
          <w:divId w:val="1376857472"/>
        </w:trPr>
        <w:tc>
          <w:tcPr>
            <w:tcW w:w="2956"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2022</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5,401</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4,093</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9,494</w:t>
            </w:r>
          </w:p>
        </w:tc>
      </w:tr>
      <w:tr w:rsidR="00000000">
        <w:trPr>
          <w:divId w:val="1376857472"/>
        </w:trPr>
        <w:tc>
          <w:tcPr>
            <w:tcW w:w="2956"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2023</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8,006</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8,006</w:t>
            </w:r>
          </w:p>
        </w:tc>
      </w:tr>
      <w:tr w:rsidR="00000000">
        <w:trPr>
          <w:divId w:val="1376857472"/>
        </w:trPr>
        <w:tc>
          <w:tcPr>
            <w:tcW w:w="2956"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2024</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8,206</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8,206</w:t>
            </w:r>
          </w:p>
        </w:tc>
      </w:tr>
      <w:tr w:rsidR="00000000">
        <w:trPr>
          <w:divId w:val="1376857472"/>
        </w:trPr>
        <w:tc>
          <w:tcPr>
            <w:tcW w:w="2956"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2025</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8,107</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8,107</w:t>
            </w:r>
          </w:p>
        </w:tc>
      </w:tr>
      <w:tr w:rsidR="00000000">
        <w:trPr>
          <w:divId w:val="1376857472"/>
        </w:trPr>
        <w:tc>
          <w:tcPr>
            <w:tcW w:w="2956"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2026</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7,979</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7,979</w:t>
            </w:r>
          </w:p>
        </w:tc>
      </w:tr>
      <w:tr w:rsidR="00000000">
        <w:trPr>
          <w:divId w:val="1376857472"/>
        </w:trPr>
        <w:tc>
          <w:tcPr>
            <w:tcW w:w="2956"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Thereafter</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91,952</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91,952</w:t>
            </w:r>
          </w:p>
        </w:tc>
      </w:tr>
      <w:tr w:rsidR="00000000">
        <w:trPr>
          <w:divId w:val="1376857472"/>
        </w:trPr>
        <w:tc>
          <w:tcPr>
            <w:tcW w:w="2956"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Total lease payments</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129,651</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4,093</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133,744</w:t>
            </w:r>
          </w:p>
        </w:tc>
      </w:tr>
      <w:tr w:rsidR="00000000">
        <w:trPr>
          <w:divId w:val="1376857472"/>
        </w:trPr>
        <w:tc>
          <w:tcPr>
            <w:tcW w:w="2956" w:type="pct"/>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Less: Present value adjustment</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(56,483)</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(119)</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(56,602)</w:t>
            </w:r>
          </w:p>
        </w:tc>
      </w:tr>
      <w:tr w:rsidR="00000000">
        <w:trPr>
          <w:divId w:val="1376857472"/>
        </w:trPr>
        <w:tc>
          <w:tcPr>
            <w:tcW w:w="2956" w:type="pct"/>
            <w:shd w:val="clear" w:color="auto" w:fill="CCEEFF"/>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Future tenant improvement reimbursement</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(6,611)</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22B2C">
            <w:pPr>
              <w:pStyle w:val="a3"/>
              <w:spacing w:before="0" w:beforeAutospacing="0" w:after="1" w:afterAutospacing="0"/>
              <w:jc w:val="right"/>
              <w:rPr>
                <w:sz w:val="20"/>
                <w:szCs w:val="20"/>
              </w:rPr>
            </w:pPr>
            <w:r>
              <w:rPr>
                <w:sz w:val="20"/>
                <w:szCs w:val="20"/>
              </w:rPr>
              <w:t>(6,611)</w:t>
            </w:r>
          </w:p>
        </w:tc>
      </w:tr>
      <w:tr w:rsidR="00000000">
        <w:trPr>
          <w:divId w:val="1376857472"/>
        </w:trPr>
        <w:tc>
          <w:tcPr>
            <w:tcW w:w="2956" w:type="pct"/>
            <w:tcMar>
              <w:top w:w="0" w:type="dxa"/>
              <w:left w:w="0" w:type="dxa"/>
              <w:bottom w:w="0" w:type="dxa"/>
              <w:right w:w="0" w:type="dxa"/>
            </w:tcMar>
            <w:vAlign w:val="bottom"/>
            <w:hideMark/>
          </w:tcPr>
          <w:p w:rsidR="00000000" w:rsidRDefault="00F22B2C">
            <w:pPr>
              <w:pStyle w:val="a3"/>
              <w:spacing w:before="0" w:beforeAutospacing="0" w:after="1" w:afterAutospacing="0"/>
              <w:ind w:left="120"/>
              <w:rPr>
                <w:sz w:val="20"/>
                <w:szCs w:val="20"/>
              </w:rPr>
            </w:pPr>
            <w:r>
              <w:rPr>
                <w:sz w:val="20"/>
                <w:szCs w:val="20"/>
              </w:rPr>
              <w:t>Operating lease liabilities</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66,557</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3,974</w:t>
            </w:r>
          </w:p>
        </w:tc>
        <w:tc>
          <w:tcPr>
            <w:tcW w:w="122" w:type="pct"/>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F22B2C">
            <w:pPr>
              <w:pStyle w:val="a3"/>
              <w:spacing w:before="0" w:beforeAutospacing="0" w:after="1" w:afterAutospacing="0"/>
              <w:ind w:right="60"/>
              <w:jc w:val="right"/>
              <w:rPr>
                <w:sz w:val="20"/>
                <w:szCs w:val="20"/>
              </w:rPr>
            </w:pPr>
            <w:r>
              <w:rPr>
                <w:sz w:val="20"/>
                <w:szCs w:val="20"/>
              </w:rPr>
              <w:t>70,531</w:t>
            </w:r>
          </w:p>
        </w:tc>
      </w:tr>
    </w:tbl>
    <w:p w:rsidR="00000000" w:rsidRDefault="00F22B2C">
      <w:pPr>
        <w:pStyle w:val="a3"/>
        <w:spacing w:before="0" w:beforeAutospacing="0" w:after="0" w:afterAutospacing="0"/>
        <w:ind w:firstLine="547"/>
        <w:divId w:val="1376857472"/>
        <w:rPr>
          <w:sz w:val="20"/>
          <w:szCs w:val="20"/>
        </w:rPr>
      </w:pPr>
      <w:r>
        <w:rPr>
          <w:sz w:val="2"/>
          <w:szCs w:val="2"/>
        </w:rPr>
        <w:t>​</w:t>
      </w:r>
    </w:p>
    <w:p w:rsidR="00000000" w:rsidRDefault="00F22B2C">
      <w:pPr>
        <w:pStyle w:val="a3"/>
        <w:spacing w:before="0" w:beforeAutospacing="0" w:after="0" w:afterAutospacing="0"/>
        <w:ind w:firstLine="547"/>
        <w:divId w:val="1376857472"/>
        <w:rPr>
          <w:sz w:val="20"/>
          <w:szCs w:val="20"/>
        </w:rPr>
      </w:pPr>
      <w:r>
        <w:rPr>
          <w:sz w:val="20"/>
          <w:szCs w:val="20"/>
        </w:rPr>
        <w:t>​</w:t>
      </w:r>
    </w:p>
    <w:p w:rsidR="00000000" w:rsidRDefault="00F22B2C">
      <w:pPr>
        <w:pStyle w:val="a3"/>
        <w:spacing w:before="0" w:beforeAutospacing="0" w:after="200" w:afterAutospacing="0"/>
        <w:ind w:firstLine="547"/>
        <w:divId w:val="1376857472"/>
        <w:rPr>
          <w:sz w:val="20"/>
          <w:szCs w:val="20"/>
        </w:rPr>
      </w:pPr>
      <w:r>
        <w:rPr>
          <w:sz w:val="20"/>
          <w:szCs w:val="20"/>
        </w:rPr>
        <w:t>For its new corporate headquarters’ office, the Company was provided a tenant improvement allowance of $8.2 million. As of December 31, 2021, the Company has received reimbursement associated with this tenant improvement allowance of $1.6 million.</w:t>
      </w:r>
    </w:p>
    <w:p w:rsidR="00000000" w:rsidRDefault="00F22B2C">
      <w:pPr>
        <w:pStyle w:val="a3"/>
        <w:spacing w:before="0" w:beforeAutospacing="0" w:after="200" w:afterAutospacing="0"/>
        <w:divId w:val="1376857472"/>
        <w:rPr>
          <w:b/>
          <w:bCs/>
          <w:sz w:val="20"/>
          <w:szCs w:val="20"/>
        </w:rPr>
      </w:pPr>
      <w:r>
        <w:rPr>
          <w:b/>
          <w:bCs/>
          <w:sz w:val="20"/>
          <w:szCs w:val="20"/>
        </w:rPr>
        <w:t>NOTE 11.</w:t>
      </w:r>
      <w:r>
        <w:rPr>
          <w:b/>
          <w:bCs/>
          <w:sz w:val="20"/>
          <w:szCs w:val="20"/>
        </w:rPr>
        <w:t xml:space="preserve"> LEGAL PROCEEDINGS</w:t>
      </w:r>
    </w:p>
    <w:p w:rsidR="00000000" w:rsidRDefault="00F22B2C">
      <w:pPr>
        <w:pStyle w:val="a3"/>
        <w:spacing w:before="0" w:beforeAutospacing="0" w:after="200" w:afterAutospacing="0"/>
        <w:ind w:firstLine="540"/>
        <w:divId w:val="1376857472"/>
        <w:rPr>
          <w:sz w:val="20"/>
          <w:szCs w:val="20"/>
        </w:rPr>
      </w:pPr>
      <w:r>
        <w:rPr>
          <w:sz w:val="20"/>
          <w:szCs w:val="20"/>
        </w:rPr>
        <w:t>Derivative Lawsuit</w:t>
      </w:r>
      <w:r>
        <w:rPr>
          <w:sz w:val="20"/>
          <w:szCs w:val="20"/>
        </w:rPr>
        <w:t>.</w:t>
      </w:r>
      <w:r>
        <w:rPr>
          <w:sz w:val="20"/>
          <w:szCs w:val="20"/>
        </w:rPr>
        <w:t xml:space="preserve"> On December 11, 2020, a purported stockholder derivative complaint was filed by plaintiff Leo Shumacher against the Company, as nominal defendant, and</w:t>
      </w:r>
      <w:r>
        <w:rPr>
          <w:sz w:val="20"/>
          <w:szCs w:val="20"/>
        </w:rPr>
        <w:t xml:space="preserve"> </w:t>
      </w:r>
      <w:r>
        <w:rPr>
          <w:sz w:val="20"/>
          <w:szCs w:val="20"/>
        </w:rPr>
        <w:t xml:space="preserve">its current directors, as defendants, in the Court of Chancery in </w:t>
      </w:r>
      <w:r>
        <w:rPr>
          <w:sz w:val="20"/>
          <w:szCs w:val="20"/>
        </w:rPr>
        <w:t>the State of Delaware. The complaint alleges breach of fiduciary duty and a claim for unjust enrichment in connection with alleged excessive compensation of certain non-executive directors of the Company</w:t>
      </w:r>
      <w:r>
        <w:rPr>
          <w:sz w:val="20"/>
          <w:szCs w:val="20"/>
        </w:rPr>
        <w:t xml:space="preserve"> </w:t>
      </w:r>
      <w:r>
        <w:rPr>
          <w:sz w:val="20"/>
          <w:szCs w:val="20"/>
        </w:rPr>
        <w:t>and seeks unspecified damages on behalf of the Compa</w:t>
      </w:r>
      <w:r>
        <w:rPr>
          <w:sz w:val="20"/>
          <w:szCs w:val="20"/>
        </w:rPr>
        <w:t>n</w:t>
      </w:r>
      <w:r>
        <w:rPr>
          <w:sz w:val="20"/>
          <w:szCs w:val="20"/>
        </w:rPr>
        <w:t>y</w:t>
      </w:r>
      <w:r>
        <w:rPr>
          <w:sz w:val="20"/>
          <w:szCs w:val="20"/>
        </w:rPr>
        <w:t>. The defendants intend to vigorously defend against the foregoing complaints. Based on the early stage of the litigation, it is not possible to estimate the amount or range of possible loss that might result from these matters</w:t>
      </w:r>
      <w:r>
        <w:rPr>
          <w:sz w:val="20"/>
          <w:szCs w:val="20"/>
        </w:rPr>
        <w:t>.</w:t>
      </w:r>
    </w:p>
    <w:p w:rsidR="00000000" w:rsidRDefault="00F22B2C">
      <w:pPr>
        <w:pStyle w:val="a3"/>
        <w:spacing w:before="0" w:beforeAutospacing="0" w:after="200" w:afterAutospacing="0"/>
        <w:ind w:firstLine="547"/>
        <w:divId w:val="1376857472"/>
        <w:rPr>
          <w:sz w:val="20"/>
          <w:szCs w:val="20"/>
        </w:rPr>
      </w:pPr>
      <w:r>
        <w:rPr>
          <w:sz w:val="20"/>
          <w:szCs w:val="20"/>
        </w:rPr>
        <w:t>Solomon Capital, LLC</w:t>
      </w:r>
      <w:r>
        <w:rPr>
          <w:sz w:val="20"/>
          <w:szCs w:val="20"/>
        </w:rPr>
        <w:t>.</w:t>
      </w:r>
      <w:r>
        <w:rPr>
          <w:sz w:val="20"/>
          <w:szCs w:val="20"/>
        </w:rPr>
        <w:t xml:space="preserve"> On </w:t>
      </w:r>
      <w:r>
        <w:rPr>
          <w:sz w:val="20"/>
          <w:szCs w:val="20"/>
        </w:rPr>
        <w:t>April 8, 2016, a lawsuit (“the First Solomon Suit”) titled </w:t>
      </w:r>
      <w:r>
        <w:rPr>
          <w:i/>
          <w:iCs/>
          <w:sz w:val="20"/>
          <w:szCs w:val="20"/>
        </w:rPr>
        <w:t>Solomon Capital, LLC, Solomon Capital 401(K) Trust, Solomon Sharbat and Shelhav Raff v. Lion Biotechnologies, Inc.</w:t>
      </w:r>
      <w:r>
        <w:rPr>
          <w:sz w:val="20"/>
          <w:szCs w:val="20"/>
        </w:rPr>
        <w:t> was filed by Solomon Capital, LLC, Solomon Capital 401(k) Trust, Solomon Sharbat a</w:t>
      </w:r>
      <w:r>
        <w:rPr>
          <w:sz w:val="20"/>
          <w:szCs w:val="20"/>
        </w:rPr>
        <w:t>nd Shelhav Raff (“Solomon Plaintiffs”) against the Company in the Supreme Court of the State of New York, County of New York (index no. 651881/2016). The Solomon Plaintiffs allege that, between June and November 2012, they provided to the Company $0.1 mill</w:t>
      </w:r>
      <w:r>
        <w:rPr>
          <w:sz w:val="20"/>
          <w:szCs w:val="20"/>
        </w:rPr>
        <w:t>ion and that they advanced and paid on behalf of the Company an additional $0.2 million. The complaint further alleges that the Company agreed to (i) provide them with promissory notes totaling $0.2 million, plus interest, (ii) issue a total of 1,110 share</w:t>
      </w:r>
      <w:r>
        <w:rPr>
          <w:sz w:val="20"/>
          <w:szCs w:val="20"/>
        </w:rPr>
        <w:t>s to the Solomon Plaintiffs (after the</w:t>
      </w:r>
      <w:r>
        <w:rPr>
          <w:sz w:val="20"/>
          <w:szCs w:val="20"/>
        </w:rPr>
        <w:t xml:space="preserve"> </w:t>
      </w:r>
      <w:r>
        <w:rPr>
          <w:sz w:val="20"/>
          <w:szCs w:val="20"/>
        </w:rPr>
        <w:t>1-for-10</w:t>
      </w:r>
      <w:r>
        <w:rPr>
          <w:sz w:val="20"/>
          <w:szCs w:val="20"/>
        </w:rPr>
        <w:t>0</w:t>
      </w:r>
      <w:r>
        <w:rPr>
          <w:sz w:val="20"/>
          <w:szCs w:val="20"/>
        </w:rPr>
        <w:t xml:space="preserve"> reverse split of the Company’s common stock effected in March 2013) (the “Equity Claim”), and (iii) allow the Solomon Plaintiffs to convert the foregoing funds into its securities in the next financing of th</w:t>
      </w:r>
      <w:r>
        <w:rPr>
          <w:sz w:val="20"/>
          <w:szCs w:val="20"/>
        </w:rPr>
        <w:t>e Company on the same terms offered to other investors, which Solomon Plaintiffs allege, should have given them the right to convert their advances and payments into shares of the Company's common stock in the restructuring that took effect in May 2013. Ba</w:t>
      </w:r>
      <w:r>
        <w:rPr>
          <w:sz w:val="20"/>
          <w:szCs w:val="20"/>
        </w:rPr>
        <w:t>sed on the foregoing, the Solomon Plaintiffs allege causes for breach of contract and unjust enrichment and demand judgment against the Company in an unspecified amount exceeding $1.5 million, plus interest. On June 3, 2016, the Company filed an answer and</w:t>
      </w:r>
      <w:r>
        <w:rPr>
          <w:sz w:val="20"/>
          <w:szCs w:val="20"/>
        </w:rPr>
        <w:t xml:space="preserve"> counterclaims in the lawsuits. The Company has asserted counterclaims for fraudulent inducement, fraudulent misrepresentation, fraudulent concealment, breach of fiduciary duty, and breach of contract, alleging principally that the counterclaim defendants </w:t>
      </w:r>
      <w:r>
        <w:rPr>
          <w:sz w:val="20"/>
          <w:szCs w:val="20"/>
        </w:rPr>
        <w:t>misrepresented their qualifications and failed to disclose that Solomon Sharbat was the subject of an investigation by the Financial Industry Regulatory Authority (“FINRA”) that resulted in the loss of his FINRA license. In its counterclaims, the Company i</w:t>
      </w:r>
      <w:r>
        <w:rPr>
          <w:sz w:val="20"/>
          <w:szCs w:val="20"/>
        </w:rPr>
        <w:t>s seeking damages in an amount exceeding $0.5 million and an order rescinding any and all agreements that the Solomon Plaintiffs contend entitled them to obtain shares of Company stock. On May 12, 2020, the court granted the Company’s motion for summary ju</w:t>
      </w:r>
      <w:r>
        <w:rPr>
          <w:sz w:val="20"/>
          <w:szCs w:val="20"/>
        </w:rPr>
        <w:t xml:space="preserve">dgment limiting the Solomon Plaintiffs’ damages for the Equity Claim to $47,420. The Solomon Plaintiffs filed a notice of appeal of this summary judgment on June 9, 2020. On July 2, 2020, the court granted the Company’s motion to dismiss the First Solomon </w:t>
      </w:r>
      <w:r>
        <w:rPr>
          <w:sz w:val="20"/>
          <w:szCs w:val="20"/>
        </w:rPr>
        <w:t>Suit for want of prosecution. On January 4, 2021, the court granted the Solomon Plaintiffs motion for reconsideration, and reinstituted the case. On January 15, 2021, the Company filed a notice of appeal of the court’s grant of the Solomon Plaintiffs motio</w:t>
      </w:r>
      <w:r>
        <w:rPr>
          <w:sz w:val="20"/>
          <w:szCs w:val="20"/>
        </w:rPr>
        <w:t>n for reconsideration. On May 11, 2021, the Appellate Division upheld the court’s grant of the Solomon Plaintiffs’ motion for reconsideration of the dismissal of the First Solomon Suit for want of prosecution.</w:t>
      </w:r>
    </w:p>
    <w:p w:rsidR="00000000" w:rsidRDefault="00F22B2C">
      <w:pPr>
        <w:pStyle w:val="a3"/>
        <w:spacing w:before="480" w:beforeAutospacing="0" w:after="0" w:afterAutospacing="0"/>
        <w:jc w:val="center"/>
        <w:divId w:val="594174774"/>
        <w:rPr>
          <w:sz w:val="20"/>
          <w:szCs w:val="20"/>
        </w:rPr>
      </w:pPr>
      <w:r>
        <w:rPr>
          <w:sz w:val="20"/>
          <w:szCs w:val="20"/>
        </w:rPr>
        <w:t>F-32</w:t>
      </w:r>
    </w:p>
    <w:p w:rsidR="00000000" w:rsidRDefault="00F22B2C">
      <w:pPr>
        <w:pStyle w:val="a3"/>
        <w:spacing w:before="0" w:beforeAutospacing="0" w:after="300" w:afterAutospacing="0"/>
        <w:divId w:val="522670746"/>
        <w:rPr>
          <w:sz w:val="20"/>
          <w:szCs w:val="20"/>
        </w:rPr>
      </w:pPr>
      <w:hyperlink w:anchor="TOC" w:history="1">
        <w:r>
          <w:rPr>
            <w:rStyle w:val="a4"/>
            <w:sz w:val="20"/>
            <w:szCs w:val="20"/>
          </w:rPr>
          <w:t>Table of Conten</w:t>
        </w:r>
        <w:r>
          <w:rPr>
            <w:rStyle w:val="a4"/>
            <w:sz w:val="20"/>
            <w:szCs w:val="20"/>
          </w:rPr>
          <w:t>ts</w:t>
        </w:r>
      </w:hyperlink>
    </w:p>
    <w:p w:rsidR="00000000" w:rsidRDefault="00F22B2C">
      <w:pPr>
        <w:pStyle w:val="a3"/>
        <w:spacing w:before="0" w:beforeAutospacing="0" w:after="0" w:afterAutospacing="0"/>
        <w:jc w:val="center"/>
        <w:divId w:val="522670746"/>
        <w:rPr>
          <w:sz w:val="20"/>
          <w:szCs w:val="20"/>
        </w:rPr>
      </w:pPr>
      <w:r>
        <w:rPr>
          <w:b/>
          <w:bCs/>
          <w:sz w:val="20"/>
          <w:szCs w:val="20"/>
        </w:rPr>
        <w:t>IOVANCE BIOTHERAPEUTICS, INC.</w:t>
      </w:r>
    </w:p>
    <w:p w:rsidR="00000000" w:rsidRDefault="00F22B2C">
      <w:pPr>
        <w:pStyle w:val="a3"/>
        <w:spacing w:before="0" w:beforeAutospacing="0" w:after="300" w:afterAutospacing="0"/>
        <w:jc w:val="center"/>
        <w:divId w:val="522670746"/>
        <w:rPr>
          <w:sz w:val="20"/>
          <w:szCs w:val="20"/>
        </w:rPr>
      </w:pPr>
      <w:r>
        <w:rPr>
          <w:b/>
          <w:bCs/>
          <w:sz w:val="20"/>
          <w:szCs w:val="20"/>
        </w:rPr>
        <w:t>NOTES TO CONSOLIDATED FINANCIAL STATEMENTS</w:t>
      </w:r>
    </w:p>
    <w:p w:rsidR="00000000" w:rsidRDefault="00F22B2C">
      <w:pPr>
        <w:pStyle w:val="a3"/>
        <w:spacing w:before="0" w:beforeAutospacing="0" w:after="200" w:afterAutospacing="0"/>
        <w:ind w:firstLine="547"/>
        <w:divId w:val="33308788"/>
        <w:rPr>
          <w:sz w:val="20"/>
          <w:szCs w:val="20"/>
        </w:rPr>
      </w:pPr>
      <w:r>
        <w:rPr>
          <w:sz w:val="20"/>
          <w:szCs w:val="20"/>
        </w:rPr>
        <w:t xml:space="preserve">On September 27, 2019, the Solomon Plaintiffs filed a new lawsuit (through new legal counsel) (“the Second Solomon Suit”) titled </w:t>
      </w:r>
      <w:r>
        <w:rPr>
          <w:i/>
          <w:iCs/>
          <w:sz w:val="20"/>
          <w:szCs w:val="20"/>
        </w:rPr>
        <w:t>Solomon Capital, LLC, Solomon Capital 401(K) Trust, Solomon Sharbat and Shelhav Raff v. Iovance Biotherapeutics, Inc., f/k/a/ Lion Biotechnologies Inc. f/k/a/ Genesis Biopharma Inc., and Manish Singh</w:t>
      </w:r>
      <w:r>
        <w:rPr>
          <w:sz w:val="20"/>
          <w:szCs w:val="20"/>
        </w:rPr>
        <w:t xml:space="preserve"> in the Supreme Court of the State of New York, County of</w:t>
      </w:r>
      <w:r>
        <w:rPr>
          <w:sz w:val="20"/>
          <w:szCs w:val="20"/>
        </w:rPr>
        <w:t xml:space="preserve"> New York (index no. 655668/2019). In the Second Solomon Suit, the Solomon Plaintiffs allege that they are third party beneficiaries of a “finder’s fee agreement” that prior management entered into with a third party unlicensed entity in 2012 in connection</w:t>
      </w:r>
      <w:r>
        <w:rPr>
          <w:sz w:val="20"/>
          <w:szCs w:val="20"/>
        </w:rPr>
        <w:t xml:space="preserve"> with seeking financing, that an agreement or understanding existed between the Company and the plaintiffs that the plaintiffs would be paid fees and commissions (in cash and stock) if they obtained financing for the Company, and that they directly and ind</w:t>
      </w:r>
      <w:r>
        <w:rPr>
          <w:sz w:val="20"/>
          <w:szCs w:val="20"/>
        </w:rPr>
        <w:t>irectly introduced investors to the Company who invested in the Company, or were willing to invest in the Company. Finally, the Solomon Plaintiffs allege that they were promised a license to use the Company’s technology in Israel. The plaintiffs claim that</w:t>
      </w:r>
      <w:r>
        <w:rPr>
          <w:sz w:val="20"/>
          <w:szCs w:val="20"/>
        </w:rPr>
        <w:t xml:space="preserve"> the Company breached the foregoing understandings, promises and agreements and, as a result, they are entitled to certain damages. The Solomon Plaintiffs also allege that Manish Singh, the Company’s former Chief Executive Officer, committed fraud and took</w:t>
      </w:r>
      <w:r>
        <w:rPr>
          <w:sz w:val="20"/>
          <w:szCs w:val="20"/>
        </w:rPr>
        <w:t xml:space="preserve"> shares belonging to them. On February 18, 2020, the Company filed a removal petition and removed the Second Solomon Suit to the U.S. District Court for the Southern District of New York, where the case has been assigned case no. 1:20-cv-1391. On May 22, 2</w:t>
      </w:r>
      <w:r>
        <w:rPr>
          <w:sz w:val="20"/>
          <w:szCs w:val="20"/>
        </w:rPr>
        <w:t>020, the Company moved to dismiss the Second Solomon Suit for lack of personal jurisdiction. On March 26, 2021, Court denied the Company’s motion to dismiss for lack of personal jurisdiction. The Company filed a response to the complaint in the Second Solo</w:t>
      </w:r>
      <w:r>
        <w:rPr>
          <w:sz w:val="20"/>
          <w:szCs w:val="20"/>
        </w:rPr>
        <w:t>mon Suit on April 30, 2021. On May 26, 2021, the Company and Singh filed motions for judgment on the pleadings with respect to the second and third claims asserted against the Company and all claims asserted against Singh, respectively, in the Second Solom</w:t>
      </w:r>
      <w:r>
        <w:rPr>
          <w:sz w:val="20"/>
          <w:szCs w:val="20"/>
        </w:rPr>
        <w:t>on Suit. On January 5, 2022, the Court granted the Company’s motions for judgement on the pleadings, dismissing the second and third claims against the Company and dismissing all claims against Singh.</w:t>
      </w:r>
    </w:p>
    <w:p w:rsidR="00000000" w:rsidRDefault="00F22B2C">
      <w:pPr>
        <w:pStyle w:val="a3"/>
        <w:spacing w:before="0" w:beforeAutospacing="0" w:after="200" w:afterAutospacing="0"/>
        <w:ind w:firstLine="547"/>
        <w:divId w:val="33308788"/>
        <w:rPr>
          <w:sz w:val="20"/>
          <w:szCs w:val="20"/>
        </w:rPr>
      </w:pPr>
      <w:r>
        <w:rPr>
          <w:sz w:val="20"/>
          <w:szCs w:val="20"/>
        </w:rPr>
        <w:t>The Company intends to vigorously defend these complain</w:t>
      </w:r>
      <w:r>
        <w:rPr>
          <w:sz w:val="20"/>
          <w:szCs w:val="20"/>
        </w:rPr>
        <w:t>ts and pursue its counterclaims, as applicable. At the current stage of the litigation, in both the First Solomon Suit and the Second Solomon Suit, it is not possible to estimate the amount or range of possible loss that might result from an adverse judgme</w:t>
      </w:r>
      <w:r>
        <w:rPr>
          <w:sz w:val="20"/>
          <w:szCs w:val="20"/>
        </w:rPr>
        <w:t>nt or a settlement of these matters.</w:t>
      </w:r>
    </w:p>
    <w:p w:rsidR="00000000" w:rsidRDefault="00F22B2C">
      <w:pPr>
        <w:pStyle w:val="a3"/>
        <w:spacing w:before="0" w:beforeAutospacing="0" w:after="0" w:afterAutospacing="0"/>
        <w:ind w:firstLine="547"/>
        <w:divId w:val="33308788"/>
        <w:rPr>
          <w:sz w:val="20"/>
          <w:szCs w:val="20"/>
        </w:rPr>
      </w:pPr>
      <w:r>
        <w:rPr>
          <w:sz w:val="20"/>
          <w:szCs w:val="20"/>
        </w:rPr>
        <w:t>The Company may be involved, from time to time, in legal proceedings and claims arising in the ordinary course of its business. Such matters are subject to many uncertainties and outcomes are not predictable with assura</w:t>
      </w:r>
      <w:r>
        <w:rPr>
          <w:sz w:val="20"/>
          <w:szCs w:val="20"/>
        </w:rPr>
        <w:t>nce. The Company accrues amounts, to the extent they can be reasonably estimated, that it believes are adequate to address any liabilities related to legal proceedings and other loss contingencies that it believes will result in a probable loss. While ther</w:t>
      </w:r>
      <w:r>
        <w:rPr>
          <w:sz w:val="20"/>
          <w:szCs w:val="20"/>
        </w:rPr>
        <w:t>e can be no assurances as to the ultimate outcome of any legal proceeding or other loss contingency involving the Company, management does not believe any pending matter will be resolved in a manner that would have a material adverse effect on its financia</w:t>
      </w:r>
      <w:r>
        <w:rPr>
          <w:sz w:val="20"/>
          <w:szCs w:val="20"/>
        </w:rPr>
        <w:t>l position, results of operations or cash flows.</w:t>
      </w:r>
    </w:p>
    <w:p w:rsidR="00000000" w:rsidRDefault="00F22B2C">
      <w:pPr>
        <w:pStyle w:val="a3"/>
        <w:spacing w:before="0" w:beforeAutospacing="0" w:after="0" w:afterAutospacing="0"/>
        <w:ind w:firstLine="360"/>
        <w:divId w:val="33308788"/>
        <w:rPr>
          <w:sz w:val="20"/>
          <w:szCs w:val="20"/>
        </w:rPr>
      </w:pPr>
      <w:r>
        <w:rPr>
          <w:sz w:val="20"/>
          <w:szCs w:val="20"/>
        </w:rPr>
        <w:t>​</w:t>
      </w:r>
    </w:p>
    <w:p w:rsidR="00000000" w:rsidRDefault="00F22B2C">
      <w:pPr>
        <w:pStyle w:val="a3"/>
        <w:spacing w:before="0" w:beforeAutospacing="0" w:after="200" w:afterAutospacing="0"/>
        <w:divId w:val="33308788"/>
        <w:rPr>
          <w:b/>
          <w:bCs/>
          <w:sz w:val="20"/>
          <w:szCs w:val="20"/>
        </w:rPr>
      </w:pPr>
      <w:r>
        <w:rPr>
          <w:b/>
          <w:bCs/>
          <w:sz w:val="20"/>
          <w:szCs w:val="20"/>
        </w:rPr>
        <w:t>NOTE 12. LONG-TERM NOTE PAYABLE</w:t>
      </w:r>
    </w:p>
    <w:p w:rsidR="00000000" w:rsidRDefault="00F22B2C">
      <w:pPr>
        <w:pStyle w:val="a3"/>
        <w:spacing w:before="0" w:beforeAutospacing="0" w:after="200" w:afterAutospacing="0"/>
        <w:ind w:firstLine="547"/>
        <w:divId w:val="33308788"/>
        <w:rPr>
          <w:sz w:val="20"/>
          <w:szCs w:val="20"/>
        </w:rPr>
      </w:pPr>
      <w:r>
        <w:rPr>
          <w:sz w:val="20"/>
          <w:szCs w:val="20"/>
        </w:rPr>
        <w:t>On January 26, 2021, the Company entered into a Loan Note and accompanying Economic Stimulus Program Loan Agreement with PIDC – Local Development Corporation, a Pennsylvania</w:t>
      </w:r>
      <w:r>
        <w:rPr>
          <w:sz w:val="20"/>
          <w:szCs w:val="20"/>
        </w:rPr>
        <w:t xml:space="preserve"> nonprofit corporation (the “Lender”), pursuant to which the Lender agreed to make a loan (the “Job Creation Loan”) to the Company in a principal amount of $1.0 million. The Job Creation Loan will be for a term of</w:t>
      </w:r>
      <w:r>
        <w:rPr>
          <w:sz w:val="20"/>
          <w:szCs w:val="20"/>
        </w:rPr>
        <w:t xml:space="preserve"> </w:t>
      </w:r>
      <w:r>
        <w:rPr>
          <w:sz w:val="20"/>
          <w:szCs w:val="20"/>
        </w:rPr>
        <w:t>five year</w:t>
      </w:r>
      <w:r>
        <w:rPr>
          <w:sz w:val="20"/>
          <w:szCs w:val="20"/>
        </w:rPr>
        <w:t>s</w:t>
      </w:r>
      <w:r>
        <w:rPr>
          <w:sz w:val="20"/>
          <w:szCs w:val="20"/>
        </w:rPr>
        <w:t xml:space="preserve"> starting on February 18, 2021, </w:t>
      </w:r>
      <w:r>
        <w:rPr>
          <w:sz w:val="20"/>
          <w:szCs w:val="20"/>
        </w:rPr>
        <w:t>the date of the issuance of a final certificate of occupancy for the Company’s leased premises in Philadelphia, Pennsylvania. The Job Creation Loan is unsecured, bears no interest, and will be forgiven by the Lender in the amount of $2,000 per full-time or</w:t>
      </w:r>
      <w:r>
        <w:rPr>
          <w:sz w:val="20"/>
          <w:szCs w:val="20"/>
        </w:rPr>
        <w:t xml:space="preserve"> “full time equivalent” (defined as two or more part time employees whose working hours total at least 35 hours a week) employee with an average salary of at least $80,000 (“FT Employees”), up to a maximum amount equal to the amount of the Job Creation Loa</w:t>
      </w:r>
      <w:r>
        <w:rPr>
          <w:sz w:val="20"/>
          <w:szCs w:val="20"/>
        </w:rPr>
        <w:t>n, as calculated based on the average number of FT Employees employed at the Company’s premises during the period of the</w:t>
      </w:r>
      <w:r>
        <w:rPr>
          <w:sz w:val="20"/>
          <w:szCs w:val="20"/>
        </w:rPr>
        <w:t xml:space="preserve"> </w:t>
      </w:r>
      <w:r>
        <w:rPr>
          <w:sz w:val="20"/>
          <w:szCs w:val="20"/>
        </w:rPr>
        <w:t>5-yea</w:t>
      </w:r>
      <w:r>
        <w:rPr>
          <w:sz w:val="20"/>
          <w:szCs w:val="20"/>
        </w:rPr>
        <w:t>r</w:t>
      </w:r>
      <w:r>
        <w:rPr>
          <w:sz w:val="20"/>
          <w:szCs w:val="20"/>
        </w:rPr>
        <w:t xml:space="preserve"> term beginning on the date that is nine months prior to the maturity date and ending on the maturity date. If the Job Creation L</w:t>
      </w:r>
      <w:r>
        <w:rPr>
          <w:sz w:val="20"/>
          <w:szCs w:val="20"/>
        </w:rPr>
        <w:t xml:space="preserve">oan is not forgiven in full by the maturity date, the remaining balance of the loan not forgiven will become payable on the maturity date. The Loan Note includes customary events of default. Upon the occurrence of an event of default, the Lender will have </w:t>
      </w:r>
      <w:r>
        <w:rPr>
          <w:sz w:val="20"/>
          <w:szCs w:val="20"/>
        </w:rPr>
        <w:t>the right to exercise remedies against the Company, including the right to require immediate payment of all amounts due under the Loan Note</w:t>
      </w:r>
      <w:r>
        <w:rPr>
          <w:sz w:val="20"/>
          <w:szCs w:val="20"/>
        </w:rPr>
        <w:t>.</w:t>
      </w:r>
    </w:p>
    <w:p w:rsidR="00000000" w:rsidRDefault="00F22B2C">
      <w:pPr>
        <w:pStyle w:val="a3"/>
        <w:spacing w:before="0" w:beforeAutospacing="0" w:after="200" w:afterAutospacing="0"/>
        <w:ind w:firstLine="547"/>
        <w:divId w:val="33308788"/>
        <w:rPr>
          <w:sz w:val="20"/>
          <w:szCs w:val="20"/>
        </w:rPr>
      </w:pPr>
      <w:r>
        <w:rPr>
          <w:sz w:val="20"/>
          <w:szCs w:val="20"/>
        </w:rPr>
        <w:t>The Company concluded that it is not reasonably assured that all or a portion of the loan will be forgiven as of De</w:t>
      </w:r>
      <w:r>
        <w:rPr>
          <w:sz w:val="20"/>
          <w:szCs w:val="20"/>
        </w:rPr>
        <w:t xml:space="preserve">cember 31, 2021, and therefore accounted for the Job Creation Loan as debt in accordance with ASC Topic 470, </w:t>
      </w:r>
      <w:r>
        <w:rPr>
          <w:i/>
          <w:iCs/>
          <w:sz w:val="20"/>
          <w:szCs w:val="20"/>
        </w:rPr>
        <w:t>Debt</w:t>
      </w:r>
      <w:r>
        <w:rPr>
          <w:sz w:val="20"/>
          <w:szCs w:val="20"/>
        </w:rPr>
        <w:t>, as opposed to an in-substance government grant, and classified as a long-term debt in its Condensed Consolidated Balance Sheets as of Decembe</w:t>
      </w:r>
      <w:r>
        <w:rPr>
          <w:sz w:val="20"/>
          <w:szCs w:val="20"/>
        </w:rPr>
        <w:t>r 31, 2021.</w:t>
      </w:r>
    </w:p>
    <w:p w:rsidR="00000000" w:rsidRDefault="00F22B2C">
      <w:pPr>
        <w:pStyle w:val="a3"/>
        <w:spacing w:before="0" w:beforeAutospacing="0" w:after="0" w:afterAutospacing="0"/>
        <w:ind w:firstLine="360"/>
        <w:divId w:val="33308788"/>
        <w:rPr>
          <w:sz w:val="20"/>
          <w:szCs w:val="20"/>
        </w:rPr>
      </w:pPr>
      <w:r>
        <w:rPr>
          <w:sz w:val="2"/>
          <w:szCs w:val="2"/>
        </w:rPr>
        <w:t>​</w:t>
      </w:r>
    </w:p>
    <w:p w:rsidR="00000000" w:rsidRDefault="00F22B2C">
      <w:pPr>
        <w:pStyle w:val="a3"/>
        <w:spacing w:before="0" w:beforeAutospacing="0" w:after="200" w:afterAutospacing="0"/>
        <w:ind w:firstLine="547"/>
        <w:divId w:val="33308788"/>
        <w:rPr>
          <w:sz w:val="20"/>
          <w:szCs w:val="20"/>
        </w:rPr>
      </w:pPr>
      <w:r>
        <w:rPr>
          <w:sz w:val="20"/>
          <w:szCs w:val="20"/>
        </w:rPr>
        <w:t>​</w:t>
      </w:r>
    </w:p>
    <w:p w:rsidR="00F22B2C" w:rsidRDefault="00F22B2C">
      <w:pPr>
        <w:pStyle w:val="a3"/>
        <w:spacing w:before="480" w:beforeAutospacing="0" w:after="0" w:afterAutospacing="0"/>
        <w:jc w:val="center"/>
        <w:divId w:val="707531768"/>
        <w:rPr>
          <w:sz w:val="20"/>
          <w:szCs w:val="20"/>
        </w:rPr>
      </w:pPr>
      <w:r>
        <w:rPr>
          <w:sz w:val="20"/>
          <w:szCs w:val="20"/>
        </w:rPr>
        <w:t>F-33</w:t>
      </w:r>
    </w:p>
    <w:sectPr w:rsidR="00F22B2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22B2C"/>
    <w:rsid w:val="00F22B2C"/>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lbio.com/202112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3074">
      <w:marLeft w:val="0"/>
      <w:marRight w:val="0"/>
      <w:marTop w:val="0"/>
      <w:marBottom w:val="0"/>
      <w:divBdr>
        <w:top w:val="none" w:sz="0" w:space="0" w:color="auto"/>
        <w:left w:val="none" w:sz="0" w:space="0" w:color="auto"/>
        <w:bottom w:val="none" w:sz="0" w:space="0" w:color="auto"/>
        <w:right w:val="none" w:sz="0" w:space="0" w:color="auto"/>
      </w:divBdr>
      <w:divsChild>
        <w:div w:id="664281296">
          <w:marLeft w:val="0"/>
          <w:marRight w:val="0"/>
          <w:marTop w:val="600"/>
          <w:marBottom w:val="0"/>
          <w:divBdr>
            <w:top w:val="none" w:sz="0" w:space="0" w:color="auto"/>
            <w:left w:val="none" w:sz="0" w:space="0" w:color="auto"/>
            <w:bottom w:val="none" w:sz="0" w:space="0" w:color="auto"/>
            <w:right w:val="none" w:sz="0" w:space="0" w:color="auto"/>
          </w:divBdr>
        </w:div>
        <w:div w:id="1193036790">
          <w:marLeft w:val="0"/>
          <w:marRight w:val="0"/>
          <w:marTop w:val="0"/>
          <w:marBottom w:val="0"/>
          <w:divBdr>
            <w:top w:val="none" w:sz="0" w:space="0" w:color="auto"/>
            <w:left w:val="none" w:sz="0" w:space="0" w:color="auto"/>
            <w:bottom w:val="none" w:sz="0" w:space="0" w:color="auto"/>
            <w:right w:val="none" w:sz="0" w:space="0" w:color="auto"/>
          </w:divBdr>
          <w:divsChild>
            <w:div w:id="60491560">
              <w:marLeft w:val="0"/>
              <w:marRight w:val="0"/>
              <w:marTop w:val="0"/>
              <w:marBottom w:val="0"/>
              <w:divBdr>
                <w:top w:val="none" w:sz="0" w:space="0" w:color="auto"/>
                <w:left w:val="none" w:sz="0" w:space="0" w:color="auto"/>
                <w:bottom w:val="none" w:sz="0" w:space="0" w:color="auto"/>
                <w:right w:val="none" w:sz="0" w:space="0" w:color="auto"/>
              </w:divBdr>
              <w:divsChild>
                <w:div w:id="1592662204">
                  <w:marLeft w:val="0"/>
                  <w:marRight w:val="0"/>
                  <w:marTop w:val="0"/>
                  <w:marBottom w:val="0"/>
                  <w:divBdr>
                    <w:top w:val="none" w:sz="0" w:space="0" w:color="auto"/>
                    <w:left w:val="none" w:sz="0" w:space="0" w:color="auto"/>
                    <w:bottom w:val="none" w:sz="0" w:space="0" w:color="auto"/>
                    <w:right w:val="none" w:sz="0" w:space="0" w:color="auto"/>
                  </w:divBdr>
                </w:div>
              </w:divsChild>
            </w:div>
            <w:div w:id="1787306811">
              <w:marLeft w:val="0"/>
              <w:marRight w:val="0"/>
              <w:marTop w:val="0"/>
              <w:marBottom w:val="0"/>
              <w:divBdr>
                <w:top w:val="none" w:sz="0" w:space="0" w:color="auto"/>
                <w:left w:val="none" w:sz="0" w:space="0" w:color="auto"/>
                <w:bottom w:val="none" w:sz="0" w:space="0" w:color="auto"/>
                <w:right w:val="none" w:sz="0" w:space="0" w:color="auto"/>
              </w:divBdr>
              <w:divsChild>
                <w:div w:id="177695370">
                  <w:marLeft w:val="0"/>
                  <w:marRight w:val="0"/>
                  <w:marTop w:val="0"/>
                  <w:marBottom w:val="0"/>
                  <w:divBdr>
                    <w:top w:val="none" w:sz="0" w:space="0" w:color="auto"/>
                    <w:left w:val="none" w:sz="0" w:space="0" w:color="auto"/>
                    <w:bottom w:val="none" w:sz="0" w:space="0" w:color="auto"/>
                    <w:right w:val="none" w:sz="0" w:space="0" w:color="auto"/>
                  </w:divBdr>
                </w:div>
              </w:divsChild>
            </w:div>
            <w:div w:id="418673713">
              <w:marLeft w:val="0"/>
              <w:marRight w:val="0"/>
              <w:marTop w:val="0"/>
              <w:marBottom w:val="0"/>
              <w:divBdr>
                <w:top w:val="none" w:sz="0" w:space="0" w:color="auto"/>
                <w:left w:val="none" w:sz="0" w:space="0" w:color="auto"/>
                <w:bottom w:val="none" w:sz="0" w:space="0" w:color="auto"/>
                <w:right w:val="none" w:sz="0" w:space="0" w:color="auto"/>
              </w:divBdr>
              <w:divsChild>
                <w:div w:id="435953740">
                  <w:marLeft w:val="0"/>
                  <w:marRight w:val="0"/>
                  <w:marTop w:val="0"/>
                  <w:marBottom w:val="0"/>
                  <w:divBdr>
                    <w:top w:val="none" w:sz="0" w:space="0" w:color="auto"/>
                    <w:left w:val="none" w:sz="0" w:space="0" w:color="auto"/>
                    <w:bottom w:val="none" w:sz="0" w:space="0" w:color="auto"/>
                    <w:right w:val="none" w:sz="0" w:space="0" w:color="auto"/>
                  </w:divBdr>
                </w:div>
              </w:divsChild>
            </w:div>
            <w:div w:id="176895440">
              <w:marLeft w:val="0"/>
              <w:marRight w:val="0"/>
              <w:marTop w:val="0"/>
              <w:marBottom w:val="0"/>
              <w:divBdr>
                <w:top w:val="none" w:sz="0" w:space="0" w:color="auto"/>
                <w:left w:val="none" w:sz="0" w:space="0" w:color="auto"/>
                <w:bottom w:val="none" w:sz="0" w:space="0" w:color="auto"/>
                <w:right w:val="none" w:sz="0" w:space="0" w:color="auto"/>
              </w:divBdr>
              <w:divsChild>
                <w:div w:id="897975310">
                  <w:marLeft w:val="0"/>
                  <w:marRight w:val="0"/>
                  <w:marTop w:val="0"/>
                  <w:marBottom w:val="0"/>
                  <w:divBdr>
                    <w:top w:val="none" w:sz="0" w:space="0" w:color="auto"/>
                    <w:left w:val="none" w:sz="0" w:space="0" w:color="auto"/>
                    <w:bottom w:val="none" w:sz="0" w:space="0" w:color="auto"/>
                    <w:right w:val="none" w:sz="0" w:space="0" w:color="auto"/>
                  </w:divBdr>
                </w:div>
              </w:divsChild>
            </w:div>
            <w:div w:id="1729844039">
              <w:marLeft w:val="0"/>
              <w:marRight w:val="0"/>
              <w:marTop w:val="0"/>
              <w:marBottom w:val="0"/>
              <w:divBdr>
                <w:top w:val="none" w:sz="0" w:space="0" w:color="auto"/>
                <w:left w:val="none" w:sz="0" w:space="0" w:color="auto"/>
                <w:bottom w:val="none" w:sz="0" w:space="0" w:color="auto"/>
                <w:right w:val="none" w:sz="0" w:space="0" w:color="auto"/>
              </w:divBdr>
              <w:divsChild>
                <w:div w:id="286544561">
                  <w:marLeft w:val="0"/>
                  <w:marRight w:val="0"/>
                  <w:marTop w:val="0"/>
                  <w:marBottom w:val="0"/>
                  <w:divBdr>
                    <w:top w:val="none" w:sz="0" w:space="0" w:color="auto"/>
                    <w:left w:val="none" w:sz="0" w:space="0" w:color="auto"/>
                    <w:bottom w:val="none" w:sz="0" w:space="0" w:color="auto"/>
                    <w:right w:val="none" w:sz="0" w:space="0" w:color="auto"/>
                  </w:divBdr>
                </w:div>
              </w:divsChild>
            </w:div>
            <w:div w:id="1521702658">
              <w:marLeft w:val="0"/>
              <w:marRight w:val="0"/>
              <w:marTop w:val="0"/>
              <w:marBottom w:val="0"/>
              <w:divBdr>
                <w:top w:val="none" w:sz="0" w:space="0" w:color="auto"/>
                <w:left w:val="none" w:sz="0" w:space="0" w:color="auto"/>
                <w:bottom w:val="none" w:sz="0" w:space="0" w:color="auto"/>
                <w:right w:val="none" w:sz="0" w:space="0" w:color="auto"/>
              </w:divBdr>
              <w:divsChild>
                <w:div w:id="1999187546">
                  <w:marLeft w:val="0"/>
                  <w:marRight w:val="0"/>
                  <w:marTop w:val="0"/>
                  <w:marBottom w:val="0"/>
                  <w:divBdr>
                    <w:top w:val="none" w:sz="0" w:space="0" w:color="auto"/>
                    <w:left w:val="none" w:sz="0" w:space="0" w:color="auto"/>
                    <w:bottom w:val="none" w:sz="0" w:space="0" w:color="auto"/>
                    <w:right w:val="none" w:sz="0" w:space="0" w:color="auto"/>
                  </w:divBdr>
                </w:div>
              </w:divsChild>
            </w:div>
            <w:div w:id="713580167">
              <w:marLeft w:val="0"/>
              <w:marRight w:val="0"/>
              <w:marTop w:val="0"/>
              <w:marBottom w:val="0"/>
              <w:divBdr>
                <w:top w:val="none" w:sz="0" w:space="0" w:color="auto"/>
                <w:left w:val="none" w:sz="0" w:space="0" w:color="auto"/>
                <w:bottom w:val="none" w:sz="0" w:space="0" w:color="auto"/>
                <w:right w:val="none" w:sz="0" w:space="0" w:color="auto"/>
              </w:divBdr>
              <w:divsChild>
                <w:div w:id="2027367898">
                  <w:marLeft w:val="0"/>
                  <w:marRight w:val="0"/>
                  <w:marTop w:val="0"/>
                  <w:marBottom w:val="0"/>
                  <w:divBdr>
                    <w:top w:val="none" w:sz="0" w:space="0" w:color="auto"/>
                    <w:left w:val="none" w:sz="0" w:space="0" w:color="auto"/>
                    <w:bottom w:val="none" w:sz="0" w:space="0" w:color="auto"/>
                    <w:right w:val="none" w:sz="0" w:space="0" w:color="auto"/>
                  </w:divBdr>
                </w:div>
              </w:divsChild>
            </w:div>
            <w:div w:id="1435129766">
              <w:marLeft w:val="0"/>
              <w:marRight w:val="0"/>
              <w:marTop w:val="0"/>
              <w:marBottom w:val="0"/>
              <w:divBdr>
                <w:top w:val="none" w:sz="0" w:space="0" w:color="auto"/>
                <w:left w:val="none" w:sz="0" w:space="0" w:color="auto"/>
                <w:bottom w:val="none" w:sz="0" w:space="0" w:color="auto"/>
                <w:right w:val="none" w:sz="0" w:space="0" w:color="auto"/>
              </w:divBdr>
              <w:divsChild>
                <w:div w:id="107898282">
                  <w:marLeft w:val="0"/>
                  <w:marRight w:val="0"/>
                  <w:marTop w:val="0"/>
                  <w:marBottom w:val="0"/>
                  <w:divBdr>
                    <w:top w:val="none" w:sz="0" w:space="0" w:color="auto"/>
                    <w:left w:val="none" w:sz="0" w:space="0" w:color="auto"/>
                    <w:bottom w:val="none" w:sz="0" w:space="0" w:color="auto"/>
                    <w:right w:val="none" w:sz="0" w:space="0" w:color="auto"/>
                  </w:divBdr>
                </w:div>
              </w:divsChild>
            </w:div>
            <w:div w:id="416756267">
              <w:marLeft w:val="0"/>
              <w:marRight w:val="0"/>
              <w:marTop w:val="0"/>
              <w:marBottom w:val="0"/>
              <w:divBdr>
                <w:top w:val="none" w:sz="0" w:space="0" w:color="auto"/>
                <w:left w:val="none" w:sz="0" w:space="0" w:color="auto"/>
                <w:bottom w:val="none" w:sz="0" w:space="0" w:color="auto"/>
                <w:right w:val="none" w:sz="0" w:space="0" w:color="auto"/>
              </w:divBdr>
              <w:divsChild>
                <w:div w:id="364908893">
                  <w:marLeft w:val="0"/>
                  <w:marRight w:val="0"/>
                  <w:marTop w:val="0"/>
                  <w:marBottom w:val="0"/>
                  <w:divBdr>
                    <w:top w:val="none" w:sz="0" w:space="0" w:color="auto"/>
                    <w:left w:val="none" w:sz="0" w:space="0" w:color="auto"/>
                    <w:bottom w:val="none" w:sz="0" w:space="0" w:color="auto"/>
                    <w:right w:val="none" w:sz="0" w:space="0" w:color="auto"/>
                  </w:divBdr>
                </w:div>
              </w:divsChild>
            </w:div>
            <w:div w:id="1314796071">
              <w:marLeft w:val="0"/>
              <w:marRight w:val="0"/>
              <w:marTop w:val="0"/>
              <w:marBottom w:val="0"/>
              <w:divBdr>
                <w:top w:val="none" w:sz="0" w:space="0" w:color="auto"/>
                <w:left w:val="none" w:sz="0" w:space="0" w:color="auto"/>
                <w:bottom w:val="none" w:sz="0" w:space="0" w:color="auto"/>
                <w:right w:val="none" w:sz="0" w:space="0" w:color="auto"/>
              </w:divBdr>
              <w:divsChild>
                <w:div w:id="1001200937">
                  <w:marLeft w:val="0"/>
                  <w:marRight w:val="0"/>
                  <w:marTop w:val="0"/>
                  <w:marBottom w:val="0"/>
                  <w:divBdr>
                    <w:top w:val="none" w:sz="0" w:space="0" w:color="auto"/>
                    <w:left w:val="none" w:sz="0" w:space="0" w:color="auto"/>
                    <w:bottom w:val="none" w:sz="0" w:space="0" w:color="auto"/>
                    <w:right w:val="none" w:sz="0" w:space="0" w:color="auto"/>
                  </w:divBdr>
                </w:div>
              </w:divsChild>
            </w:div>
            <w:div w:id="1800610836">
              <w:marLeft w:val="0"/>
              <w:marRight w:val="0"/>
              <w:marTop w:val="0"/>
              <w:marBottom w:val="0"/>
              <w:divBdr>
                <w:top w:val="none" w:sz="0" w:space="0" w:color="auto"/>
                <w:left w:val="none" w:sz="0" w:space="0" w:color="auto"/>
                <w:bottom w:val="none" w:sz="0" w:space="0" w:color="auto"/>
                <w:right w:val="none" w:sz="0" w:space="0" w:color="auto"/>
              </w:divBdr>
              <w:divsChild>
                <w:div w:id="489449956">
                  <w:marLeft w:val="0"/>
                  <w:marRight w:val="0"/>
                  <w:marTop w:val="0"/>
                  <w:marBottom w:val="0"/>
                  <w:divBdr>
                    <w:top w:val="none" w:sz="0" w:space="0" w:color="auto"/>
                    <w:left w:val="none" w:sz="0" w:space="0" w:color="auto"/>
                    <w:bottom w:val="none" w:sz="0" w:space="0" w:color="auto"/>
                    <w:right w:val="none" w:sz="0" w:space="0" w:color="auto"/>
                  </w:divBdr>
                </w:div>
              </w:divsChild>
            </w:div>
            <w:div w:id="1267619229">
              <w:marLeft w:val="0"/>
              <w:marRight w:val="0"/>
              <w:marTop w:val="0"/>
              <w:marBottom w:val="0"/>
              <w:divBdr>
                <w:top w:val="none" w:sz="0" w:space="0" w:color="auto"/>
                <w:left w:val="none" w:sz="0" w:space="0" w:color="auto"/>
                <w:bottom w:val="none" w:sz="0" w:space="0" w:color="auto"/>
                <w:right w:val="none" w:sz="0" w:space="0" w:color="auto"/>
              </w:divBdr>
              <w:divsChild>
                <w:div w:id="613291652">
                  <w:marLeft w:val="0"/>
                  <w:marRight w:val="0"/>
                  <w:marTop w:val="0"/>
                  <w:marBottom w:val="0"/>
                  <w:divBdr>
                    <w:top w:val="none" w:sz="0" w:space="0" w:color="auto"/>
                    <w:left w:val="none" w:sz="0" w:space="0" w:color="auto"/>
                    <w:bottom w:val="none" w:sz="0" w:space="0" w:color="auto"/>
                    <w:right w:val="none" w:sz="0" w:space="0" w:color="auto"/>
                  </w:divBdr>
                </w:div>
              </w:divsChild>
            </w:div>
            <w:div w:id="451943009">
              <w:marLeft w:val="0"/>
              <w:marRight w:val="0"/>
              <w:marTop w:val="0"/>
              <w:marBottom w:val="0"/>
              <w:divBdr>
                <w:top w:val="none" w:sz="0" w:space="0" w:color="auto"/>
                <w:left w:val="none" w:sz="0" w:space="0" w:color="auto"/>
                <w:bottom w:val="none" w:sz="0" w:space="0" w:color="auto"/>
                <w:right w:val="none" w:sz="0" w:space="0" w:color="auto"/>
              </w:divBdr>
              <w:divsChild>
                <w:div w:id="350768444">
                  <w:marLeft w:val="0"/>
                  <w:marRight w:val="0"/>
                  <w:marTop w:val="0"/>
                  <w:marBottom w:val="0"/>
                  <w:divBdr>
                    <w:top w:val="none" w:sz="0" w:space="0" w:color="auto"/>
                    <w:left w:val="none" w:sz="0" w:space="0" w:color="auto"/>
                    <w:bottom w:val="none" w:sz="0" w:space="0" w:color="auto"/>
                    <w:right w:val="none" w:sz="0" w:space="0" w:color="auto"/>
                  </w:divBdr>
                </w:div>
              </w:divsChild>
            </w:div>
            <w:div w:id="900335840">
              <w:marLeft w:val="0"/>
              <w:marRight w:val="0"/>
              <w:marTop w:val="0"/>
              <w:marBottom w:val="0"/>
              <w:divBdr>
                <w:top w:val="none" w:sz="0" w:space="0" w:color="auto"/>
                <w:left w:val="none" w:sz="0" w:space="0" w:color="auto"/>
                <w:bottom w:val="none" w:sz="0" w:space="0" w:color="auto"/>
                <w:right w:val="none" w:sz="0" w:space="0" w:color="auto"/>
              </w:divBdr>
              <w:divsChild>
                <w:div w:id="1886796455">
                  <w:marLeft w:val="0"/>
                  <w:marRight w:val="0"/>
                  <w:marTop w:val="0"/>
                  <w:marBottom w:val="0"/>
                  <w:divBdr>
                    <w:top w:val="none" w:sz="0" w:space="0" w:color="auto"/>
                    <w:left w:val="none" w:sz="0" w:space="0" w:color="auto"/>
                    <w:bottom w:val="none" w:sz="0" w:space="0" w:color="auto"/>
                    <w:right w:val="none" w:sz="0" w:space="0" w:color="auto"/>
                  </w:divBdr>
                </w:div>
              </w:divsChild>
            </w:div>
            <w:div w:id="34283274">
              <w:marLeft w:val="0"/>
              <w:marRight w:val="0"/>
              <w:marTop w:val="0"/>
              <w:marBottom w:val="0"/>
              <w:divBdr>
                <w:top w:val="none" w:sz="0" w:space="0" w:color="auto"/>
                <w:left w:val="none" w:sz="0" w:space="0" w:color="auto"/>
                <w:bottom w:val="none" w:sz="0" w:space="0" w:color="auto"/>
                <w:right w:val="none" w:sz="0" w:space="0" w:color="auto"/>
              </w:divBdr>
              <w:divsChild>
                <w:div w:id="2020153322">
                  <w:marLeft w:val="0"/>
                  <w:marRight w:val="0"/>
                  <w:marTop w:val="0"/>
                  <w:marBottom w:val="0"/>
                  <w:divBdr>
                    <w:top w:val="none" w:sz="0" w:space="0" w:color="auto"/>
                    <w:left w:val="none" w:sz="0" w:space="0" w:color="auto"/>
                    <w:bottom w:val="none" w:sz="0" w:space="0" w:color="auto"/>
                    <w:right w:val="none" w:sz="0" w:space="0" w:color="auto"/>
                  </w:divBdr>
                </w:div>
              </w:divsChild>
            </w:div>
            <w:div w:id="2122987917">
              <w:marLeft w:val="0"/>
              <w:marRight w:val="0"/>
              <w:marTop w:val="0"/>
              <w:marBottom w:val="0"/>
              <w:divBdr>
                <w:top w:val="none" w:sz="0" w:space="0" w:color="auto"/>
                <w:left w:val="none" w:sz="0" w:space="0" w:color="auto"/>
                <w:bottom w:val="none" w:sz="0" w:space="0" w:color="auto"/>
                <w:right w:val="none" w:sz="0" w:space="0" w:color="auto"/>
              </w:divBdr>
              <w:divsChild>
                <w:div w:id="1682051383">
                  <w:marLeft w:val="0"/>
                  <w:marRight w:val="0"/>
                  <w:marTop w:val="0"/>
                  <w:marBottom w:val="0"/>
                  <w:divBdr>
                    <w:top w:val="none" w:sz="0" w:space="0" w:color="auto"/>
                    <w:left w:val="none" w:sz="0" w:space="0" w:color="auto"/>
                    <w:bottom w:val="none" w:sz="0" w:space="0" w:color="auto"/>
                    <w:right w:val="none" w:sz="0" w:space="0" w:color="auto"/>
                  </w:divBdr>
                </w:div>
              </w:divsChild>
            </w:div>
            <w:div w:id="904684791">
              <w:marLeft w:val="0"/>
              <w:marRight w:val="0"/>
              <w:marTop w:val="0"/>
              <w:marBottom w:val="0"/>
              <w:divBdr>
                <w:top w:val="none" w:sz="0" w:space="0" w:color="auto"/>
                <w:left w:val="none" w:sz="0" w:space="0" w:color="auto"/>
                <w:bottom w:val="none" w:sz="0" w:space="0" w:color="auto"/>
                <w:right w:val="none" w:sz="0" w:space="0" w:color="auto"/>
              </w:divBdr>
              <w:divsChild>
                <w:div w:id="1765689127">
                  <w:marLeft w:val="0"/>
                  <w:marRight w:val="0"/>
                  <w:marTop w:val="0"/>
                  <w:marBottom w:val="0"/>
                  <w:divBdr>
                    <w:top w:val="none" w:sz="0" w:space="0" w:color="auto"/>
                    <w:left w:val="none" w:sz="0" w:space="0" w:color="auto"/>
                    <w:bottom w:val="none" w:sz="0" w:space="0" w:color="auto"/>
                    <w:right w:val="none" w:sz="0" w:space="0" w:color="auto"/>
                  </w:divBdr>
                </w:div>
              </w:divsChild>
            </w:div>
            <w:div w:id="977416307">
              <w:marLeft w:val="0"/>
              <w:marRight w:val="0"/>
              <w:marTop w:val="0"/>
              <w:marBottom w:val="0"/>
              <w:divBdr>
                <w:top w:val="none" w:sz="0" w:space="0" w:color="auto"/>
                <w:left w:val="none" w:sz="0" w:space="0" w:color="auto"/>
                <w:bottom w:val="none" w:sz="0" w:space="0" w:color="auto"/>
                <w:right w:val="none" w:sz="0" w:space="0" w:color="auto"/>
              </w:divBdr>
              <w:divsChild>
                <w:div w:id="218520817">
                  <w:marLeft w:val="0"/>
                  <w:marRight w:val="0"/>
                  <w:marTop w:val="0"/>
                  <w:marBottom w:val="0"/>
                  <w:divBdr>
                    <w:top w:val="none" w:sz="0" w:space="0" w:color="auto"/>
                    <w:left w:val="none" w:sz="0" w:space="0" w:color="auto"/>
                    <w:bottom w:val="none" w:sz="0" w:space="0" w:color="auto"/>
                    <w:right w:val="none" w:sz="0" w:space="0" w:color="auto"/>
                  </w:divBdr>
                </w:div>
              </w:divsChild>
            </w:div>
            <w:div w:id="1017390729">
              <w:marLeft w:val="0"/>
              <w:marRight w:val="0"/>
              <w:marTop w:val="0"/>
              <w:marBottom w:val="0"/>
              <w:divBdr>
                <w:top w:val="none" w:sz="0" w:space="0" w:color="auto"/>
                <w:left w:val="none" w:sz="0" w:space="0" w:color="auto"/>
                <w:bottom w:val="none" w:sz="0" w:space="0" w:color="auto"/>
                <w:right w:val="none" w:sz="0" w:space="0" w:color="auto"/>
              </w:divBdr>
              <w:divsChild>
                <w:div w:id="1047415655">
                  <w:marLeft w:val="0"/>
                  <w:marRight w:val="0"/>
                  <w:marTop w:val="0"/>
                  <w:marBottom w:val="0"/>
                  <w:divBdr>
                    <w:top w:val="none" w:sz="0" w:space="0" w:color="auto"/>
                    <w:left w:val="none" w:sz="0" w:space="0" w:color="auto"/>
                    <w:bottom w:val="none" w:sz="0" w:space="0" w:color="auto"/>
                    <w:right w:val="none" w:sz="0" w:space="0" w:color="auto"/>
                  </w:divBdr>
                </w:div>
              </w:divsChild>
            </w:div>
            <w:div w:id="912474194">
              <w:marLeft w:val="0"/>
              <w:marRight w:val="0"/>
              <w:marTop w:val="0"/>
              <w:marBottom w:val="0"/>
              <w:divBdr>
                <w:top w:val="none" w:sz="0" w:space="0" w:color="auto"/>
                <w:left w:val="none" w:sz="0" w:space="0" w:color="auto"/>
                <w:bottom w:val="none" w:sz="0" w:space="0" w:color="auto"/>
                <w:right w:val="none" w:sz="0" w:space="0" w:color="auto"/>
              </w:divBdr>
              <w:divsChild>
                <w:div w:id="1767997037">
                  <w:marLeft w:val="0"/>
                  <w:marRight w:val="0"/>
                  <w:marTop w:val="0"/>
                  <w:marBottom w:val="0"/>
                  <w:divBdr>
                    <w:top w:val="none" w:sz="0" w:space="0" w:color="auto"/>
                    <w:left w:val="none" w:sz="0" w:space="0" w:color="auto"/>
                    <w:bottom w:val="none" w:sz="0" w:space="0" w:color="auto"/>
                    <w:right w:val="none" w:sz="0" w:space="0" w:color="auto"/>
                  </w:divBdr>
                </w:div>
              </w:divsChild>
            </w:div>
            <w:div w:id="979501866">
              <w:marLeft w:val="0"/>
              <w:marRight w:val="0"/>
              <w:marTop w:val="0"/>
              <w:marBottom w:val="0"/>
              <w:divBdr>
                <w:top w:val="none" w:sz="0" w:space="0" w:color="auto"/>
                <w:left w:val="none" w:sz="0" w:space="0" w:color="auto"/>
                <w:bottom w:val="none" w:sz="0" w:space="0" w:color="auto"/>
                <w:right w:val="none" w:sz="0" w:space="0" w:color="auto"/>
              </w:divBdr>
              <w:divsChild>
                <w:div w:id="319818337">
                  <w:marLeft w:val="0"/>
                  <w:marRight w:val="0"/>
                  <w:marTop w:val="0"/>
                  <w:marBottom w:val="0"/>
                  <w:divBdr>
                    <w:top w:val="none" w:sz="0" w:space="0" w:color="auto"/>
                    <w:left w:val="none" w:sz="0" w:space="0" w:color="auto"/>
                    <w:bottom w:val="none" w:sz="0" w:space="0" w:color="auto"/>
                    <w:right w:val="none" w:sz="0" w:space="0" w:color="auto"/>
                  </w:divBdr>
                </w:div>
              </w:divsChild>
            </w:div>
            <w:div w:id="573054092">
              <w:marLeft w:val="0"/>
              <w:marRight w:val="0"/>
              <w:marTop w:val="0"/>
              <w:marBottom w:val="0"/>
              <w:divBdr>
                <w:top w:val="none" w:sz="0" w:space="0" w:color="auto"/>
                <w:left w:val="none" w:sz="0" w:space="0" w:color="auto"/>
                <w:bottom w:val="none" w:sz="0" w:space="0" w:color="auto"/>
                <w:right w:val="none" w:sz="0" w:space="0" w:color="auto"/>
              </w:divBdr>
              <w:divsChild>
                <w:div w:id="1515995281">
                  <w:marLeft w:val="0"/>
                  <w:marRight w:val="0"/>
                  <w:marTop w:val="0"/>
                  <w:marBottom w:val="0"/>
                  <w:divBdr>
                    <w:top w:val="none" w:sz="0" w:space="0" w:color="auto"/>
                    <w:left w:val="none" w:sz="0" w:space="0" w:color="auto"/>
                    <w:bottom w:val="none" w:sz="0" w:space="0" w:color="auto"/>
                    <w:right w:val="none" w:sz="0" w:space="0" w:color="auto"/>
                  </w:divBdr>
                </w:div>
              </w:divsChild>
            </w:div>
            <w:div w:id="1498686292">
              <w:marLeft w:val="0"/>
              <w:marRight w:val="0"/>
              <w:marTop w:val="0"/>
              <w:marBottom w:val="0"/>
              <w:divBdr>
                <w:top w:val="none" w:sz="0" w:space="0" w:color="auto"/>
                <w:left w:val="none" w:sz="0" w:space="0" w:color="auto"/>
                <w:bottom w:val="none" w:sz="0" w:space="0" w:color="auto"/>
                <w:right w:val="none" w:sz="0" w:space="0" w:color="auto"/>
              </w:divBdr>
              <w:divsChild>
                <w:div w:id="1204054563">
                  <w:marLeft w:val="0"/>
                  <w:marRight w:val="0"/>
                  <w:marTop w:val="0"/>
                  <w:marBottom w:val="0"/>
                  <w:divBdr>
                    <w:top w:val="none" w:sz="0" w:space="0" w:color="auto"/>
                    <w:left w:val="none" w:sz="0" w:space="0" w:color="auto"/>
                    <w:bottom w:val="none" w:sz="0" w:space="0" w:color="auto"/>
                    <w:right w:val="none" w:sz="0" w:space="0" w:color="auto"/>
                  </w:divBdr>
                </w:div>
              </w:divsChild>
            </w:div>
            <w:div w:id="119810705">
              <w:marLeft w:val="0"/>
              <w:marRight w:val="0"/>
              <w:marTop w:val="0"/>
              <w:marBottom w:val="0"/>
              <w:divBdr>
                <w:top w:val="none" w:sz="0" w:space="0" w:color="auto"/>
                <w:left w:val="none" w:sz="0" w:space="0" w:color="auto"/>
                <w:bottom w:val="none" w:sz="0" w:space="0" w:color="auto"/>
                <w:right w:val="none" w:sz="0" w:space="0" w:color="auto"/>
              </w:divBdr>
              <w:divsChild>
                <w:div w:id="1329553522">
                  <w:marLeft w:val="0"/>
                  <w:marRight w:val="0"/>
                  <w:marTop w:val="0"/>
                  <w:marBottom w:val="0"/>
                  <w:divBdr>
                    <w:top w:val="none" w:sz="0" w:space="0" w:color="auto"/>
                    <w:left w:val="none" w:sz="0" w:space="0" w:color="auto"/>
                    <w:bottom w:val="none" w:sz="0" w:space="0" w:color="auto"/>
                    <w:right w:val="none" w:sz="0" w:space="0" w:color="auto"/>
                  </w:divBdr>
                </w:div>
              </w:divsChild>
            </w:div>
            <w:div w:id="852720433">
              <w:marLeft w:val="0"/>
              <w:marRight w:val="0"/>
              <w:marTop w:val="0"/>
              <w:marBottom w:val="0"/>
              <w:divBdr>
                <w:top w:val="none" w:sz="0" w:space="0" w:color="auto"/>
                <w:left w:val="none" w:sz="0" w:space="0" w:color="auto"/>
                <w:bottom w:val="none" w:sz="0" w:space="0" w:color="auto"/>
                <w:right w:val="none" w:sz="0" w:space="0" w:color="auto"/>
              </w:divBdr>
              <w:divsChild>
                <w:div w:id="172379883">
                  <w:marLeft w:val="0"/>
                  <w:marRight w:val="0"/>
                  <w:marTop w:val="0"/>
                  <w:marBottom w:val="0"/>
                  <w:divBdr>
                    <w:top w:val="none" w:sz="0" w:space="0" w:color="auto"/>
                    <w:left w:val="none" w:sz="0" w:space="0" w:color="auto"/>
                    <w:bottom w:val="none" w:sz="0" w:space="0" w:color="auto"/>
                    <w:right w:val="none" w:sz="0" w:space="0" w:color="auto"/>
                  </w:divBdr>
                </w:div>
              </w:divsChild>
            </w:div>
            <w:div w:id="1237787849">
              <w:marLeft w:val="0"/>
              <w:marRight w:val="0"/>
              <w:marTop w:val="0"/>
              <w:marBottom w:val="0"/>
              <w:divBdr>
                <w:top w:val="none" w:sz="0" w:space="0" w:color="auto"/>
                <w:left w:val="none" w:sz="0" w:space="0" w:color="auto"/>
                <w:bottom w:val="none" w:sz="0" w:space="0" w:color="auto"/>
                <w:right w:val="none" w:sz="0" w:space="0" w:color="auto"/>
              </w:divBdr>
              <w:divsChild>
                <w:div w:id="7163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573">
          <w:marLeft w:val="0"/>
          <w:marRight w:val="0"/>
          <w:marTop w:val="0"/>
          <w:marBottom w:val="600"/>
          <w:divBdr>
            <w:top w:val="none" w:sz="0" w:space="0" w:color="auto"/>
            <w:left w:val="none" w:sz="0" w:space="0" w:color="auto"/>
            <w:bottom w:val="none" w:sz="0" w:space="0" w:color="auto"/>
            <w:right w:val="none" w:sz="0" w:space="0" w:color="auto"/>
          </w:divBdr>
        </w:div>
      </w:divsChild>
    </w:div>
    <w:div w:id="60174562">
      <w:marLeft w:val="0"/>
      <w:marRight w:val="0"/>
      <w:marTop w:val="0"/>
      <w:marBottom w:val="0"/>
      <w:divBdr>
        <w:top w:val="none" w:sz="0" w:space="0" w:color="auto"/>
        <w:left w:val="none" w:sz="0" w:space="0" w:color="auto"/>
        <w:bottom w:val="none" w:sz="0" w:space="0" w:color="auto"/>
        <w:right w:val="none" w:sz="0" w:space="0" w:color="auto"/>
      </w:divBdr>
      <w:divsChild>
        <w:div w:id="2033719781">
          <w:marLeft w:val="0"/>
          <w:marRight w:val="0"/>
          <w:marTop w:val="600"/>
          <w:marBottom w:val="0"/>
          <w:divBdr>
            <w:top w:val="none" w:sz="0" w:space="0" w:color="auto"/>
            <w:left w:val="none" w:sz="0" w:space="0" w:color="auto"/>
            <w:bottom w:val="none" w:sz="0" w:space="0" w:color="auto"/>
            <w:right w:val="none" w:sz="0" w:space="0" w:color="auto"/>
          </w:divBdr>
        </w:div>
        <w:div w:id="62458036">
          <w:marLeft w:val="0"/>
          <w:marRight w:val="0"/>
          <w:marTop w:val="0"/>
          <w:marBottom w:val="0"/>
          <w:divBdr>
            <w:top w:val="none" w:sz="0" w:space="0" w:color="auto"/>
            <w:left w:val="none" w:sz="0" w:space="0" w:color="auto"/>
            <w:bottom w:val="none" w:sz="0" w:space="0" w:color="auto"/>
            <w:right w:val="none" w:sz="0" w:space="0" w:color="auto"/>
          </w:divBdr>
        </w:div>
        <w:div w:id="1937980343">
          <w:marLeft w:val="0"/>
          <w:marRight w:val="0"/>
          <w:marTop w:val="0"/>
          <w:marBottom w:val="600"/>
          <w:divBdr>
            <w:top w:val="none" w:sz="0" w:space="0" w:color="auto"/>
            <w:left w:val="none" w:sz="0" w:space="0" w:color="auto"/>
            <w:bottom w:val="none" w:sz="0" w:space="0" w:color="auto"/>
            <w:right w:val="none" w:sz="0" w:space="0" w:color="auto"/>
          </w:divBdr>
        </w:div>
      </w:divsChild>
    </w:div>
    <w:div w:id="61759616">
      <w:marLeft w:val="0"/>
      <w:marRight w:val="0"/>
      <w:marTop w:val="0"/>
      <w:marBottom w:val="0"/>
      <w:divBdr>
        <w:top w:val="none" w:sz="0" w:space="0" w:color="auto"/>
        <w:left w:val="none" w:sz="0" w:space="0" w:color="auto"/>
        <w:bottom w:val="none" w:sz="0" w:space="0" w:color="auto"/>
        <w:right w:val="none" w:sz="0" w:space="0" w:color="auto"/>
      </w:divBdr>
      <w:divsChild>
        <w:div w:id="1758093418">
          <w:marLeft w:val="0"/>
          <w:marRight w:val="0"/>
          <w:marTop w:val="600"/>
          <w:marBottom w:val="0"/>
          <w:divBdr>
            <w:top w:val="none" w:sz="0" w:space="0" w:color="auto"/>
            <w:left w:val="none" w:sz="0" w:space="0" w:color="auto"/>
            <w:bottom w:val="none" w:sz="0" w:space="0" w:color="auto"/>
            <w:right w:val="none" w:sz="0" w:space="0" w:color="auto"/>
          </w:divBdr>
        </w:div>
        <w:div w:id="1930380359">
          <w:marLeft w:val="0"/>
          <w:marRight w:val="0"/>
          <w:marTop w:val="0"/>
          <w:marBottom w:val="0"/>
          <w:divBdr>
            <w:top w:val="none" w:sz="0" w:space="0" w:color="auto"/>
            <w:left w:val="none" w:sz="0" w:space="0" w:color="auto"/>
            <w:bottom w:val="none" w:sz="0" w:space="0" w:color="auto"/>
            <w:right w:val="none" w:sz="0" w:space="0" w:color="auto"/>
          </w:divBdr>
        </w:div>
        <w:div w:id="2116517620">
          <w:marLeft w:val="0"/>
          <w:marRight w:val="0"/>
          <w:marTop w:val="0"/>
          <w:marBottom w:val="600"/>
          <w:divBdr>
            <w:top w:val="none" w:sz="0" w:space="0" w:color="auto"/>
            <w:left w:val="none" w:sz="0" w:space="0" w:color="auto"/>
            <w:bottom w:val="none" w:sz="0" w:space="0" w:color="auto"/>
            <w:right w:val="none" w:sz="0" w:space="0" w:color="auto"/>
          </w:divBdr>
        </w:div>
      </w:divsChild>
    </w:div>
    <w:div w:id="96103619">
      <w:marLeft w:val="0"/>
      <w:marRight w:val="0"/>
      <w:marTop w:val="0"/>
      <w:marBottom w:val="0"/>
      <w:divBdr>
        <w:top w:val="none" w:sz="0" w:space="0" w:color="auto"/>
        <w:left w:val="none" w:sz="0" w:space="0" w:color="auto"/>
        <w:bottom w:val="none" w:sz="0" w:space="0" w:color="auto"/>
        <w:right w:val="none" w:sz="0" w:space="0" w:color="auto"/>
      </w:divBdr>
      <w:divsChild>
        <w:div w:id="29654536">
          <w:marLeft w:val="0"/>
          <w:marRight w:val="0"/>
          <w:marTop w:val="600"/>
          <w:marBottom w:val="0"/>
          <w:divBdr>
            <w:top w:val="none" w:sz="0" w:space="0" w:color="auto"/>
            <w:left w:val="none" w:sz="0" w:space="0" w:color="auto"/>
            <w:bottom w:val="none" w:sz="0" w:space="0" w:color="auto"/>
            <w:right w:val="none" w:sz="0" w:space="0" w:color="auto"/>
          </w:divBdr>
        </w:div>
        <w:div w:id="498470738">
          <w:marLeft w:val="0"/>
          <w:marRight w:val="0"/>
          <w:marTop w:val="0"/>
          <w:marBottom w:val="0"/>
          <w:divBdr>
            <w:top w:val="none" w:sz="0" w:space="0" w:color="auto"/>
            <w:left w:val="none" w:sz="0" w:space="0" w:color="auto"/>
            <w:bottom w:val="none" w:sz="0" w:space="0" w:color="auto"/>
            <w:right w:val="none" w:sz="0" w:space="0" w:color="auto"/>
          </w:divBdr>
        </w:div>
        <w:div w:id="1213812191">
          <w:marLeft w:val="0"/>
          <w:marRight w:val="0"/>
          <w:marTop w:val="0"/>
          <w:marBottom w:val="600"/>
          <w:divBdr>
            <w:top w:val="none" w:sz="0" w:space="0" w:color="auto"/>
            <w:left w:val="none" w:sz="0" w:space="0" w:color="auto"/>
            <w:bottom w:val="none" w:sz="0" w:space="0" w:color="auto"/>
            <w:right w:val="none" w:sz="0" w:space="0" w:color="auto"/>
          </w:divBdr>
        </w:div>
      </w:divsChild>
    </w:div>
    <w:div w:id="124858562">
      <w:marLeft w:val="0"/>
      <w:marRight w:val="0"/>
      <w:marTop w:val="0"/>
      <w:marBottom w:val="0"/>
      <w:divBdr>
        <w:top w:val="none" w:sz="0" w:space="0" w:color="auto"/>
        <w:left w:val="none" w:sz="0" w:space="0" w:color="auto"/>
        <w:bottom w:val="none" w:sz="0" w:space="0" w:color="auto"/>
        <w:right w:val="none" w:sz="0" w:space="0" w:color="auto"/>
      </w:divBdr>
      <w:divsChild>
        <w:div w:id="899902910">
          <w:marLeft w:val="0"/>
          <w:marRight w:val="0"/>
          <w:marTop w:val="600"/>
          <w:marBottom w:val="0"/>
          <w:divBdr>
            <w:top w:val="none" w:sz="0" w:space="0" w:color="auto"/>
            <w:left w:val="none" w:sz="0" w:space="0" w:color="auto"/>
            <w:bottom w:val="none" w:sz="0" w:space="0" w:color="auto"/>
            <w:right w:val="none" w:sz="0" w:space="0" w:color="auto"/>
          </w:divBdr>
        </w:div>
        <w:div w:id="1627465368">
          <w:marLeft w:val="0"/>
          <w:marRight w:val="0"/>
          <w:marTop w:val="0"/>
          <w:marBottom w:val="0"/>
          <w:divBdr>
            <w:top w:val="none" w:sz="0" w:space="0" w:color="auto"/>
            <w:left w:val="none" w:sz="0" w:space="0" w:color="auto"/>
            <w:bottom w:val="none" w:sz="0" w:space="0" w:color="auto"/>
            <w:right w:val="none" w:sz="0" w:space="0" w:color="auto"/>
          </w:divBdr>
          <w:divsChild>
            <w:div w:id="12729705">
              <w:marLeft w:val="0"/>
              <w:marRight w:val="0"/>
              <w:marTop w:val="0"/>
              <w:marBottom w:val="0"/>
              <w:divBdr>
                <w:top w:val="none" w:sz="0" w:space="0" w:color="auto"/>
                <w:left w:val="none" w:sz="0" w:space="0" w:color="auto"/>
                <w:bottom w:val="none" w:sz="0" w:space="0" w:color="auto"/>
                <w:right w:val="none" w:sz="0" w:space="0" w:color="auto"/>
              </w:divBdr>
              <w:divsChild>
                <w:div w:id="1064792732">
                  <w:marLeft w:val="0"/>
                  <w:marRight w:val="0"/>
                  <w:marTop w:val="0"/>
                  <w:marBottom w:val="0"/>
                  <w:divBdr>
                    <w:top w:val="none" w:sz="0" w:space="0" w:color="auto"/>
                    <w:left w:val="none" w:sz="0" w:space="0" w:color="auto"/>
                    <w:bottom w:val="none" w:sz="0" w:space="0" w:color="auto"/>
                    <w:right w:val="none" w:sz="0" w:space="0" w:color="auto"/>
                  </w:divBdr>
                </w:div>
              </w:divsChild>
            </w:div>
            <w:div w:id="1700736085">
              <w:marLeft w:val="0"/>
              <w:marRight w:val="0"/>
              <w:marTop w:val="0"/>
              <w:marBottom w:val="0"/>
              <w:divBdr>
                <w:top w:val="none" w:sz="0" w:space="0" w:color="auto"/>
                <w:left w:val="none" w:sz="0" w:space="0" w:color="auto"/>
                <w:bottom w:val="none" w:sz="0" w:space="0" w:color="auto"/>
                <w:right w:val="none" w:sz="0" w:space="0" w:color="auto"/>
              </w:divBdr>
              <w:divsChild>
                <w:div w:id="267280173">
                  <w:marLeft w:val="0"/>
                  <w:marRight w:val="0"/>
                  <w:marTop w:val="0"/>
                  <w:marBottom w:val="0"/>
                  <w:divBdr>
                    <w:top w:val="none" w:sz="0" w:space="0" w:color="auto"/>
                    <w:left w:val="none" w:sz="0" w:space="0" w:color="auto"/>
                    <w:bottom w:val="none" w:sz="0" w:space="0" w:color="auto"/>
                    <w:right w:val="none" w:sz="0" w:space="0" w:color="auto"/>
                  </w:divBdr>
                </w:div>
              </w:divsChild>
            </w:div>
            <w:div w:id="558905551">
              <w:marLeft w:val="0"/>
              <w:marRight w:val="0"/>
              <w:marTop w:val="0"/>
              <w:marBottom w:val="0"/>
              <w:divBdr>
                <w:top w:val="none" w:sz="0" w:space="0" w:color="auto"/>
                <w:left w:val="none" w:sz="0" w:space="0" w:color="auto"/>
                <w:bottom w:val="none" w:sz="0" w:space="0" w:color="auto"/>
                <w:right w:val="none" w:sz="0" w:space="0" w:color="auto"/>
              </w:divBdr>
              <w:divsChild>
                <w:div w:id="1499686099">
                  <w:marLeft w:val="0"/>
                  <w:marRight w:val="0"/>
                  <w:marTop w:val="0"/>
                  <w:marBottom w:val="0"/>
                  <w:divBdr>
                    <w:top w:val="none" w:sz="0" w:space="0" w:color="auto"/>
                    <w:left w:val="none" w:sz="0" w:space="0" w:color="auto"/>
                    <w:bottom w:val="none" w:sz="0" w:space="0" w:color="auto"/>
                    <w:right w:val="none" w:sz="0" w:space="0" w:color="auto"/>
                  </w:divBdr>
                </w:div>
              </w:divsChild>
            </w:div>
            <w:div w:id="1744184788">
              <w:marLeft w:val="0"/>
              <w:marRight w:val="0"/>
              <w:marTop w:val="0"/>
              <w:marBottom w:val="0"/>
              <w:divBdr>
                <w:top w:val="none" w:sz="0" w:space="0" w:color="auto"/>
                <w:left w:val="none" w:sz="0" w:space="0" w:color="auto"/>
                <w:bottom w:val="none" w:sz="0" w:space="0" w:color="auto"/>
                <w:right w:val="none" w:sz="0" w:space="0" w:color="auto"/>
              </w:divBdr>
              <w:divsChild>
                <w:div w:id="1863207553">
                  <w:marLeft w:val="0"/>
                  <w:marRight w:val="0"/>
                  <w:marTop w:val="0"/>
                  <w:marBottom w:val="0"/>
                  <w:divBdr>
                    <w:top w:val="none" w:sz="0" w:space="0" w:color="auto"/>
                    <w:left w:val="none" w:sz="0" w:space="0" w:color="auto"/>
                    <w:bottom w:val="none" w:sz="0" w:space="0" w:color="auto"/>
                    <w:right w:val="none" w:sz="0" w:space="0" w:color="auto"/>
                  </w:divBdr>
                </w:div>
              </w:divsChild>
            </w:div>
            <w:div w:id="1157305669">
              <w:marLeft w:val="0"/>
              <w:marRight w:val="0"/>
              <w:marTop w:val="0"/>
              <w:marBottom w:val="0"/>
              <w:divBdr>
                <w:top w:val="none" w:sz="0" w:space="0" w:color="auto"/>
                <w:left w:val="none" w:sz="0" w:space="0" w:color="auto"/>
                <w:bottom w:val="none" w:sz="0" w:space="0" w:color="auto"/>
                <w:right w:val="none" w:sz="0" w:space="0" w:color="auto"/>
              </w:divBdr>
              <w:divsChild>
                <w:div w:id="1107459910">
                  <w:marLeft w:val="0"/>
                  <w:marRight w:val="0"/>
                  <w:marTop w:val="0"/>
                  <w:marBottom w:val="0"/>
                  <w:divBdr>
                    <w:top w:val="none" w:sz="0" w:space="0" w:color="auto"/>
                    <w:left w:val="none" w:sz="0" w:space="0" w:color="auto"/>
                    <w:bottom w:val="none" w:sz="0" w:space="0" w:color="auto"/>
                    <w:right w:val="none" w:sz="0" w:space="0" w:color="auto"/>
                  </w:divBdr>
                </w:div>
              </w:divsChild>
            </w:div>
            <w:div w:id="835654610">
              <w:marLeft w:val="0"/>
              <w:marRight w:val="0"/>
              <w:marTop w:val="0"/>
              <w:marBottom w:val="0"/>
              <w:divBdr>
                <w:top w:val="none" w:sz="0" w:space="0" w:color="auto"/>
                <w:left w:val="none" w:sz="0" w:space="0" w:color="auto"/>
                <w:bottom w:val="none" w:sz="0" w:space="0" w:color="auto"/>
                <w:right w:val="none" w:sz="0" w:space="0" w:color="auto"/>
              </w:divBdr>
              <w:divsChild>
                <w:div w:id="414933941">
                  <w:marLeft w:val="0"/>
                  <w:marRight w:val="0"/>
                  <w:marTop w:val="0"/>
                  <w:marBottom w:val="0"/>
                  <w:divBdr>
                    <w:top w:val="none" w:sz="0" w:space="0" w:color="auto"/>
                    <w:left w:val="none" w:sz="0" w:space="0" w:color="auto"/>
                    <w:bottom w:val="none" w:sz="0" w:space="0" w:color="auto"/>
                    <w:right w:val="none" w:sz="0" w:space="0" w:color="auto"/>
                  </w:divBdr>
                </w:div>
              </w:divsChild>
            </w:div>
            <w:div w:id="20516984">
              <w:marLeft w:val="0"/>
              <w:marRight w:val="0"/>
              <w:marTop w:val="0"/>
              <w:marBottom w:val="0"/>
              <w:divBdr>
                <w:top w:val="none" w:sz="0" w:space="0" w:color="auto"/>
                <w:left w:val="none" w:sz="0" w:space="0" w:color="auto"/>
                <w:bottom w:val="none" w:sz="0" w:space="0" w:color="auto"/>
                <w:right w:val="none" w:sz="0" w:space="0" w:color="auto"/>
              </w:divBdr>
              <w:divsChild>
                <w:div w:id="20695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663">
          <w:marLeft w:val="0"/>
          <w:marRight w:val="0"/>
          <w:marTop w:val="0"/>
          <w:marBottom w:val="600"/>
          <w:divBdr>
            <w:top w:val="none" w:sz="0" w:space="0" w:color="auto"/>
            <w:left w:val="none" w:sz="0" w:space="0" w:color="auto"/>
            <w:bottom w:val="none" w:sz="0" w:space="0" w:color="auto"/>
            <w:right w:val="none" w:sz="0" w:space="0" w:color="auto"/>
          </w:divBdr>
        </w:div>
      </w:divsChild>
    </w:div>
    <w:div w:id="162285233">
      <w:marLeft w:val="0"/>
      <w:marRight w:val="0"/>
      <w:marTop w:val="0"/>
      <w:marBottom w:val="0"/>
      <w:divBdr>
        <w:top w:val="none" w:sz="0" w:space="0" w:color="auto"/>
        <w:left w:val="none" w:sz="0" w:space="0" w:color="auto"/>
        <w:bottom w:val="none" w:sz="0" w:space="0" w:color="auto"/>
        <w:right w:val="none" w:sz="0" w:space="0" w:color="auto"/>
      </w:divBdr>
      <w:divsChild>
        <w:div w:id="283850220">
          <w:marLeft w:val="0"/>
          <w:marRight w:val="0"/>
          <w:marTop w:val="600"/>
          <w:marBottom w:val="0"/>
          <w:divBdr>
            <w:top w:val="none" w:sz="0" w:space="0" w:color="auto"/>
            <w:left w:val="none" w:sz="0" w:space="0" w:color="auto"/>
            <w:bottom w:val="none" w:sz="0" w:space="0" w:color="auto"/>
            <w:right w:val="none" w:sz="0" w:space="0" w:color="auto"/>
          </w:divBdr>
        </w:div>
        <w:div w:id="1579706610">
          <w:marLeft w:val="0"/>
          <w:marRight w:val="0"/>
          <w:marTop w:val="0"/>
          <w:marBottom w:val="0"/>
          <w:divBdr>
            <w:top w:val="none" w:sz="0" w:space="0" w:color="auto"/>
            <w:left w:val="none" w:sz="0" w:space="0" w:color="auto"/>
            <w:bottom w:val="none" w:sz="0" w:space="0" w:color="auto"/>
            <w:right w:val="none" w:sz="0" w:space="0" w:color="auto"/>
          </w:divBdr>
        </w:div>
        <w:div w:id="751901254">
          <w:marLeft w:val="0"/>
          <w:marRight w:val="0"/>
          <w:marTop w:val="0"/>
          <w:marBottom w:val="600"/>
          <w:divBdr>
            <w:top w:val="none" w:sz="0" w:space="0" w:color="auto"/>
            <w:left w:val="none" w:sz="0" w:space="0" w:color="auto"/>
            <w:bottom w:val="none" w:sz="0" w:space="0" w:color="auto"/>
            <w:right w:val="none" w:sz="0" w:space="0" w:color="auto"/>
          </w:divBdr>
        </w:div>
      </w:divsChild>
    </w:div>
    <w:div w:id="171604285">
      <w:marLeft w:val="0"/>
      <w:marRight w:val="0"/>
      <w:marTop w:val="0"/>
      <w:marBottom w:val="0"/>
      <w:divBdr>
        <w:top w:val="none" w:sz="0" w:space="0" w:color="auto"/>
        <w:left w:val="none" w:sz="0" w:space="0" w:color="auto"/>
        <w:bottom w:val="none" w:sz="0" w:space="0" w:color="auto"/>
        <w:right w:val="none" w:sz="0" w:space="0" w:color="auto"/>
      </w:divBdr>
      <w:divsChild>
        <w:div w:id="1057709383">
          <w:marLeft w:val="0"/>
          <w:marRight w:val="0"/>
          <w:marTop w:val="600"/>
          <w:marBottom w:val="0"/>
          <w:divBdr>
            <w:top w:val="none" w:sz="0" w:space="0" w:color="auto"/>
            <w:left w:val="none" w:sz="0" w:space="0" w:color="auto"/>
            <w:bottom w:val="none" w:sz="0" w:space="0" w:color="auto"/>
            <w:right w:val="none" w:sz="0" w:space="0" w:color="auto"/>
          </w:divBdr>
        </w:div>
        <w:div w:id="1269966050">
          <w:marLeft w:val="0"/>
          <w:marRight w:val="0"/>
          <w:marTop w:val="0"/>
          <w:marBottom w:val="0"/>
          <w:divBdr>
            <w:top w:val="none" w:sz="0" w:space="0" w:color="auto"/>
            <w:left w:val="none" w:sz="0" w:space="0" w:color="auto"/>
            <w:bottom w:val="none" w:sz="0" w:space="0" w:color="auto"/>
            <w:right w:val="none" w:sz="0" w:space="0" w:color="auto"/>
          </w:divBdr>
        </w:div>
        <w:div w:id="2064599636">
          <w:marLeft w:val="0"/>
          <w:marRight w:val="0"/>
          <w:marTop w:val="0"/>
          <w:marBottom w:val="600"/>
          <w:divBdr>
            <w:top w:val="none" w:sz="0" w:space="0" w:color="auto"/>
            <w:left w:val="none" w:sz="0" w:space="0" w:color="auto"/>
            <w:bottom w:val="none" w:sz="0" w:space="0" w:color="auto"/>
            <w:right w:val="none" w:sz="0" w:space="0" w:color="auto"/>
          </w:divBdr>
        </w:div>
      </w:divsChild>
    </w:div>
    <w:div w:id="199781918">
      <w:marLeft w:val="0"/>
      <w:marRight w:val="0"/>
      <w:marTop w:val="0"/>
      <w:marBottom w:val="0"/>
      <w:divBdr>
        <w:top w:val="none" w:sz="0" w:space="0" w:color="auto"/>
        <w:left w:val="none" w:sz="0" w:space="0" w:color="auto"/>
        <w:bottom w:val="none" w:sz="0" w:space="0" w:color="auto"/>
        <w:right w:val="none" w:sz="0" w:space="0" w:color="auto"/>
      </w:divBdr>
      <w:divsChild>
        <w:div w:id="1401295946">
          <w:marLeft w:val="0"/>
          <w:marRight w:val="0"/>
          <w:marTop w:val="600"/>
          <w:marBottom w:val="0"/>
          <w:divBdr>
            <w:top w:val="none" w:sz="0" w:space="0" w:color="auto"/>
            <w:left w:val="none" w:sz="0" w:space="0" w:color="auto"/>
            <w:bottom w:val="none" w:sz="0" w:space="0" w:color="auto"/>
            <w:right w:val="none" w:sz="0" w:space="0" w:color="auto"/>
          </w:divBdr>
        </w:div>
        <w:div w:id="1843203194">
          <w:marLeft w:val="0"/>
          <w:marRight w:val="0"/>
          <w:marTop w:val="0"/>
          <w:marBottom w:val="0"/>
          <w:divBdr>
            <w:top w:val="none" w:sz="0" w:space="0" w:color="auto"/>
            <w:left w:val="none" w:sz="0" w:space="0" w:color="auto"/>
            <w:bottom w:val="none" w:sz="0" w:space="0" w:color="auto"/>
            <w:right w:val="none" w:sz="0" w:space="0" w:color="auto"/>
          </w:divBdr>
        </w:div>
        <w:div w:id="1081413056">
          <w:marLeft w:val="0"/>
          <w:marRight w:val="0"/>
          <w:marTop w:val="0"/>
          <w:marBottom w:val="600"/>
          <w:divBdr>
            <w:top w:val="none" w:sz="0" w:space="0" w:color="auto"/>
            <w:left w:val="none" w:sz="0" w:space="0" w:color="auto"/>
            <w:bottom w:val="none" w:sz="0" w:space="0" w:color="auto"/>
            <w:right w:val="none" w:sz="0" w:space="0" w:color="auto"/>
          </w:divBdr>
        </w:div>
      </w:divsChild>
    </w:div>
    <w:div w:id="202330706">
      <w:marLeft w:val="0"/>
      <w:marRight w:val="0"/>
      <w:marTop w:val="0"/>
      <w:marBottom w:val="0"/>
      <w:divBdr>
        <w:top w:val="none" w:sz="0" w:space="0" w:color="auto"/>
        <w:left w:val="none" w:sz="0" w:space="0" w:color="auto"/>
        <w:bottom w:val="none" w:sz="0" w:space="0" w:color="auto"/>
        <w:right w:val="none" w:sz="0" w:space="0" w:color="auto"/>
      </w:divBdr>
      <w:divsChild>
        <w:div w:id="1657999666">
          <w:marLeft w:val="0"/>
          <w:marRight w:val="0"/>
          <w:marTop w:val="600"/>
          <w:marBottom w:val="0"/>
          <w:divBdr>
            <w:top w:val="none" w:sz="0" w:space="0" w:color="auto"/>
            <w:left w:val="none" w:sz="0" w:space="0" w:color="auto"/>
            <w:bottom w:val="none" w:sz="0" w:space="0" w:color="auto"/>
            <w:right w:val="none" w:sz="0" w:space="0" w:color="auto"/>
          </w:divBdr>
        </w:div>
        <w:div w:id="1024406696">
          <w:marLeft w:val="0"/>
          <w:marRight w:val="0"/>
          <w:marTop w:val="0"/>
          <w:marBottom w:val="0"/>
          <w:divBdr>
            <w:top w:val="none" w:sz="0" w:space="0" w:color="auto"/>
            <w:left w:val="none" w:sz="0" w:space="0" w:color="auto"/>
            <w:bottom w:val="none" w:sz="0" w:space="0" w:color="auto"/>
            <w:right w:val="none" w:sz="0" w:space="0" w:color="auto"/>
          </w:divBdr>
        </w:div>
        <w:div w:id="825977076">
          <w:marLeft w:val="0"/>
          <w:marRight w:val="0"/>
          <w:marTop w:val="0"/>
          <w:marBottom w:val="600"/>
          <w:divBdr>
            <w:top w:val="none" w:sz="0" w:space="0" w:color="auto"/>
            <w:left w:val="none" w:sz="0" w:space="0" w:color="auto"/>
            <w:bottom w:val="none" w:sz="0" w:space="0" w:color="auto"/>
            <w:right w:val="none" w:sz="0" w:space="0" w:color="auto"/>
          </w:divBdr>
        </w:div>
      </w:divsChild>
    </w:div>
    <w:div w:id="204876313">
      <w:marLeft w:val="0"/>
      <w:marRight w:val="0"/>
      <w:marTop w:val="0"/>
      <w:marBottom w:val="0"/>
      <w:divBdr>
        <w:top w:val="none" w:sz="0" w:space="0" w:color="auto"/>
        <w:left w:val="none" w:sz="0" w:space="0" w:color="auto"/>
        <w:bottom w:val="none" w:sz="0" w:space="0" w:color="auto"/>
        <w:right w:val="none" w:sz="0" w:space="0" w:color="auto"/>
      </w:divBdr>
      <w:divsChild>
        <w:div w:id="675961671">
          <w:marLeft w:val="0"/>
          <w:marRight w:val="0"/>
          <w:marTop w:val="600"/>
          <w:marBottom w:val="0"/>
          <w:divBdr>
            <w:top w:val="none" w:sz="0" w:space="0" w:color="auto"/>
            <w:left w:val="none" w:sz="0" w:space="0" w:color="auto"/>
            <w:bottom w:val="none" w:sz="0" w:space="0" w:color="auto"/>
            <w:right w:val="none" w:sz="0" w:space="0" w:color="auto"/>
          </w:divBdr>
        </w:div>
        <w:div w:id="880048575">
          <w:marLeft w:val="0"/>
          <w:marRight w:val="0"/>
          <w:marTop w:val="0"/>
          <w:marBottom w:val="0"/>
          <w:divBdr>
            <w:top w:val="none" w:sz="0" w:space="0" w:color="auto"/>
            <w:left w:val="none" w:sz="0" w:space="0" w:color="auto"/>
            <w:bottom w:val="none" w:sz="0" w:space="0" w:color="auto"/>
            <w:right w:val="none" w:sz="0" w:space="0" w:color="auto"/>
          </w:divBdr>
        </w:div>
        <w:div w:id="1033186090">
          <w:marLeft w:val="0"/>
          <w:marRight w:val="0"/>
          <w:marTop w:val="0"/>
          <w:marBottom w:val="600"/>
          <w:divBdr>
            <w:top w:val="none" w:sz="0" w:space="0" w:color="auto"/>
            <w:left w:val="none" w:sz="0" w:space="0" w:color="auto"/>
            <w:bottom w:val="none" w:sz="0" w:space="0" w:color="auto"/>
            <w:right w:val="none" w:sz="0" w:space="0" w:color="auto"/>
          </w:divBdr>
        </w:div>
      </w:divsChild>
    </w:div>
    <w:div w:id="205875751">
      <w:marLeft w:val="0"/>
      <w:marRight w:val="0"/>
      <w:marTop w:val="0"/>
      <w:marBottom w:val="0"/>
      <w:divBdr>
        <w:top w:val="none" w:sz="0" w:space="0" w:color="auto"/>
        <w:left w:val="none" w:sz="0" w:space="0" w:color="auto"/>
        <w:bottom w:val="none" w:sz="0" w:space="0" w:color="auto"/>
        <w:right w:val="none" w:sz="0" w:space="0" w:color="auto"/>
      </w:divBdr>
      <w:divsChild>
        <w:div w:id="1336222950">
          <w:marLeft w:val="0"/>
          <w:marRight w:val="0"/>
          <w:marTop w:val="600"/>
          <w:marBottom w:val="0"/>
          <w:divBdr>
            <w:top w:val="none" w:sz="0" w:space="0" w:color="auto"/>
            <w:left w:val="none" w:sz="0" w:space="0" w:color="auto"/>
            <w:bottom w:val="none" w:sz="0" w:space="0" w:color="auto"/>
            <w:right w:val="none" w:sz="0" w:space="0" w:color="auto"/>
          </w:divBdr>
        </w:div>
        <w:div w:id="1524128748">
          <w:marLeft w:val="0"/>
          <w:marRight w:val="0"/>
          <w:marTop w:val="0"/>
          <w:marBottom w:val="0"/>
          <w:divBdr>
            <w:top w:val="none" w:sz="0" w:space="0" w:color="auto"/>
            <w:left w:val="none" w:sz="0" w:space="0" w:color="auto"/>
            <w:bottom w:val="none" w:sz="0" w:space="0" w:color="auto"/>
            <w:right w:val="none" w:sz="0" w:space="0" w:color="auto"/>
          </w:divBdr>
        </w:div>
        <w:div w:id="122622684">
          <w:marLeft w:val="0"/>
          <w:marRight w:val="0"/>
          <w:marTop w:val="0"/>
          <w:marBottom w:val="600"/>
          <w:divBdr>
            <w:top w:val="none" w:sz="0" w:space="0" w:color="auto"/>
            <w:left w:val="none" w:sz="0" w:space="0" w:color="auto"/>
            <w:bottom w:val="none" w:sz="0" w:space="0" w:color="auto"/>
            <w:right w:val="none" w:sz="0" w:space="0" w:color="auto"/>
          </w:divBdr>
        </w:div>
      </w:divsChild>
    </w:div>
    <w:div w:id="252275727">
      <w:marLeft w:val="0"/>
      <w:marRight w:val="0"/>
      <w:marTop w:val="0"/>
      <w:marBottom w:val="0"/>
      <w:divBdr>
        <w:top w:val="none" w:sz="0" w:space="0" w:color="auto"/>
        <w:left w:val="none" w:sz="0" w:space="0" w:color="auto"/>
        <w:bottom w:val="none" w:sz="0" w:space="0" w:color="auto"/>
        <w:right w:val="none" w:sz="0" w:space="0" w:color="auto"/>
      </w:divBdr>
      <w:divsChild>
        <w:div w:id="464855874">
          <w:marLeft w:val="0"/>
          <w:marRight w:val="0"/>
          <w:marTop w:val="600"/>
          <w:marBottom w:val="0"/>
          <w:divBdr>
            <w:top w:val="none" w:sz="0" w:space="0" w:color="auto"/>
            <w:left w:val="none" w:sz="0" w:space="0" w:color="auto"/>
            <w:bottom w:val="none" w:sz="0" w:space="0" w:color="auto"/>
            <w:right w:val="none" w:sz="0" w:space="0" w:color="auto"/>
          </w:divBdr>
        </w:div>
        <w:div w:id="758066229">
          <w:marLeft w:val="0"/>
          <w:marRight w:val="0"/>
          <w:marTop w:val="0"/>
          <w:marBottom w:val="0"/>
          <w:divBdr>
            <w:top w:val="none" w:sz="0" w:space="0" w:color="auto"/>
            <w:left w:val="none" w:sz="0" w:space="0" w:color="auto"/>
            <w:bottom w:val="none" w:sz="0" w:space="0" w:color="auto"/>
            <w:right w:val="none" w:sz="0" w:space="0" w:color="auto"/>
          </w:divBdr>
        </w:div>
        <w:div w:id="2037727630">
          <w:marLeft w:val="0"/>
          <w:marRight w:val="0"/>
          <w:marTop w:val="0"/>
          <w:marBottom w:val="600"/>
          <w:divBdr>
            <w:top w:val="none" w:sz="0" w:space="0" w:color="auto"/>
            <w:left w:val="none" w:sz="0" w:space="0" w:color="auto"/>
            <w:bottom w:val="none" w:sz="0" w:space="0" w:color="auto"/>
            <w:right w:val="none" w:sz="0" w:space="0" w:color="auto"/>
          </w:divBdr>
        </w:div>
      </w:divsChild>
    </w:div>
    <w:div w:id="266936926">
      <w:marLeft w:val="0"/>
      <w:marRight w:val="0"/>
      <w:marTop w:val="0"/>
      <w:marBottom w:val="0"/>
      <w:divBdr>
        <w:top w:val="none" w:sz="0" w:space="0" w:color="auto"/>
        <w:left w:val="none" w:sz="0" w:space="0" w:color="auto"/>
        <w:bottom w:val="none" w:sz="0" w:space="0" w:color="auto"/>
        <w:right w:val="none" w:sz="0" w:space="0" w:color="auto"/>
      </w:divBdr>
      <w:divsChild>
        <w:div w:id="578903098">
          <w:marLeft w:val="0"/>
          <w:marRight w:val="0"/>
          <w:marTop w:val="600"/>
          <w:marBottom w:val="0"/>
          <w:divBdr>
            <w:top w:val="none" w:sz="0" w:space="0" w:color="auto"/>
            <w:left w:val="none" w:sz="0" w:space="0" w:color="auto"/>
            <w:bottom w:val="none" w:sz="0" w:space="0" w:color="auto"/>
            <w:right w:val="none" w:sz="0" w:space="0" w:color="auto"/>
          </w:divBdr>
        </w:div>
        <w:div w:id="779374157">
          <w:marLeft w:val="0"/>
          <w:marRight w:val="0"/>
          <w:marTop w:val="0"/>
          <w:marBottom w:val="0"/>
          <w:divBdr>
            <w:top w:val="none" w:sz="0" w:space="0" w:color="auto"/>
            <w:left w:val="none" w:sz="0" w:space="0" w:color="auto"/>
            <w:bottom w:val="none" w:sz="0" w:space="0" w:color="auto"/>
            <w:right w:val="none" w:sz="0" w:space="0" w:color="auto"/>
          </w:divBdr>
        </w:div>
        <w:div w:id="226452928">
          <w:marLeft w:val="0"/>
          <w:marRight w:val="0"/>
          <w:marTop w:val="0"/>
          <w:marBottom w:val="600"/>
          <w:divBdr>
            <w:top w:val="none" w:sz="0" w:space="0" w:color="auto"/>
            <w:left w:val="none" w:sz="0" w:space="0" w:color="auto"/>
            <w:bottom w:val="none" w:sz="0" w:space="0" w:color="auto"/>
            <w:right w:val="none" w:sz="0" w:space="0" w:color="auto"/>
          </w:divBdr>
        </w:div>
      </w:divsChild>
    </w:div>
    <w:div w:id="294482272">
      <w:marLeft w:val="0"/>
      <w:marRight w:val="0"/>
      <w:marTop w:val="0"/>
      <w:marBottom w:val="0"/>
      <w:divBdr>
        <w:top w:val="none" w:sz="0" w:space="0" w:color="auto"/>
        <w:left w:val="none" w:sz="0" w:space="0" w:color="auto"/>
        <w:bottom w:val="none" w:sz="0" w:space="0" w:color="auto"/>
        <w:right w:val="none" w:sz="0" w:space="0" w:color="auto"/>
      </w:divBdr>
      <w:divsChild>
        <w:div w:id="1186672237">
          <w:marLeft w:val="0"/>
          <w:marRight w:val="0"/>
          <w:marTop w:val="600"/>
          <w:marBottom w:val="0"/>
          <w:divBdr>
            <w:top w:val="none" w:sz="0" w:space="0" w:color="auto"/>
            <w:left w:val="none" w:sz="0" w:space="0" w:color="auto"/>
            <w:bottom w:val="none" w:sz="0" w:space="0" w:color="auto"/>
            <w:right w:val="none" w:sz="0" w:space="0" w:color="auto"/>
          </w:divBdr>
        </w:div>
        <w:div w:id="484518981">
          <w:marLeft w:val="0"/>
          <w:marRight w:val="0"/>
          <w:marTop w:val="0"/>
          <w:marBottom w:val="0"/>
          <w:divBdr>
            <w:top w:val="none" w:sz="0" w:space="0" w:color="auto"/>
            <w:left w:val="none" w:sz="0" w:space="0" w:color="auto"/>
            <w:bottom w:val="none" w:sz="0" w:space="0" w:color="auto"/>
            <w:right w:val="none" w:sz="0" w:space="0" w:color="auto"/>
          </w:divBdr>
        </w:div>
        <w:div w:id="2058893997">
          <w:marLeft w:val="0"/>
          <w:marRight w:val="0"/>
          <w:marTop w:val="0"/>
          <w:marBottom w:val="600"/>
          <w:divBdr>
            <w:top w:val="none" w:sz="0" w:space="0" w:color="auto"/>
            <w:left w:val="none" w:sz="0" w:space="0" w:color="auto"/>
            <w:bottom w:val="none" w:sz="0" w:space="0" w:color="auto"/>
            <w:right w:val="none" w:sz="0" w:space="0" w:color="auto"/>
          </w:divBdr>
        </w:div>
      </w:divsChild>
    </w:div>
    <w:div w:id="301734705">
      <w:marLeft w:val="0"/>
      <w:marRight w:val="0"/>
      <w:marTop w:val="0"/>
      <w:marBottom w:val="0"/>
      <w:divBdr>
        <w:top w:val="none" w:sz="0" w:space="0" w:color="auto"/>
        <w:left w:val="none" w:sz="0" w:space="0" w:color="auto"/>
        <w:bottom w:val="none" w:sz="0" w:space="0" w:color="auto"/>
        <w:right w:val="none" w:sz="0" w:space="0" w:color="auto"/>
      </w:divBdr>
      <w:divsChild>
        <w:div w:id="1985616751">
          <w:marLeft w:val="0"/>
          <w:marRight w:val="0"/>
          <w:marTop w:val="600"/>
          <w:marBottom w:val="0"/>
          <w:divBdr>
            <w:top w:val="none" w:sz="0" w:space="0" w:color="auto"/>
            <w:left w:val="none" w:sz="0" w:space="0" w:color="auto"/>
            <w:bottom w:val="none" w:sz="0" w:space="0" w:color="auto"/>
            <w:right w:val="none" w:sz="0" w:space="0" w:color="auto"/>
          </w:divBdr>
        </w:div>
        <w:div w:id="2106807148">
          <w:marLeft w:val="0"/>
          <w:marRight w:val="0"/>
          <w:marTop w:val="0"/>
          <w:marBottom w:val="0"/>
          <w:divBdr>
            <w:top w:val="none" w:sz="0" w:space="0" w:color="auto"/>
            <w:left w:val="none" w:sz="0" w:space="0" w:color="auto"/>
            <w:bottom w:val="none" w:sz="0" w:space="0" w:color="auto"/>
            <w:right w:val="none" w:sz="0" w:space="0" w:color="auto"/>
          </w:divBdr>
        </w:div>
        <w:div w:id="1688947541">
          <w:marLeft w:val="0"/>
          <w:marRight w:val="0"/>
          <w:marTop w:val="0"/>
          <w:marBottom w:val="600"/>
          <w:divBdr>
            <w:top w:val="none" w:sz="0" w:space="0" w:color="auto"/>
            <w:left w:val="none" w:sz="0" w:space="0" w:color="auto"/>
            <w:bottom w:val="none" w:sz="0" w:space="0" w:color="auto"/>
            <w:right w:val="none" w:sz="0" w:space="0" w:color="auto"/>
          </w:divBdr>
        </w:div>
      </w:divsChild>
    </w:div>
    <w:div w:id="317735488">
      <w:marLeft w:val="0"/>
      <w:marRight w:val="0"/>
      <w:marTop w:val="0"/>
      <w:marBottom w:val="0"/>
      <w:divBdr>
        <w:top w:val="none" w:sz="0" w:space="0" w:color="auto"/>
        <w:left w:val="none" w:sz="0" w:space="0" w:color="auto"/>
        <w:bottom w:val="none" w:sz="0" w:space="0" w:color="auto"/>
        <w:right w:val="none" w:sz="0" w:space="0" w:color="auto"/>
      </w:divBdr>
      <w:divsChild>
        <w:div w:id="754669642">
          <w:marLeft w:val="0"/>
          <w:marRight w:val="0"/>
          <w:marTop w:val="600"/>
          <w:marBottom w:val="0"/>
          <w:divBdr>
            <w:top w:val="none" w:sz="0" w:space="0" w:color="auto"/>
            <w:left w:val="none" w:sz="0" w:space="0" w:color="auto"/>
            <w:bottom w:val="none" w:sz="0" w:space="0" w:color="auto"/>
            <w:right w:val="none" w:sz="0" w:space="0" w:color="auto"/>
          </w:divBdr>
        </w:div>
        <w:div w:id="821504759">
          <w:marLeft w:val="0"/>
          <w:marRight w:val="0"/>
          <w:marTop w:val="0"/>
          <w:marBottom w:val="0"/>
          <w:divBdr>
            <w:top w:val="none" w:sz="0" w:space="0" w:color="auto"/>
            <w:left w:val="none" w:sz="0" w:space="0" w:color="auto"/>
            <w:bottom w:val="none" w:sz="0" w:space="0" w:color="auto"/>
            <w:right w:val="none" w:sz="0" w:space="0" w:color="auto"/>
          </w:divBdr>
        </w:div>
        <w:div w:id="1657956947">
          <w:marLeft w:val="0"/>
          <w:marRight w:val="0"/>
          <w:marTop w:val="0"/>
          <w:marBottom w:val="600"/>
          <w:divBdr>
            <w:top w:val="none" w:sz="0" w:space="0" w:color="auto"/>
            <w:left w:val="none" w:sz="0" w:space="0" w:color="auto"/>
            <w:bottom w:val="none" w:sz="0" w:space="0" w:color="auto"/>
            <w:right w:val="none" w:sz="0" w:space="0" w:color="auto"/>
          </w:divBdr>
        </w:div>
      </w:divsChild>
    </w:div>
    <w:div w:id="325665974">
      <w:marLeft w:val="0"/>
      <w:marRight w:val="0"/>
      <w:marTop w:val="0"/>
      <w:marBottom w:val="0"/>
      <w:divBdr>
        <w:top w:val="none" w:sz="0" w:space="0" w:color="auto"/>
        <w:left w:val="none" w:sz="0" w:space="0" w:color="auto"/>
        <w:bottom w:val="none" w:sz="0" w:space="0" w:color="auto"/>
        <w:right w:val="none" w:sz="0" w:space="0" w:color="auto"/>
      </w:divBdr>
      <w:divsChild>
        <w:div w:id="761799516">
          <w:marLeft w:val="0"/>
          <w:marRight w:val="0"/>
          <w:marTop w:val="600"/>
          <w:marBottom w:val="0"/>
          <w:divBdr>
            <w:top w:val="none" w:sz="0" w:space="0" w:color="auto"/>
            <w:left w:val="none" w:sz="0" w:space="0" w:color="auto"/>
            <w:bottom w:val="none" w:sz="0" w:space="0" w:color="auto"/>
            <w:right w:val="none" w:sz="0" w:space="0" w:color="auto"/>
          </w:divBdr>
        </w:div>
        <w:div w:id="863634432">
          <w:marLeft w:val="0"/>
          <w:marRight w:val="0"/>
          <w:marTop w:val="0"/>
          <w:marBottom w:val="0"/>
          <w:divBdr>
            <w:top w:val="none" w:sz="0" w:space="0" w:color="auto"/>
            <w:left w:val="none" w:sz="0" w:space="0" w:color="auto"/>
            <w:bottom w:val="none" w:sz="0" w:space="0" w:color="auto"/>
            <w:right w:val="none" w:sz="0" w:space="0" w:color="auto"/>
          </w:divBdr>
          <w:divsChild>
            <w:div w:id="858740226">
              <w:marLeft w:val="0"/>
              <w:marRight w:val="0"/>
              <w:marTop w:val="0"/>
              <w:marBottom w:val="0"/>
              <w:divBdr>
                <w:top w:val="none" w:sz="0" w:space="0" w:color="auto"/>
                <w:left w:val="none" w:sz="0" w:space="0" w:color="auto"/>
                <w:bottom w:val="none" w:sz="0" w:space="0" w:color="auto"/>
                <w:right w:val="none" w:sz="0" w:space="0" w:color="auto"/>
              </w:divBdr>
              <w:divsChild>
                <w:div w:id="450561382">
                  <w:marLeft w:val="0"/>
                  <w:marRight w:val="0"/>
                  <w:marTop w:val="0"/>
                  <w:marBottom w:val="0"/>
                  <w:divBdr>
                    <w:top w:val="none" w:sz="0" w:space="0" w:color="auto"/>
                    <w:left w:val="none" w:sz="0" w:space="0" w:color="auto"/>
                    <w:bottom w:val="none" w:sz="0" w:space="0" w:color="auto"/>
                    <w:right w:val="none" w:sz="0" w:space="0" w:color="auto"/>
                  </w:divBdr>
                </w:div>
              </w:divsChild>
            </w:div>
            <w:div w:id="1613439916">
              <w:marLeft w:val="0"/>
              <w:marRight w:val="0"/>
              <w:marTop w:val="0"/>
              <w:marBottom w:val="0"/>
              <w:divBdr>
                <w:top w:val="none" w:sz="0" w:space="0" w:color="auto"/>
                <w:left w:val="none" w:sz="0" w:space="0" w:color="auto"/>
                <w:bottom w:val="none" w:sz="0" w:space="0" w:color="auto"/>
                <w:right w:val="none" w:sz="0" w:space="0" w:color="auto"/>
              </w:divBdr>
              <w:divsChild>
                <w:div w:id="690566647">
                  <w:marLeft w:val="0"/>
                  <w:marRight w:val="0"/>
                  <w:marTop w:val="0"/>
                  <w:marBottom w:val="0"/>
                  <w:divBdr>
                    <w:top w:val="none" w:sz="0" w:space="0" w:color="auto"/>
                    <w:left w:val="none" w:sz="0" w:space="0" w:color="auto"/>
                    <w:bottom w:val="none" w:sz="0" w:space="0" w:color="auto"/>
                    <w:right w:val="none" w:sz="0" w:space="0" w:color="auto"/>
                  </w:divBdr>
                </w:div>
              </w:divsChild>
            </w:div>
            <w:div w:id="1119225541">
              <w:marLeft w:val="0"/>
              <w:marRight w:val="0"/>
              <w:marTop w:val="0"/>
              <w:marBottom w:val="0"/>
              <w:divBdr>
                <w:top w:val="none" w:sz="0" w:space="0" w:color="auto"/>
                <w:left w:val="none" w:sz="0" w:space="0" w:color="auto"/>
                <w:bottom w:val="none" w:sz="0" w:space="0" w:color="auto"/>
                <w:right w:val="none" w:sz="0" w:space="0" w:color="auto"/>
              </w:divBdr>
              <w:divsChild>
                <w:div w:id="340740717">
                  <w:marLeft w:val="0"/>
                  <w:marRight w:val="0"/>
                  <w:marTop w:val="0"/>
                  <w:marBottom w:val="0"/>
                  <w:divBdr>
                    <w:top w:val="none" w:sz="0" w:space="0" w:color="auto"/>
                    <w:left w:val="none" w:sz="0" w:space="0" w:color="auto"/>
                    <w:bottom w:val="none" w:sz="0" w:space="0" w:color="auto"/>
                    <w:right w:val="none" w:sz="0" w:space="0" w:color="auto"/>
                  </w:divBdr>
                </w:div>
              </w:divsChild>
            </w:div>
            <w:div w:id="2010599534">
              <w:marLeft w:val="0"/>
              <w:marRight w:val="0"/>
              <w:marTop w:val="0"/>
              <w:marBottom w:val="0"/>
              <w:divBdr>
                <w:top w:val="none" w:sz="0" w:space="0" w:color="auto"/>
                <w:left w:val="none" w:sz="0" w:space="0" w:color="auto"/>
                <w:bottom w:val="none" w:sz="0" w:space="0" w:color="auto"/>
                <w:right w:val="none" w:sz="0" w:space="0" w:color="auto"/>
              </w:divBdr>
              <w:divsChild>
                <w:div w:id="1214148509">
                  <w:marLeft w:val="0"/>
                  <w:marRight w:val="0"/>
                  <w:marTop w:val="0"/>
                  <w:marBottom w:val="0"/>
                  <w:divBdr>
                    <w:top w:val="none" w:sz="0" w:space="0" w:color="auto"/>
                    <w:left w:val="none" w:sz="0" w:space="0" w:color="auto"/>
                    <w:bottom w:val="none" w:sz="0" w:space="0" w:color="auto"/>
                    <w:right w:val="none" w:sz="0" w:space="0" w:color="auto"/>
                  </w:divBdr>
                </w:div>
              </w:divsChild>
            </w:div>
            <w:div w:id="1319575617">
              <w:marLeft w:val="0"/>
              <w:marRight w:val="0"/>
              <w:marTop w:val="0"/>
              <w:marBottom w:val="0"/>
              <w:divBdr>
                <w:top w:val="none" w:sz="0" w:space="0" w:color="auto"/>
                <w:left w:val="none" w:sz="0" w:space="0" w:color="auto"/>
                <w:bottom w:val="none" w:sz="0" w:space="0" w:color="auto"/>
                <w:right w:val="none" w:sz="0" w:space="0" w:color="auto"/>
              </w:divBdr>
              <w:divsChild>
                <w:div w:id="931206768">
                  <w:marLeft w:val="0"/>
                  <w:marRight w:val="0"/>
                  <w:marTop w:val="0"/>
                  <w:marBottom w:val="0"/>
                  <w:divBdr>
                    <w:top w:val="none" w:sz="0" w:space="0" w:color="auto"/>
                    <w:left w:val="none" w:sz="0" w:space="0" w:color="auto"/>
                    <w:bottom w:val="none" w:sz="0" w:space="0" w:color="auto"/>
                    <w:right w:val="none" w:sz="0" w:space="0" w:color="auto"/>
                  </w:divBdr>
                </w:div>
              </w:divsChild>
            </w:div>
            <w:div w:id="1324311324">
              <w:marLeft w:val="0"/>
              <w:marRight w:val="0"/>
              <w:marTop w:val="0"/>
              <w:marBottom w:val="0"/>
              <w:divBdr>
                <w:top w:val="none" w:sz="0" w:space="0" w:color="auto"/>
                <w:left w:val="none" w:sz="0" w:space="0" w:color="auto"/>
                <w:bottom w:val="none" w:sz="0" w:space="0" w:color="auto"/>
                <w:right w:val="none" w:sz="0" w:space="0" w:color="auto"/>
              </w:divBdr>
              <w:divsChild>
                <w:div w:id="1864904749">
                  <w:marLeft w:val="0"/>
                  <w:marRight w:val="0"/>
                  <w:marTop w:val="0"/>
                  <w:marBottom w:val="0"/>
                  <w:divBdr>
                    <w:top w:val="none" w:sz="0" w:space="0" w:color="auto"/>
                    <w:left w:val="none" w:sz="0" w:space="0" w:color="auto"/>
                    <w:bottom w:val="none" w:sz="0" w:space="0" w:color="auto"/>
                    <w:right w:val="none" w:sz="0" w:space="0" w:color="auto"/>
                  </w:divBdr>
                </w:div>
              </w:divsChild>
            </w:div>
            <w:div w:id="1909145773">
              <w:marLeft w:val="0"/>
              <w:marRight w:val="0"/>
              <w:marTop w:val="0"/>
              <w:marBottom w:val="0"/>
              <w:divBdr>
                <w:top w:val="none" w:sz="0" w:space="0" w:color="auto"/>
                <w:left w:val="none" w:sz="0" w:space="0" w:color="auto"/>
                <w:bottom w:val="none" w:sz="0" w:space="0" w:color="auto"/>
                <w:right w:val="none" w:sz="0" w:space="0" w:color="auto"/>
              </w:divBdr>
              <w:divsChild>
                <w:div w:id="1390567994">
                  <w:marLeft w:val="0"/>
                  <w:marRight w:val="0"/>
                  <w:marTop w:val="0"/>
                  <w:marBottom w:val="0"/>
                  <w:divBdr>
                    <w:top w:val="none" w:sz="0" w:space="0" w:color="auto"/>
                    <w:left w:val="none" w:sz="0" w:space="0" w:color="auto"/>
                    <w:bottom w:val="none" w:sz="0" w:space="0" w:color="auto"/>
                    <w:right w:val="none" w:sz="0" w:space="0" w:color="auto"/>
                  </w:divBdr>
                </w:div>
              </w:divsChild>
            </w:div>
            <w:div w:id="1833258346">
              <w:marLeft w:val="0"/>
              <w:marRight w:val="0"/>
              <w:marTop w:val="0"/>
              <w:marBottom w:val="0"/>
              <w:divBdr>
                <w:top w:val="none" w:sz="0" w:space="0" w:color="auto"/>
                <w:left w:val="none" w:sz="0" w:space="0" w:color="auto"/>
                <w:bottom w:val="none" w:sz="0" w:space="0" w:color="auto"/>
                <w:right w:val="none" w:sz="0" w:space="0" w:color="auto"/>
              </w:divBdr>
              <w:divsChild>
                <w:div w:id="1090200071">
                  <w:marLeft w:val="0"/>
                  <w:marRight w:val="0"/>
                  <w:marTop w:val="0"/>
                  <w:marBottom w:val="0"/>
                  <w:divBdr>
                    <w:top w:val="none" w:sz="0" w:space="0" w:color="auto"/>
                    <w:left w:val="none" w:sz="0" w:space="0" w:color="auto"/>
                    <w:bottom w:val="none" w:sz="0" w:space="0" w:color="auto"/>
                    <w:right w:val="none" w:sz="0" w:space="0" w:color="auto"/>
                  </w:divBdr>
                </w:div>
              </w:divsChild>
            </w:div>
            <w:div w:id="1980189437">
              <w:marLeft w:val="0"/>
              <w:marRight w:val="0"/>
              <w:marTop w:val="0"/>
              <w:marBottom w:val="0"/>
              <w:divBdr>
                <w:top w:val="none" w:sz="0" w:space="0" w:color="auto"/>
                <w:left w:val="none" w:sz="0" w:space="0" w:color="auto"/>
                <w:bottom w:val="none" w:sz="0" w:space="0" w:color="auto"/>
                <w:right w:val="none" w:sz="0" w:space="0" w:color="auto"/>
              </w:divBdr>
              <w:divsChild>
                <w:div w:id="1817716688">
                  <w:marLeft w:val="0"/>
                  <w:marRight w:val="0"/>
                  <w:marTop w:val="0"/>
                  <w:marBottom w:val="0"/>
                  <w:divBdr>
                    <w:top w:val="none" w:sz="0" w:space="0" w:color="auto"/>
                    <w:left w:val="none" w:sz="0" w:space="0" w:color="auto"/>
                    <w:bottom w:val="none" w:sz="0" w:space="0" w:color="auto"/>
                    <w:right w:val="none" w:sz="0" w:space="0" w:color="auto"/>
                  </w:divBdr>
                </w:div>
              </w:divsChild>
            </w:div>
            <w:div w:id="544103918">
              <w:marLeft w:val="0"/>
              <w:marRight w:val="0"/>
              <w:marTop w:val="0"/>
              <w:marBottom w:val="0"/>
              <w:divBdr>
                <w:top w:val="none" w:sz="0" w:space="0" w:color="auto"/>
                <w:left w:val="none" w:sz="0" w:space="0" w:color="auto"/>
                <w:bottom w:val="none" w:sz="0" w:space="0" w:color="auto"/>
                <w:right w:val="none" w:sz="0" w:space="0" w:color="auto"/>
              </w:divBdr>
              <w:divsChild>
                <w:div w:id="1801998913">
                  <w:marLeft w:val="0"/>
                  <w:marRight w:val="0"/>
                  <w:marTop w:val="0"/>
                  <w:marBottom w:val="0"/>
                  <w:divBdr>
                    <w:top w:val="none" w:sz="0" w:space="0" w:color="auto"/>
                    <w:left w:val="none" w:sz="0" w:space="0" w:color="auto"/>
                    <w:bottom w:val="none" w:sz="0" w:space="0" w:color="auto"/>
                    <w:right w:val="none" w:sz="0" w:space="0" w:color="auto"/>
                  </w:divBdr>
                </w:div>
              </w:divsChild>
            </w:div>
            <w:div w:id="1656494076">
              <w:marLeft w:val="0"/>
              <w:marRight w:val="0"/>
              <w:marTop w:val="0"/>
              <w:marBottom w:val="0"/>
              <w:divBdr>
                <w:top w:val="none" w:sz="0" w:space="0" w:color="auto"/>
                <w:left w:val="none" w:sz="0" w:space="0" w:color="auto"/>
                <w:bottom w:val="none" w:sz="0" w:space="0" w:color="auto"/>
                <w:right w:val="none" w:sz="0" w:space="0" w:color="auto"/>
              </w:divBdr>
              <w:divsChild>
                <w:div w:id="3279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8867">
          <w:marLeft w:val="0"/>
          <w:marRight w:val="0"/>
          <w:marTop w:val="0"/>
          <w:marBottom w:val="600"/>
          <w:divBdr>
            <w:top w:val="none" w:sz="0" w:space="0" w:color="auto"/>
            <w:left w:val="none" w:sz="0" w:space="0" w:color="auto"/>
            <w:bottom w:val="none" w:sz="0" w:space="0" w:color="auto"/>
            <w:right w:val="none" w:sz="0" w:space="0" w:color="auto"/>
          </w:divBdr>
        </w:div>
      </w:divsChild>
    </w:div>
    <w:div w:id="326597296">
      <w:marLeft w:val="0"/>
      <w:marRight w:val="0"/>
      <w:marTop w:val="0"/>
      <w:marBottom w:val="0"/>
      <w:divBdr>
        <w:top w:val="none" w:sz="0" w:space="0" w:color="auto"/>
        <w:left w:val="none" w:sz="0" w:space="0" w:color="auto"/>
        <w:bottom w:val="none" w:sz="0" w:space="0" w:color="auto"/>
        <w:right w:val="none" w:sz="0" w:space="0" w:color="auto"/>
      </w:divBdr>
      <w:divsChild>
        <w:div w:id="1134178112">
          <w:marLeft w:val="0"/>
          <w:marRight w:val="0"/>
          <w:marTop w:val="600"/>
          <w:marBottom w:val="0"/>
          <w:divBdr>
            <w:top w:val="none" w:sz="0" w:space="0" w:color="auto"/>
            <w:left w:val="none" w:sz="0" w:space="0" w:color="auto"/>
            <w:bottom w:val="none" w:sz="0" w:space="0" w:color="auto"/>
            <w:right w:val="none" w:sz="0" w:space="0" w:color="auto"/>
          </w:divBdr>
        </w:div>
        <w:div w:id="1648361620">
          <w:marLeft w:val="0"/>
          <w:marRight w:val="0"/>
          <w:marTop w:val="0"/>
          <w:marBottom w:val="0"/>
          <w:divBdr>
            <w:top w:val="none" w:sz="0" w:space="0" w:color="auto"/>
            <w:left w:val="none" w:sz="0" w:space="0" w:color="auto"/>
            <w:bottom w:val="none" w:sz="0" w:space="0" w:color="auto"/>
            <w:right w:val="none" w:sz="0" w:space="0" w:color="auto"/>
          </w:divBdr>
          <w:divsChild>
            <w:div w:id="748888508">
              <w:marLeft w:val="0"/>
              <w:marRight w:val="0"/>
              <w:marTop w:val="0"/>
              <w:marBottom w:val="0"/>
              <w:divBdr>
                <w:top w:val="none" w:sz="0" w:space="0" w:color="auto"/>
                <w:left w:val="none" w:sz="0" w:space="0" w:color="auto"/>
                <w:bottom w:val="none" w:sz="0" w:space="0" w:color="auto"/>
                <w:right w:val="none" w:sz="0" w:space="0" w:color="auto"/>
              </w:divBdr>
              <w:divsChild>
                <w:div w:id="981883181">
                  <w:marLeft w:val="0"/>
                  <w:marRight w:val="0"/>
                  <w:marTop w:val="0"/>
                  <w:marBottom w:val="0"/>
                  <w:divBdr>
                    <w:top w:val="none" w:sz="0" w:space="0" w:color="auto"/>
                    <w:left w:val="none" w:sz="0" w:space="0" w:color="auto"/>
                    <w:bottom w:val="none" w:sz="0" w:space="0" w:color="auto"/>
                    <w:right w:val="none" w:sz="0" w:space="0" w:color="auto"/>
                  </w:divBdr>
                </w:div>
              </w:divsChild>
            </w:div>
            <w:div w:id="795295844">
              <w:marLeft w:val="0"/>
              <w:marRight w:val="0"/>
              <w:marTop w:val="0"/>
              <w:marBottom w:val="0"/>
              <w:divBdr>
                <w:top w:val="none" w:sz="0" w:space="0" w:color="auto"/>
                <w:left w:val="none" w:sz="0" w:space="0" w:color="auto"/>
                <w:bottom w:val="none" w:sz="0" w:space="0" w:color="auto"/>
                <w:right w:val="none" w:sz="0" w:space="0" w:color="auto"/>
              </w:divBdr>
              <w:divsChild>
                <w:div w:id="1041056574">
                  <w:marLeft w:val="0"/>
                  <w:marRight w:val="0"/>
                  <w:marTop w:val="0"/>
                  <w:marBottom w:val="0"/>
                  <w:divBdr>
                    <w:top w:val="none" w:sz="0" w:space="0" w:color="auto"/>
                    <w:left w:val="none" w:sz="0" w:space="0" w:color="auto"/>
                    <w:bottom w:val="none" w:sz="0" w:space="0" w:color="auto"/>
                    <w:right w:val="none" w:sz="0" w:space="0" w:color="auto"/>
                  </w:divBdr>
                </w:div>
              </w:divsChild>
            </w:div>
            <w:div w:id="849368879">
              <w:marLeft w:val="0"/>
              <w:marRight w:val="0"/>
              <w:marTop w:val="0"/>
              <w:marBottom w:val="0"/>
              <w:divBdr>
                <w:top w:val="none" w:sz="0" w:space="0" w:color="auto"/>
                <w:left w:val="none" w:sz="0" w:space="0" w:color="auto"/>
                <w:bottom w:val="none" w:sz="0" w:space="0" w:color="auto"/>
                <w:right w:val="none" w:sz="0" w:space="0" w:color="auto"/>
              </w:divBdr>
              <w:divsChild>
                <w:div w:id="1287589323">
                  <w:marLeft w:val="0"/>
                  <w:marRight w:val="0"/>
                  <w:marTop w:val="0"/>
                  <w:marBottom w:val="0"/>
                  <w:divBdr>
                    <w:top w:val="none" w:sz="0" w:space="0" w:color="auto"/>
                    <w:left w:val="none" w:sz="0" w:space="0" w:color="auto"/>
                    <w:bottom w:val="none" w:sz="0" w:space="0" w:color="auto"/>
                    <w:right w:val="none" w:sz="0" w:space="0" w:color="auto"/>
                  </w:divBdr>
                </w:div>
              </w:divsChild>
            </w:div>
            <w:div w:id="410471086">
              <w:marLeft w:val="0"/>
              <w:marRight w:val="0"/>
              <w:marTop w:val="0"/>
              <w:marBottom w:val="0"/>
              <w:divBdr>
                <w:top w:val="none" w:sz="0" w:space="0" w:color="auto"/>
                <w:left w:val="none" w:sz="0" w:space="0" w:color="auto"/>
                <w:bottom w:val="none" w:sz="0" w:space="0" w:color="auto"/>
                <w:right w:val="none" w:sz="0" w:space="0" w:color="auto"/>
              </w:divBdr>
              <w:divsChild>
                <w:div w:id="908468263">
                  <w:marLeft w:val="0"/>
                  <w:marRight w:val="0"/>
                  <w:marTop w:val="0"/>
                  <w:marBottom w:val="0"/>
                  <w:divBdr>
                    <w:top w:val="none" w:sz="0" w:space="0" w:color="auto"/>
                    <w:left w:val="none" w:sz="0" w:space="0" w:color="auto"/>
                    <w:bottom w:val="none" w:sz="0" w:space="0" w:color="auto"/>
                    <w:right w:val="none" w:sz="0" w:space="0" w:color="auto"/>
                  </w:divBdr>
                </w:div>
              </w:divsChild>
            </w:div>
            <w:div w:id="915869431">
              <w:marLeft w:val="0"/>
              <w:marRight w:val="0"/>
              <w:marTop w:val="0"/>
              <w:marBottom w:val="0"/>
              <w:divBdr>
                <w:top w:val="none" w:sz="0" w:space="0" w:color="auto"/>
                <w:left w:val="none" w:sz="0" w:space="0" w:color="auto"/>
                <w:bottom w:val="none" w:sz="0" w:space="0" w:color="auto"/>
                <w:right w:val="none" w:sz="0" w:space="0" w:color="auto"/>
              </w:divBdr>
              <w:divsChild>
                <w:div w:id="65960783">
                  <w:marLeft w:val="0"/>
                  <w:marRight w:val="0"/>
                  <w:marTop w:val="0"/>
                  <w:marBottom w:val="0"/>
                  <w:divBdr>
                    <w:top w:val="none" w:sz="0" w:space="0" w:color="auto"/>
                    <w:left w:val="none" w:sz="0" w:space="0" w:color="auto"/>
                    <w:bottom w:val="none" w:sz="0" w:space="0" w:color="auto"/>
                    <w:right w:val="none" w:sz="0" w:space="0" w:color="auto"/>
                  </w:divBdr>
                </w:div>
              </w:divsChild>
            </w:div>
            <w:div w:id="2133669314">
              <w:marLeft w:val="0"/>
              <w:marRight w:val="0"/>
              <w:marTop w:val="0"/>
              <w:marBottom w:val="0"/>
              <w:divBdr>
                <w:top w:val="none" w:sz="0" w:space="0" w:color="auto"/>
                <w:left w:val="none" w:sz="0" w:space="0" w:color="auto"/>
                <w:bottom w:val="none" w:sz="0" w:space="0" w:color="auto"/>
                <w:right w:val="none" w:sz="0" w:space="0" w:color="auto"/>
              </w:divBdr>
              <w:divsChild>
                <w:div w:id="442458325">
                  <w:marLeft w:val="0"/>
                  <w:marRight w:val="0"/>
                  <w:marTop w:val="0"/>
                  <w:marBottom w:val="0"/>
                  <w:divBdr>
                    <w:top w:val="none" w:sz="0" w:space="0" w:color="auto"/>
                    <w:left w:val="none" w:sz="0" w:space="0" w:color="auto"/>
                    <w:bottom w:val="none" w:sz="0" w:space="0" w:color="auto"/>
                    <w:right w:val="none" w:sz="0" w:space="0" w:color="auto"/>
                  </w:divBdr>
                </w:div>
              </w:divsChild>
            </w:div>
            <w:div w:id="1098214044">
              <w:marLeft w:val="0"/>
              <w:marRight w:val="0"/>
              <w:marTop w:val="0"/>
              <w:marBottom w:val="0"/>
              <w:divBdr>
                <w:top w:val="none" w:sz="0" w:space="0" w:color="auto"/>
                <w:left w:val="none" w:sz="0" w:space="0" w:color="auto"/>
                <w:bottom w:val="none" w:sz="0" w:space="0" w:color="auto"/>
                <w:right w:val="none" w:sz="0" w:space="0" w:color="auto"/>
              </w:divBdr>
              <w:divsChild>
                <w:div w:id="2000303463">
                  <w:marLeft w:val="0"/>
                  <w:marRight w:val="0"/>
                  <w:marTop w:val="0"/>
                  <w:marBottom w:val="0"/>
                  <w:divBdr>
                    <w:top w:val="none" w:sz="0" w:space="0" w:color="auto"/>
                    <w:left w:val="none" w:sz="0" w:space="0" w:color="auto"/>
                    <w:bottom w:val="none" w:sz="0" w:space="0" w:color="auto"/>
                    <w:right w:val="none" w:sz="0" w:space="0" w:color="auto"/>
                  </w:divBdr>
                </w:div>
              </w:divsChild>
            </w:div>
            <w:div w:id="2107917792">
              <w:marLeft w:val="0"/>
              <w:marRight w:val="0"/>
              <w:marTop w:val="0"/>
              <w:marBottom w:val="0"/>
              <w:divBdr>
                <w:top w:val="none" w:sz="0" w:space="0" w:color="auto"/>
                <w:left w:val="none" w:sz="0" w:space="0" w:color="auto"/>
                <w:bottom w:val="none" w:sz="0" w:space="0" w:color="auto"/>
                <w:right w:val="none" w:sz="0" w:space="0" w:color="auto"/>
              </w:divBdr>
              <w:divsChild>
                <w:div w:id="2074966675">
                  <w:marLeft w:val="0"/>
                  <w:marRight w:val="0"/>
                  <w:marTop w:val="0"/>
                  <w:marBottom w:val="0"/>
                  <w:divBdr>
                    <w:top w:val="none" w:sz="0" w:space="0" w:color="auto"/>
                    <w:left w:val="none" w:sz="0" w:space="0" w:color="auto"/>
                    <w:bottom w:val="none" w:sz="0" w:space="0" w:color="auto"/>
                    <w:right w:val="none" w:sz="0" w:space="0" w:color="auto"/>
                  </w:divBdr>
                </w:div>
              </w:divsChild>
            </w:div>
            <w:div w:id="1705667537">
              <w:marLeft w:val="0"/>
              <w:marRight w:val="0"/>
              <w:marTop w:val="0"/>
              <w:marBottom w:val="0"/>
              <w:divBdr>
                <w:top w:val="none" w:sz="0" w:space="0" w:color="auto"/>
                <w:left w:val="none" w:sz="0" w:space="0" w:color="auto"/>
                <w:bottom w:val="none" w:sz="0" w:space="0" w:color="auto"/>
                <w:right w:val="none" w:sz="0" w:space="0" w:color="auto"/>
              </w:divBdr>
              <w:divsChild>
                <w:div w:id="1025059879">
                  <w:marLeft w:val="0"/>
                  <w:marRight w:val="0"/>
                  <w:marTop w:val="0"/>
                  <w:marBottom w:val="0"/>
                  <w:divBdr>
                    <w:top w:val="none" w:sz="0" w:space="0" w:color="auto"/>
                    <w:left w:val="none" w:sz="0" w:space="0" w:color="auto"/>
                    <w:bottom w:val="none" w:sz="0" w:space="0" w:color="auto"/>
                    <w:right w:val="none" w:sz="0" w:space="0" w:color="auto"/>
                  </w:divBdr>
                </w:div>
              </w:divsChild>
            </w:div>
            <w:div w:id="530656614">
              <w:marLeft w:val="0"/>
              <w:marRight w:val="0"/>
              <w:marTop w:val="0"/>
              <w:marBottom w:val="0"/>
              <w:divBdr>
                <w:top w:val="none" w:sz="0" w:space="0" w:color="auto"/>
                <w:left w:val="none" w:sz="0" w:space="0" w:color="auto"/>
                <w:bottom w:val="none" w:sz="0" w:space="0" w:color="auto"/>
                <w:right w:val="none" w:sz="0" w:space="0" w:color="auto"/>
              </w:divBdr>
              <w:divsChild>
                <w:div w:id="15561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6068">
          <w:marLeft w:val="0"/>
          <w:marRight w:val="0"/>
          <w:marTop w:val="0"/>
          <w:marBottom w:val="600"/>
          <w:divBdr>
            <w:top w:val="none" w:sz="0" w:space="0" w:color="auto"/>
            <w:left w:val="none" w:sz="0" w:space="0" w:color="auto"/>
            <w:bottom w:val="none" w:sz="0" w:space="0" w:color="auto"/>
            <w:right w:val="none" w:sz="0" w:space="0" w:color="auto"/>
          </w:divBdr>
        </w:div>
      </w:divsChild>
    </w:div>
    <w:div w:id="332883222">
      <w:marLeft w:val="0"/>
      <w:marRight w:val="0"/>
      <w:marTop w:val="0"/>
      <w:marBottom w:val="0"/>
      <w:divBdr>
        <w:top w:val="none" w:sz="0" w:space="0" w:color="auto"/>
        <w:left w:val="none" w:sz="0" w:space="0" w:color="auto"/>
        <w:bottom w:val="none" w:sz="0" w:space="0" w:color="auto"/>
        <w:right w:val="none" w:sz="0" w:space="0" w:color="auto"/>
      </w:divBdr>
      <w:divsChild>
        <w:div w:id="855002381">
          <w:marLeft w:val="0"/>
          <w:marRight w:val="0"/>
          <w:marTop w:val="600"/>
          <w:marBottom w:val="0"/>
          <w:divBdr>
            <w:top w:val="none" w:sz="0" w:space="0" w:color="auto"/>
            <w:left w:val="none" w:sz="0" w:space="0" w:color="auto"/>
            <w:bottom w:val="none" w:sz="0" w:space="0" w:color="auto"/>
            <w:right w:val="none" w:sz="0" w:space="0" w:color="auto"/>
          </w:divBdr>
        </w:div>
        <w:div w:id="2108889733">
          <w:marLeft w:val="0"/>
          <w:marRight w:val="0"/>
          <w:marTop w:val="0"/>
          <w:marBottom w:val="0"/>
          <w:divBdr>
            <w:top w:val="none" w:sz="0" w:space="0" w:color="auto"/>
            <w:left w:val="none" w:sz="0" w:space="0" w:color="auto"/>
            <w:bottom w:val="none" w:sz="0" w:space="0" w:color="auto"/>
            <w:right w:val="none" w:sz="0" w:space="0" w:color="auto"/>
          </w:divBdr>
        </w:div>
        <w:div w:id="2031564891">
          <w:marLeft w:val="0"/>
          <w:marRight w:val="0"/>
          <w:marTop w:val="0"/>
          <w:marBottom w:val="600"/>
          <w:divBdr>
            <w:top w:val="none" w:sz="0" w:space="0" w:color="auto"/>
            <w:left w:val="none" w:sz="0" w:space="0" w:color="auto"/>
            <w:bottom w:val="none" w:sz="0" w:space="0" w:color="auto"/>
            <w:right w:val="none" w:sz="0" w:space="0" w:color="auto"/>
          </w:divBdr>
        </w:div>
      </w:divsChild>
    </w:div>
    <w:div w:id="348415327">
      <w:marLeft w:val="0"/>
      <w:marRight w:val="0"/>
      <w:marTop w:val="0"/>
      <w:marBottom w:val="0"/>
      <w:divBdr>
        <w:top w:val="none" w:sz="0" w:space="0" w:color="auto"/>
        <w:left w:val="none" w:sz="0" w:space="0" w:color="auto"/>
        <w:bottom w:val="none" w:sz="0" w:space="0" w:color="auto"/>
        <w:right w:val="none" w:sz="0" w:space="0" w:color="auto"/>
      </w:divBdr>
      <w:divsChild>
        <w:div w:id="715276096">
          <w:marLeft w:val="0"/>
          <w:marRight w:val="0"/>
          <w:marTop w:val="600"/>
          <w:marBottom w:val="0"/>
          <w:divBdr>
            <w:top w:val="none" w:sz="0" w:space="0" w:color="auto"/>
            <w:left w:val="none" w:sz="0" w:space="0" w:color="auto"/>
            <w:bottom w:val="none" w:sz="0" w:space="0" w:color="auto"/>
            <w:right w:val="none" w:sz="0" w:space="0" w:color="auto"/>
          </w:divBdr>
        </w:div>
        <w:div w:id="1035348078">
          <w:marLeft w:val="0"/>
          <w:marRight w:val="0"/>
          <w:marTop w:val="0"/>
          <w:marBottom w:val="0"/>
          <w:divBdr>
            <w:top w:val="none" w:sz="0" w:space="0" w:color="auto"/>
            <w:left w:val="none" w:sz="0" w:space="0" w:color="auto"/>
            <w:bottom w:val="none" w:sz="0" w:space="0" w:color="auto"/>
            <w:right w:val="none" w:sz="0" w:space="0" w:color="auto"/>
          </w:divBdr>
          <w:divsChild>
            <w:div w:id="435029039">
              <w:marLeft w:val="547"/>
              <w:marRight w:val="0"/>
              <w:marTop w:val="0"/>
              <w:marBottom w:val="0"/>
              <w:divBdr>
                <w:top w:val="none" w:sz="0" w:space="0" w:color="auto"/>
                <w:left w:val="none" w:sz="0" w:space="0" w:color="auto"/>
                <w:bottom w:val="none" w:sz="0" w:space="0" w:color="auto"/>
                <w:right w:val="none" w:sz="0" w:space="0" w:color="auto"/>
              </w:divBdr>
            </w:div>
            <w:div w:id="395518286">
              <w:marLeft w:val="547"/>
              <w:marRight w:val="0"/>
              <w:marTop w:val="0"/>
              <w:marBottom w:val="0"/>
              <w:divBdr>
                <w:top w:val="none" w:sz="0" w:space="0" w:color="auto"/>
                <w:left w:val="none" w:sz="0" w:space="0" w:color="auto"/>
                <w:bottom w:val="none" w:sz="0" w:space="0" w:color="auto"/>
                <w:right w:val="none" w:sz="0" w:space="0" w:color="auto"/>
              </w:divBdr>
            </w:div>
            <w:div w:id="779951722">
              <w:marLeft w:val="547"/>
              <w:marRight w:val="0"/>
              <w:marTop w:val="0"/>
              <w:marBottom w:val="0"/>
              <w:divBdr>
                <w:top w:val="none" w:sz="0" w:space="0" w:color="auto"/>
                <w:left w:val="none" w:sz="0" w:space="0" w:color="auto"/>
                <w:bottom w:val="none" w:sz="0" w:space="0" w:color="auto"/>
                <w:right w:val="none" w:sz="0" w:space="0" w:color="auto"/>
              </w:divBdr>
            </w:div>
            <w:div w:id="1769424654">
              <w:marLeft w:val="547"/>
              <w:marRight w:val="0"/>
              <w:marTop w:val="0"/>
              <w:marBottom w:val="0"/>
              <w:divBdr>
                <w:top w:val="none" w:sz="0" w:space="0" w:color="auto"/>
                <w:left w:val="none" w:sz="0" w:space="0" w:color="auto"/>
                <w:bottom w:val="none" w:sz="0" w:space="0" w:color="auto"/>
                <w:right w:val="none" w:sz="0" w:space="0" w:color="auto"/>
              </w:divBdr>
            </w:div>
            <w:div w:id="254901796">
              <w:marLeft w:val="547"/>
              <w:marRight w:val="0"/>
              <w:marTop w:val="0"/>
              <w:marBottom w:val="0"/>
              <w:divBdr>
                <w:top w:val="none" w:sz="0" w:space="0" w:color="auto"/>
                <w:left w:val="none" w:sz="0" w:space="0" w:color="auto"/>
                <w:bottom w:val="none" w:sz="0" w:space="0" w:color="auto"/>
                <w:right w:val="none" w:sz="0" w:space="0" w:color="auto"/>
              </w:divBdr>
            </w:div>
            <w:div w:id="1291937804">
              <w:marLeft w:val="547"/>
              <w:marRight w:val="0"/>
              <w:marTop w:val="0"/>
              <w:marBottom w:val="0"/>
              <w:divBdr>
                <w:top w:val="none" w:sz="0" w:space="0" w:color="auto"/>
                <w:left w:val="none" w:sz="0" w:space="0" w:color="auto"/>
                <w:bottom w:val="none" w:sz="0" w:space="0" w:color="auto"/>
                <w:right w:val="none" w:sz="0" w:space="0" w:color="auto"/>
              </w:divBdr>
            </w:div>
            <w:div w:id="832917363">
              <w:marLeft w:val="547"/>
              <w:marRight w:val="0"/>
              <w:marTop w:val="0"/>
              <w:marBottom w:val="0"/>
              <w:divBdr>
                <w:top w:val="none" w:sz="0" w:space="0" w:color="auto"/>
                <w:left w:val="none" w:sz="0" w:space="0" w:color="auto"/>
                <w:bottom w:val="none" w:sz="0" w:space="0" w:color="auto"/>
                <w:right w:val="none" w:sz="0" w:space="0" w:color="auto"/>
              </w:divBdr>
            </w:div>
            <w:div w:id="2102138968">
              <w:marLeft w:val="547"/>
              <w:marRight w:val="0"/>
              <w:marTop w:val="0"/>
              <w:marBottom w:val="0"/>
              <w:divBdr>
                <w:top w:val="none" w:sz="0" w:space="0" w:color="auto"/>
                <w:left w:val="none" w:sz="0" w:space="0" w:color="auto"/>
                <w:bottom w:val="none" w:sz="0" w:space="0" w:color="auto"/>
                <w:right w:val="none" w:sz="0" w:space="0" w:color="auto"/>
              </w:divBdr>
            </w:div>
            <w:div w:id="1902403803">
              <w:marLeft w:val="547"/>
              <w:marRight w:val="0"/>
              <w:marTop w:val="0"/>
              <w:marBottom w:val="0"/>
              <w:divBdr>
                <w:top w:val="none" w:sz="0" w:space="0" w:color="auto"/>
                <w:left w:val="none" w:sz="0" w:space="0" w:color="auto"/>
                <w:bottom w:val="none" w:sz="0" w:space="0" w:color="auto"/>
                <w:right w:val="none" w:sz="0" w:space="0" w:color="auto"/>
              </w:divBdr>
            </w:div>
            <w:div w:id="1323120315">
              <w:marLeft w:val="547"/>
              <w:marRight w:val="0"/>
              <w:marTop w:val="0"/>
              <w:marBottom w:val="0"/>
              <w:divBdr>
                <w:top w:val="none" w:sz="0" w:space="0" w:color="auto"/>
                <w:left w:val="none" w:sz="0" w:space="0" w:color="auto"/>
                <w:bottom w:val="none" w:sz="0" w:space="0" w:color="auto"/>
                <w:right w:val="none" w:sz="0" w:space="0" w:color="auto"/>
              </w:divBdr>
            </w:div>
            <w:div w:id="697049802">
              <w:marLeft w:val="547"/>
              <w:marRight w:val="0"/>
              <w:marTop w:val="0"/>
              <w:marBottom w:val="0"/>
              <w:divBdr>
                <w:top w:val="none" w:sz="0" w:space="0" w:color="auto"/>
                <w:left w:val="none" w:sz="0" w:space="0" w:color="auto"/>
                <w:bottom w:val="none" w:sz="0" w:space="0" w:color="auto"/>
                <w:right w:val="none" w:sz="0" w:space="0" w:color="auto"/>
              </w:divBdr>
            </w:div>
            <w:div w:id="549807436">
              <w:marLeft w:val="547"/>
              <w:marRight w:val="0"/>
              <w:marTop w:val="0"/>
              <w:marBottom w:val="0"/>
              <w:divBdr>
                <w:top w:val="none" w:sz="0" w:space="0" w:color="auto"/>
                <w:left w:val="none" w:sz="0" w:space="0" w:color="auto"/>
                <w:bottom w:val="none" w:sz="0" w:space="0" w:color="auto"/>
                <w:right w:val="none" w:sz="0" w:space="0" w:color="auto"/>
              </w:divBdr>
            </w:div>
            <w:div w:id="1283415956">
              <w:marLeft w:val="547"/>
              <w:marRight w:val="0"/>
              <w:marTop w:val="0"/>
              <w:marBottom w:val="0"/>
              <w:divBdr>
                <w:top w:val="none" w:sz="0" w:space="0" w:color="auto"/>
                <w:left w:val="none" w:sz="0" w:space="0" w:color="auto"/>
                <w:bottom w:val="none" w:sz="0" w:space="0" w:color="auto"/>
                <w:right w:val="none" w:sz="0" w:space="0" w:color="auto"/>
              </w:divBdr>
            </w:div>
            <w:div w:id="1663311085">
              <w:marLeft w:val="547"/>
              <w:marRight w:val="0"/>
              <w:marTop w:val="0"/>
              <w:marBottom w:val="0"/>
              <w:divBdr>
                <w:top w:val="none" w:sz="0" w:space="0" w:color="auto"/>
                <w:left w:val="none" w:sz="0" w:space="0" w:color="auto"/>
                <w:bottom w:val="none" w:sz="0" w:space="0" w:color="auto"/>
                <w:right w:val="none" w:sz="0" w:space="0" w:color="auto"/>
              </w:divBdr>
            </w:div>
            <w:div w:id="935361933">
              <w:marLeft w:val="547"/>
              <w:marRight w:val="0"/>
              <w:marTop w:val="0"/>
              <w:marBottom w:val="0"/>
              <w:divBdr>
                <w:top w:val="none" w:sz="0" w:space="0" w:color="auto"/>
                <w:left w:val="none" w:sz="0" w:space="0" w:color="auto"/>
                <w:bottom w:val="none" w:sz="0" w:space="0" w:color="auto"/>
                <w:right w:val="none" w:sz="0" w:space="0" w:color="auto"/>
              </w:divBdr>
            </w:div>
          </w:divsChild>
        </w:div>
        <w:div w:id="150221601">
          <w:marLeft w:val="0"/>
          <w:marRight w:val="0"/>
          <w:marTop w:val="0"/>
          <w:marBottom w:val="600"/>
          <w:divBdr>
            <w:top w:val="none" w:sz="0" w:space="0" w:color="auto"/>
            <w:left w:val="none" w:sz="0" w:space="0" w:color="auto"/>
            <w:bottom w:val="none" w:sz="0" w:space="0" w:color="auto"/>
            <w:right w:val="none" w:sz="0" w:space="0" w:color="auto"/>
          </w:divBdr>
        </w:div>
      </w:divsChild>
    </w:div>
    <w:div w:id="365761755">
      <w:marLeft w:val="0"/>
      <w:marRight w:val="0"/>
      <w:marTop w:val="0"/>
      <w:marBottom w:val="0"/>
      <w:divBdr>
        <w:top w:val="none" w:sz="0" w:space="0" w:color="auto"/>
        <w:left w:val="none" w:sz="0" w:space="0" w:color="auto"/>
        <w:bottom w:val="none" w:sz="0" w:space="0" w:color="auto"/>
        <w:right w:val="none" w:sz="0" w:space="0" w:color="auto"/>
      </w:divBdr>
      <w:divsChild>
        <w:div w:id="597492573">
          <w:marLeft w:val="0"/>
          <w:marRight w:val="0"/>
          <w:marTop w:val="600"/>
          <w:marBottom w:val="0"/>
          <w:divBdr>
            <w:top w:val="none" w:sz="0" w:space="0" w:color="auto"/>
            <w:left w:val="none" w:sz="0" w:space="0" w:color="auto"/>
            <w:bottom w:val="none" w:sz="0" w:space="0" w:color="auto"/>
            <w:right w:val="none" w:sz="0" w:space="0" w:color="auto"/>
          </w:divBdr>
        </w:div>
        <w:div w:id="436144372">
          <w:marLeft w:val="0"/>
          <w:marRight w:val="0"/>
          <w:marTop w:val="0"/>
          <w:marBottom w:val="0"/>
          <w:divBdr>
            <w:top w:val="none" w:sz="0" w:space="0" w:color="auto"/>
            <w:left w:val="none" w:sz="0" w:space="0" w:color="auto"/>
            <w:bottom w:val="none" w:sz="0" w:space="0" w:color="auto"/>
            <w:right w:val="none" w:sz="0" w:space="0" w:color="auto"/>
          </w:divBdr>
        </w:div>
        <w:div w:id="101153010">
          <w:marLeft w:val="0"/>
          <w:marRight w:val="0"/>
          <w:marTop w:val="0"/>
          <w:marBottom w:val="600"/>
          <w:divBdr>
            <w:top w:val="none" w:sz="0" w:space="0" w:color="auto"/>
            <w:left w:val="none" w:sz="0" w:space="0" w:color="auto"/>
            <w:bottom w:val="none" w:sz="0" w:space="0" w:color="auto"/>
            <w:right w:val="none" w:sz="0" w:space="0" w:color="auto"/>
          </w:divBdr>
        </w:div>
      </w:divsChild>
    </w:div>
    <w:div w:id="378944599">
      <w:marLeft w:val="0"/>
      <w:marRight w:val="0"/>
      <w:marTop w:val="0"/>
      <w:marBottom w:val="0"/>
      <w:divBdr>
        <w:top w:val="none" w:sz="0" w:space="0" w:color="auto"/>
        <w:left w:val="none" w:sz="0" w:space="0" w:color="auto"/>
        <w:bottom w:val="none" w:sz="0" w:space="0" w:color="auto"/>
        <w:right w:val="none" w:sz="0" w:space="0" w:color="auto"/>
      </w:divBdr>
    </w:div>
    <w:div w:id="388722722">
      <w:marLeft w:val="0"/>
      <w:marRight w:val="0"/>
      <w:marTop w:val="0"/>
      <w:marBottom w:val="0"/>
      <w:divBdr>
        <w:top w:val="none" w:sz="0" w:space="0" w:color="auto"/>
        <w:left w:val="none" w:sz="0" w:space="0" w:color="auto"/>
        <w:bottom w:val="none" w:sz="0" w:space="0" w:color="auto"/>
        <w:right w:val="none" w:sz="0" w:space="0" w:color="auto"/>
      </w:divBdr>
      <w:divsChild>
        <w:div w:id="720977924">
          <w:marLeft w:val="0"/>
          <w:marRight w:val="0"/>
          <w:marTop w:val="600"/>
          <w:marBottom w:val="0"/>
          <w:divBdr>
            <w:top w:val="none" w:sz="0" w:space="0" w:color="auto"/>
            <w:left w:val="none" w:sz="0" w:space="0" w:color="auto"/>
            <w:bottom w:val="none" w:sz="0" w:space="0" w:color="auto"/>
            <w:right w:val="none" w:sz="0" w:space="0" w:color="auto"/>
          </w:divBdr>
        </w:div>
        <w:div w:id="1949122635">
          <w:marLeft w:val="0"/>
          <w:marRight w:val="0"/>
          <w:marTop w:val="0"/>
          <w:marBottom w:val="0"/>
          <w:divBdr>
            <w:top w:val="none" w:sz="0" w:space="0" w:color="auto"/>
            <w:left w:val="none" w:sz="0" w:space="0" w:color="auto"/>
            <w:bottom w:val="none" w:sz="0" w:space="0" w:color="auto"/>
            <w:right w:val="none" w:sz="0" w:space="0" w:color="auto"/>
          </w:divBdr>
          <w:divsChild>
            <w:div w:id="1691955044">
              <w:marLeft w:val="547"/>
              <w:marRight w:val="0"/>
              <w:marTop w:val="0"/>
              <w:marBottom w:val="0"/>
              <w:divBdr>
                <w:top w:val="none" w:sz="0" w:space="0" w:color="auto"/>
                <w:left w:val="none" w:sz="0" w:space="0" w:color="auto"/>
                <w:bottom w:val="none" w:sz="0" w:space="0" w:color="auto"/>
                <w:right w:val="none" w:sz="0" w:space="0" w:color="auto"/>
              </w:divBdr>
            </w:div>
            <w:div w:id="936060444">
              <w:marLeft w:val="547"/>
              <w:marRight w:val="0"/>
              <w:marTop w:val="0"/>
              <w:marBottom w:val="0"/>
              <w:divBdr>
                <w:top w:val="none" w:sz="0" w:space="0" w:color="auto"/>
                <w:left w:val="none" w:sz="0" w:space="0" w:color="auto"/>
                <w:bottom w:val="none" w:sz="0" w:space="0" w:color="auto"/>
                <w:right w:val="none" w:sz="0" w:space="0" w:color="auto"/>
              </w:divBdr>
            </w:div>
            <w:div w:id="640887548">
              <w:marLeft w:val="547"/>
              <w:marRight w:val="0"/>
              <w:marTop w:val="0"/>
              <w:marBottom w:val="0"/>
              <w:divBdr>
                <w:top w:val="none" w:sz="0" w:space="0" w:color="auto"/>
                <w:left w:val="none" w:sz="0" w:space="0" w:color="auto"/>
                <w:bottom w:val="none" w:sz="0" w:space="0" w:color="auto"/>
                <w:right w:val="none" w:sz="0" w:space="0" w:color="auto"/>
              </w:divBdr>
            </w:div>
            <w:div w:id="140197749">
              <w:marLeft w:val="547"/>
              <w:marRight w:val="0"/>
              <w:marTop w:val="0"/>
              <w:marBottom w:val="0"/>
              <w:divBdr>
                <w:top w:val="none" w:sz="0" w:space="0" w:color="auto"/>
                <w:left w:val="none" w:sz="0" w:space="0" w:color="auto"/>
                <w:bottom w:val="none" w:sz="0" w:space="0" w:color="auto"/>
                <w:right w:val="none" w:sz="0" w:space="0" w:color="auto"/>
              </w:divBdr>
            </w:div>
            <w:div w:id="29115598">
              <w:marLeft w:val="547"/>
              <w:marRight w:val="0"/>
              <w:marTop w:val="0"/>
              <w:marBottom w:val="0"/>
              <w:divBdr>
                <w:top w:val="none" w:sz="0" w:space="0" w:color="auto"/>
                <w:left w:val="none" w:sz="0" w:space="0" w:color="auto"/>
                <w:bottom w:val="none" w:sz="0" w:space="0" w:color="auto"/>
                <w:right w:val="none" w:sz="0" w:space="0" w:color="auto"/>
              </w:divBdr>
            </w:div>
            <w:div w:id="548343299">
              <w:marLeft w:val="547"/>
              <w:marRight w:val="0"/>
              <w:marTop w:val="0"/>
              <w:marBottom w:val="0"/>
              <w:divBdr>
                <w:top w:val="none" w:sz="0" w:space="0" w:color="auto"/>
                <w:left w:val="none" w:sz="0" w:space="0" w:color="auto"/>
                <w:bottom w:val="none" w:sz="0" w:space="0" w:color="auto"/>
                <w:right w:val="none" w:sz="0" w:space="0" w:color="auto"/>
              </w:divBdr>
            </w:div>
            <w:div w:id="477458374">
              <w:marLeft w:val="547"/>
              <w:marRight w:val="0"/>
              <w:marTop w:val="0"/>
              <w:marBottom w:val="0"/>
              <w:divBdr>
                <w:top w:val="none" w:sz="0" w:space="0" w:color="auto"/>
                <w:left w:val="none" w:sz="0" w:space="0" w:color="auto"/>
                <w:bottom w:val="none" w:sz="0" w:space="0" w:color="auto"/>
                <w:right w:val="none" w:sz="0" w:space="0" w:color="auto"/>
              </w:divBdr>
            </w:div>
            <w:div w:id="722945943">
              <w:marLeft w:val="547"/>
              <w:marRight w:val="0"/>
              <w:marTop w:val="0"/>
              <w:marBottom w:val="0"/>
              <w:divBdr>
                <w:top w:val="none" w:sz="0" w:space="0" w:color="auto"/>
                <w:left w:val="none" w:sz="0" w:space="0" w:color="auto"/>
                <w:bottom w:val="none" w:sz="0" w:space="0" w:color="auto"/>
                <w:right w:val="none" w:sz="0" w:space="0" w:color="auto"/>
              </w:divBdr>
            </w:div>
            <w:div w:id="457339961">
              <w:marLeft w:val="547"/>
              <w:marRight w:val="0"/>
              <w:marTop w:val="0"/>
              <w:marBottom w:val="0"/>
              <w:divBdr>
                <w:top w:val="none" w:sz="0" w:space="0" w:color="auto"/>
                <w:left w:val="none" w:sz="0" w:space="0" w:color="auto"/>
                <w:bottom w:val="none" w:sz="0" w:space="0" w:color="auto"/>
                <w:right w:val="none" w:sz="0" w:space="0" w:color="auto"/>
              </w:divBdr>
            </w:div>
            <w:div w:id="1613125126">
              <w:marLeft w:val="547"/>
              <w:marRight w:val="0"/>
              <w:marTop w:val="0"/>
              <w:marBottom w:val="0"/>
              <w:divBdr>
                <w:top w:val="none" w:sz="0" w:space="0" w:color="auto"/>
                <w:left w:val="none" w:sz="0" w:space="0" w:color="auto"/>
                <w:bottom w:val="none" w:sz="0" w:space="0" w:color="auto"/>
                <w:right w:val="none" w:sz="0" w:space="0" w:color="auto"/>
              </w:divBdr>
            </w:div>
            <w:div w:id="1209145869">
              <w:marLeft w:val="547"/>
              <w:marRight w:val="0"/>
              <w:marTop w:val="0"/>
              <w:marBottom w:val="0"/>
              <w:divBdr>
                <w:top w:val="none" w:sz="0" w:space="0" w:color="auto"/>
                <w:left w:val="none" w:sz="0" w:space="0" w:color="auto"/>
                <w:bottom w:val="none" w:sz="0" w:space="0" w:color="auto"/>
                <w:right w:val="none" w:sz="0" w:space="0" w:color="auto"/>
              </w:divBdr>
            </w:div>
            <w:div w:id="1931310034">
              <w:marLeft w:val="547"/>
              <w:marRight w:val="0"/>
              <w:marTop w:val="0"/>
              <w:marBottom w:val="0"/>
              <w:divBdr>
                <w:top w:val="none" w:sz="0" w:space="0" w:color="auto"/>
                <w:left w:val="none" w:sz="0" w:space="0" w:color="auto"/>
                <w:bottom w:val="none" w:sz="0" w:space="0" w:color="auto"/>
                <w:right w:val="none" w:sz="0" w:space="0" w:color="auto"/>
              </w:divBdr>
            </w:div>
            <w:div w:id="1749615025">
              <w:marLeft w:val="547"/>
              <w:marRight w:val="0"/>
              <w:marTop w:val="0"/>
              <w:marBottom w:val="0"/>
              <w:divBdr>
                <w:top w:val="none" w:sz="0" w:space="0" w:color="auto"/>
                <w:left w:val="none" w:sz="0" w:space="0" w:color="auto"/>
                <w:bottom w:val="none" w:sz="0" w:space="0" w:color="auto"/>
                <w:right w:val="none" w:sz="0" w:space="0" w:color="auto"/>
              </w:divBdr>
            </w:div>
          </w:divsChild>
        </w:div>
        <w:div w:id="372922508">
          <w:marLeft w:val="0"/>
          <w:marRight w:val="0"/>
          <w:marTop w:val="0"/>
          <w:marBottom w:val="600"/>
          <w:divBdr>
            <w:top w:val="none" w:sz="0" w:space="0" w:color="auto"/>
            <w:left w:val="none" w:sz="0" w:space="0" w:color="auto"/>
            <w:bottom w:val="none" w:sz="0" w:space="0" w:color="auto"/>
            <w:right w:val="none" w:sz="0" w:space="0" w:color="auto"/>
          </w:divBdr>
        </w:div>
      </w:divsChild>
    </w:div>
    <w:div w:id="396780131">
      <w:marLeft w:val="0"/>
      <w:marRight w:val="0"/>
      <w:marTop w:val="0"/>
      <w:marBottom w:val="0"/>
      <w:divBdr>
        <w:top w:val="none" w:sz="0" w:space="0" w:color="auto"/>
        <w:left w:val="none" w:sz="0" w:space="0" w:color="auto"/>
        <w:bottom w:val="none" w:sz="0" w:space="0" w:color="auto"/>
        <w:right w:val="none" w:sz="0" w:space="0" w:color="auto"/>
      </w:divBdr>
      <w:divsChild>
        <w:div w:id="1418790262">
          <w:marLeft w:val="0"/>
          <w:marRight w:val="0"/>
          <w:marTop w:val="600"/>
          <w:marBottom w:val="0"/>
          <w:divBdr>
            <w:top w:val="none" w:sz="0" w:space="0" w:color="auto"/>
            <w:left w:val="none" w:sz="0" w:space="0" w:color="auto"/>
            <w:bottom w:val="none" w:sz="0" w:space="0" w:color="auto"/>
            <w:right w:val="none" w:sz="0" w:space="0" w:color="auto"/>
          </w:divBdr>
        </w:div>
        <w:div w:id="1065033977">
          <w:marLeft w:val="0"/>
          <w:marRight w:val="0"/>
          <w:marTop w:val="0"/>
          <w:marBottom w:val="0"/>
          <w:divBdr>
            <w:top w:val="none" w:sz="0" w:space="0" w:color="auto"/>
            <w:left w:val="none" w:sz="0" w:space="0" w:color="auto"/>
            <w:bottom w:val="none" w:sz="0" w:space="0" w:color="auto"/>
            <w:right w:val="none" w:sz="0" w:space="0" w:color="auto"/>
          </w:divBdr>
          <w:divsChild>
            <w:div w:id="151945157">
              <w:marLeft w:val="547"/>
              <w:marRight w:val="0"/>
              <w:marTop w:val="0"/>
              <w:marBottom w:val="0"/>
              <w:divBdr>
                <w:top w:val="none" w:sz="0" w:space="0" w:color="auto"/>
                <w:left w:val="none" w:sz="0" w:space="0" w:color="auto"/>
                <w:bottom w:val="none" w:sz="0" w:space="0" w:color="auto"/>
                <w:right w:val="none" w:sz="0" w:space="0" w:color="auto"/>
              </w:divBdr>
            </w:div>
            <w:div w:id="1723864775">
              <w:marLeft w:val="547"/>
              <w:marRight w:val="0"/>
              <w:marTop w:val="0"/>
              <w:marBottom w:val="0"/>
              <w:divBdr>
                <w:top w:val="none" w:sz="0" w:space="0" w:color="auto"/>
                <w:left w:val="none" w:sz="0" w:space="0" w:color="auto"/>
                <w:bottom w:val="none" w:sz="0" w:space="0" w:color="auto"/>
                <w:right w:val="none" w:sz="0" w:space="0" w:color="auto"/>
              </w:divBdr>
            </w:div>
            <w:div w:id="1535383536">
              <w:marLeft w:val="547"/>
              <w:marRight w:val="0"/>
              <w:marTop w:val="0"/>
              <w:marBottom w:val="0"/>
              <w:divBdr>
                <w:top w:val="none" w:sz="0" w:space="0" w:color="auto"/>
                <w:left w:val="none" w:sz="0" w:space="0" w:color="auto"/>
                <w:bottom w:val="none" w:sz="0" w:space="0" w:color="auto"/>
                <w:right w:val="none" w:sz="0" w:space="0" w:color="auto"/>
              </w:divBdr>
            </w:div>
            <w:div w:id="1680962092">
              <w:marLeft w:val="547"/>
              <w:marRight w:val="0"/>
              <w:marTop w:val="0"/>
              <w:marBottom w:val="0"/>
              <w:divBdr>
                <w:top w:val="none" w:sz="0" w:space="0" w:color="auto"/>
                <w:left w:val="none" w:sz="0" w:space="0" w:color="auto"/>
                <w:bottom w:val="none" w:sz="0" w:space="0" w:color="auto"/>
                <w:right w:val="none" w:sz="0" w:space="0" w:color="auto"/>
              </w:divBdr>
            </w:div>
            <w:div w:id="451092911">
              <w:marLeft w:val="547"/>
              <w:marRight w:val="0"/>
              <w:marTop w:val="0"/>
              <w:marBottom w:val="0"/>
              <w:divBdr>
                <w:top w:val="none" w:sz="0" w:space="0" w:color="auto"/>
                <w:left w:val="none" w:sz="0" w:space="0" w:color="auto"/>
                <w:bottom w:val="none" w:sz="0" w:space="0" w:color="auto"/>
                <w:right w:val="none" w:sz="0" w:space="0" w:color="auto"/>
              </w:divBdr>
            </w:div>
            <w:div w:id="1246115301">
              <w:marLeft w:val="547"/>
              <w:marRight w:val="0"/>
              <w:marTop w:val="0"/>
              <w:marBottom w:val="0"/>
              <w:divBdr>
                <w:top w:val="none" w:sz="0" w:space="0" w:color="auto"/>
                <w:left w:val="none" w:sz="0" w:space="0" w:color="auto"/>
                <w:bottom w:val="none" w:sz="0" w:space="0" w:color="auto"/>
                <w:right w:val="none" w:sz="0" w:space="0" w:color="auto"/>
              </w:divBdr>
            </w:div>
            <w:div w:id="1008675630">
              <w:marLeft w:val="547"/>
              <w:marRight w:val="0"/>
              <w:marTop w:val="0"/>
              <w:marBottom w:val="0"/>
              <w:divBdr>
                <w:top w:val="none" w:sz="0" w:space="0" w:color="auto"/>
                <w:left w:val="none" w:sz="0" w:space="0" w:color="auto"/>
                <w:bottom w:val="none" w:sz="0" w:space="0" w:color="auto"/>
                <w:right w:val="none" w:sz="0" w:space="0" w:color="auto"/>
              </w:divBdr>
            </w:div>
            <w:div w:id="376399962">
              <w:marLeft w:val="547"/>
              <w:marRight w:val="0"/>
              <w:marTop w:val="0"/>
              <w:marBottom w:val="0"/>
              <w:divBdr>
                <w:top w:val="none" w:sz="0" w:space="0" w:color="auto"/>
                <w:left w:val="none" w:sz="0" w:space="0" w:color="auto"/>
                <w:bottom w:val="none" w:sz="0" w:space="0" w:color="auto"/>
                <w:right w:val="none" w:sz="0" w:space="0" w:color="auto"/>
              </w:divBdr>
            </w:div>
            <w:div w:id="1629701227">
              <w:marLeft w:val="547"/>
              <w:marRight w:val="0"/>
              <w:marTop w:val="0"/>
              <w:marBottom w:val="0"/>
              <w:divBdr>
                <w:top w:val="none" w:sz="0" w:space="0" w:color="auto"/>
                <w:left w:val="none" w:sz="0" w:space="0" w:color="auto"/>
                <w:bottom w:val="none" w:sz="0" w:space="0" w:color="auto"/>
                <w:right w:val="none" w:sz="0" w:space="0" w:color="auto"/>
              </w:divBdr>
            </w:div>
            <w:div w:id="1783649958">
              <w:marLeft w:val="547"/>
              <w:marRight w:val="0"/>
              <w:marTop w:val="0"/>
              <w:marBottom w:val="0"/>
              <w:divBdr>
                <w:top w:val="none" w:sz="0" w:space="0" w:color="auto"/>
                <w:left w:val="none" w:sz="0" w:space="0" w:color="auto"/>
                <w:bottom w:val="none" w:sz="0" w:space="0" w:color="auto"/>
                <w:right w:val="none" w:sz="0" w:space="0" w:color="auto"/>
              </w:divBdr>
            </w:div>
            <w:div w:id="980501744">
              <w:marLeft w:val="547"/>
              <w:marRight w:val="0"/>
              <w:marTop w:val="0"/>
              <w:marBottom w:val="0"/>
              <w:divBdr>
                <w:top w:val="none" w:sz="0" w:space="0" w:color="auto"/>
                <w:left w:val="none" w:sz="0" w:space="0" w:color="auto"/>
                <w:bottom w:val="none" w:sz="0" w:space="0" w:color="auto"/>
                <w:right w:val="none" w:sz="0" w:space="0" w:color="auto"/>
              </w:divBdr>
            </w:div>
          </w:divsChild>
        </w:div>
        <w:div w:id="102656338">
          <w:marLeft w:val="0"/>
          <w:marRight w:val="0"/>
          <w:marTop w:val="0"/>
          <w:marBottom w:val="600"/>
          <w:divBdr>
            <w:top w:val="none" w:sz="0" w:space="0" w:color="auto"/>
            <w:left w:val="none" w:sz="0" w:space="0" w:color="auto"/>
            <w:bottom w:val="none" w:sz="0" w:space="0" w:color="auto"/>
            <w:right w:val="none" w:sz="0" w:space="0" w:color="auto"/>
          </w:divBdr>
        </w:div>
      </w:divsChild>
    </w:div>
    <w:div w:id="443619991">
      <w:marLeft w:val="0"/>
      <w:marRight w:val="0"/>
      <w:marTop w:val="0"/>
      <w:marBottom w:val="0"/>
      <w:divBdr>
        <w:top w:val="none" w:sz="0" w:space="0" w:color="auto"/>
        <w:left w:val="none" w:sz="0" w:space="0" w:color="auto"/>
        <w:bottom w:val="none" w:sz="0" w:space="0" w:color="auto"/>
        <w:right w:val="none" w:sz="0" w:space="0" w:color="auto"/>
      </w:divBdr>
      <w:divsChild>
        <w:div w:id="928005393">
          <w:marLeft w:val="0"/>
          <w:marRight w:val="0"/>
          <w:marTop w:val="600"/>
          <w:marBottom w:val="0"/>
          <w:divBdr>
            <w:top w:val="none" w:sz="0" w:space="0" w:color="auto"/>
            <w:left w:val="none" w:sz="0" w:space="0" w:color="auto"/>
            <w:bottom w:val="none" w:sz="0" w:space="0" w:color="auto"/>
            <w:right w:val="none" w:sz="0" w:space="0" w:color="auto"/>
          </w:divBdr>
        </w:div>
        <w:div w:id="2073457981">
          <w:marLeft w:val="0"/>
          <w:marRight w:val="0"/>
          <w:marTop w:val="0"/>
          <w:marBottom w:val="0"/>
          <w:divBdr>
            <w:top w:val="none" w:sz="0" w:space="0" w:color="auto"/>
            <w:left w:val="none" w:sz="0" w:space="0" w:color="auto"/>
            <w:bottom w:val="none" w:sz="0" w:space="0" w:color="auto"/>
            <w:right w:val="none" w:sz="0" w:space="0" w:color="auto"/>
          </w:divBdr>
        </w:div>
        <w:div w:id="1649699595">
          <w:marLeft w:val="0"/>
          <w:marRight w:val="0"/>
          <w:marTop w:val="0"/>
          <w:marBottom w:val="600"/>
          <w:divBdr>
            <w:top w:val="none" w:sz="0" w:space="0" w:color="auto"/>
            <w:left w:val="none" w:sz="0" w:space="0" w:color="auto"/>
            <w:bottom w:val="none" w:sz="0" w:space="0" w:color="auto"/>
            <w:right w:val="none" w:sz="0" w:space="0" w:color="auto"/>
          </w:divBdr>
        </w:div>
      </w:divsChild>
    </w:div>
    <w:div w:id="455679023">
      <w:marLeft w:val="0"/>
      <w:marRight w:val="0"/>
      <w:marTop w:val="0"/>
      <w:marBottom w:val="0"/>
      <w:divBdr>
        <w:top w:val="none" w:sz="0" w:space="0" w:color="auto"/>
        <w:left w:val="none" w:sz="0" w:space="0" w:color="auto"/>
        <w:bottom w:val="none" w:sz="0" w:space="0" w:color="auto"/>
        <w:right w:val="none" w:sz="0" w:space="0" w:color="auto"/>
      </w:divBdr>
      <w:divsChild>
        <w:div w:id="522670746">
          <w:marLeft w:val="0"/>
          <w:marRight w:val="0"/>
          <w:marTop w:val="600"/>
          <w:marBottom w:val="0"/>
          <w:divBdr>
            <w:top w:val="none" w:sz="0" w:space="0" w:color="auto"/>
            <w:left w:val="none" w:sz="0" w:space="0" w:color="auto"/>
            <w:bottom w:val="none" w:sz="0" w:space="0" w:color="auto"/>
            <w:right w:val="none" w:sz="0" w:space="0" w:color="auto"/>
          </w:divBdr>
        </w:div>
        <w:div w:id="33308788">
          <w:marLeft w:val="0"/>
          <w:marRight w:val="0"/>
          <w:marTop w:val="0"/>
          <w:marBottom w:val="0"/>
          <w:divBdr>
            <w:top w:val="none" w:sz="0" w:space="0" w:color="auto"/>
            <w:left w:val="none" w:sz="0" w:space="0" w:color="auto"/>
            <w:bottom w:val="none" w:sz="0" w:space="0" w:color="auto"/>
            <w:right w:val="none" w:sz="0" w:space="0" w:color="auto"/>
          </w:divBdr>
        </w:div>
        <w:div w:id="707531768">
          <w:marLeft w:val="0"/>
          <w:marRight w:val="0"/>
          <w:marTop w:val="0"/>
          <w:marBottom w:val="600"/>
          <w:divBdr>
            <w:top w:val="none" w:sz="0" w:space="0" w:color="auto"/>
            <w:left w:val="none" w:sz="0" w:space="0" w:color="auto"/>
            <w:bottom w:val="none" w:sz="0" w:space="0" w:color="auto"/>
            <w:right w:val="none" w:sz="0" w:space="0" w:color="auto"/>
          </w:divBdr>
        </w:div>
      </w:divsChild>
    </w:div>
    <w:div w:id="456677386">
      <w:marLeft w:val="0"/>
      <w:marRight w:val="0"/>
      <w:marTop w:val="0"/>
      <w:marBottom w:val="0"/>
      <w:divBdr>
        <w:top w:val="none" w:sz="0" w:space="0" w:color="auto"/>
        <w:left w:val="none" w:sz="0" w:space="0" w:color="auto"/>
        <w:bottom w:val="none" w:sz="0" w:space="0" w:color="auto"/>
        <w:right w:val="none" w:sz="0" w:space="0" w:color="auto"/>
      </w:divBdr>
      <w:divsChild>
        <w:div w:id="603154879">
          <w:marLeft w:val="0"/>
          <w:marRight w:val="0"/>
          <w:marTop w:val="600"/>
          <w:marBottom w:val="0"/>
          <w:divBdr>
            <w:top w:val="none" w:sz="0" w:space="0" w:color="auto"/>
            <w:left w:val="none" w:sz="0" w:space="0" w:color="auto"/>
            <w:bottom w:val="none" w:sz="0" w:space="0" w:color="auto"/>
            <w:right w:val="none" w:sz="0" w:space="0" w:color="auto"/>
          </w:divBdr>
        </w:div>
        <w:div w:id="1962686255">
          <w:marLeft w:val="0"/>
          <w:marRight w:val="0"/>
          <w:marTop w:val="0"/>
          <w:marBottom w:val="0"/>
          <w:divBdr>
            <w:top w:val="none" w:sz="0" w:space="0" w:color="auto"/>
            <w:left w:val="none" w:sz="0" w:space="0" w:color="auto"/>
            <w:bottom w:val="none" w:sz="0" w:space="0" w:color="auto"/>
            <w:right w:val="none" w:sz="0" w:space="0" w:color="auto"/>
          </w:divBdr>
        </w:div>
        <w:div w:id="334918117">
          <w:marLeft w:val="0"/>
          <w:marRight w:val="0"/>
          <w:marTop w:val="0"/>
          <w:marBottom w:val="600"/>
          <w:divBdr>
            <w:top w:val="none" w:sz="0" w:space="0" w:color="auto"/>
            <w:left w:val="none" w:sz="0" w:space="0" w:color="auto"/>
            <w:bottom w:val="none" w:sz="0" w:space="0" w:color="auto"/>
            <w:right w:val="none" w:sz="0" w:space="0" w:color="auto"/>
          </w:divBdr>
        </w:div>
      </w:divsChild>
    </w:div>
    <w:div w:id="460996064">
      <w:marLeft w:val="0"/>
      <w:marRight w:val="0"/>
      <w:marTop w:val="0"/>
      <w:marBottom w:val="0"/>
      <w:divBdr>
        <w:top w:val="none" w:sz="0" w:space="0" w:color="auto"/>
        <w:left w:val="none" w:sz="0" w:space="0" w:color="auto"/>
        <w:bottom w:val="none" w:sz="0" w:space="0" w:color="auto"/>
        <w:right w:val="none" w:sz="0" w:space="0" w:color="auto"/>
      </w:divBdr>
      <w:divsChild>
        <w:div w:id="860244221">
          <w:marLeft w:val="0"/>
          <w:marRight w:val="0"/>
          <w:marTop w:val="600"/>
          <w:marBottom w:val="0"/>
          <w:divBdr>
            <w:top w:val="none" w:sz="0" w:space="0" w:color="auto"/>
            <w:left w:val="none" w:sz="0" w:space="0" w:color="auto"/>
            <w:bottom w:val="none" w:sz="0" w:space="0" w:color="auto"/>
            <w:right w:val="none" w:sz="0" w:space="0" w:color="auto"/>
          </w:divBdr>
        </w:div>
        <w:div w:id="1025407729">
          <w:marLeft w:val="0"/>
          <w:marRight w:val="0"/>
          <w:marTop w:val="0"/>
          <w:marBottom w:val="0"/>
          <w:divBdr>
            <w:top w:val="none" w:sz="0" w:space="0" w:color="auto"/>
            <w:left w:val="none" w:sz="0" w:space="0" w:color="auto"/>
            <w:bottom w:val="none" w:sz="0" w:space="0" w:color="auto"/>
            <w:right w:val="none" w:sz="0" w:space="0" w:color="auto"/>
          </w:divBdr>
        </w:div>
        <w:div w:id="179205225">
          <w:marLeft w:val="0"/>
          <w:marRight w:val="0"/>
          <w:marTop w:val="0"/>
          <w:marBottom w:val="600"/>
          <w:divBdr>
            <w:top w:val="none" w:sz="0" w:space="0" w:color="auto"/>
            <w:left w:val="none" w:sz="0" w:space="0" w:color="auto"/>
            <w:bottom w:val="none" w:sz="0" w:space="0" w:color="auto"/>
            <w:right w:val="none" w:sz="0" w:space="0" w:color="auto"/>
          </w:divBdr>
        </w:div>
      </w:divsChild>
    </w:div>
    <w:div w:id="515072663">
      <w:marLeft w:val="0"/>
      <w:marRight w:val="0"/>
      <w:marTop w:val="0"/>
      <w:marBottom w:val="0"/>
      <w:divBdr>
        <w:top w:val="none" w:sz="0" w:space="0" w:color="auto"/>
        <w:left w:val="none" w:sz="0" w:space="0" w:color="auto"/>
        <w:bottom w:val="none" w:sz="0" w:space="0" w:color="auto"/>
        <w:right w:val="none" w:sz="0" w:space="0" w:color="auto"/>
      </w:divBdr>
      <w:divsChild>
        <w:div w:id="104079166">
          <w:marLeft w:val="0"/>
          <w:marRight w:val="0"/>
          <w:marTop w:val="600"/>
          <w:marBottom w:val="0"/>
          <w:divBdr>
            <w:top w:val="none" w:sz="0" w:space="0" w:color="auto"/>
            <w:left w:val="none" w:sz="0" w:space="0" w:color="auto"/>
            <w:bottom w:val="none" w:sz="0" w:space="0" w:color="auto"/>
            <w:right w:val="none" w:sz="0" w:space="0" w:color="auto"/>
          </w:divBdr>
        </w:div>
        <w:div w:id="778766034">
          <w:marLeft w:val="0"/>
          <w:marRight w:val="0"/>
          <w:marTop w:val="0"/>
          <w:marBottom w:val="0"/>
          <w:divBdr>
            <w:top w:val="none" w:sz="0" w:space="0" w:color="auto"/>
            <w:left w:val="none" w:sz="0" w:space="0" w:color="auto"/>
            <w:bottom w:val="none" w:sz="0" w:space="0" w:color="auto"/>
            <w:right w:val="none" w:sz="0" w:space="0" w:color="auto"/>
          </w:divBdr>
        </w:div>
        <w:div w:id="937761274">
          <w:marLeft w:val="0"/>
          <w:marRight w:val="0"/>
          <w:marTop w:val="0"/>
          <w:marBottom w:val="600"/>
          <w:divBdr>
            <w:top w:val="none" w:sz="0" w:space="0" w:color="auto"/>
            <w:left w:val="none" w:sz="0" w:space="0" w:color="auto"/>
            <w:bottom w:val="none" w:sz="0" w:space="0" w:color="auto"/>
            <w:right w:val="none" w:sz="0" w:space="0" w:color="auto"/>
          </w:divBdr>
        </w:div>
      </w:divsChild>
    </w:div>
    <w:div w:id="517935625">
      <w:marLeft w:val="0"/>
      <w:marRight w:val="0"/>
      <w:marTop w:val="0"/>
      <w:marBottom w:val="0"/>
      <w:divBdr>
        <w:top w:val="none" w:sz="0" w:space="0" w:color="auto"/>
        <w:left w:val="none" w:sz="0" w:space="0" w:color="auto"/>
        <w:bottom w:val="none" w:sz="0" w:space="0" w:color="auto"/>
        <w:right w:val="none" w:sz="0" w:space="0" w:color="auto"/>
      </w:divBdr>
      <w:divsChild>
        <w:div w:id="493885017">
          <w:marLeft w:val="0"/>
          <w:marRight w:val="0"/>
          <w:marTop w:val="600"/>
          <w:marBottom w:val="0"/>
          <w:divBdr>
            <w:top w:val="none" w:sz="0" w:space="0" w:color="auto"/>
            <w:left w:val="none" w:sz="0" w:space="0" w:color="auto"/>
            <w:bottom w:val="none" w:sz="0" w:space="0" w:color="auto"/>
            <w:right w:val="none" w:sz="0" w:space="0" w:color="auto"/>
          </w:divBdr>
        </w:div>
        <w:div w:id="1638416139">
          <w:marLeft w:val="0"/>
          <w:marRight w:val="0"/>
          <w:marTop w:val="0"/>
          <w:marBottom w:val="0"/>
          <w:divBdr>
            <w:top w:val="none" w:sz="0" w:space="0" w:color="auto"/>
            <w:left w:val="none" w:sz="0" w:space="0" w:color="auto"/>
            <w:bottom w:val="none" w:sz="0" w:space="0" w:color="auto"/>
            <w:right w:val="none" w:sz="0" w:space="0" w:color="auto"/>
          </w:divBdr>
          <w:divsChild>
            <w:div w:id="248201674">
              <w:marLeft w:val="0"/>
              <w:marRight w:val="0"/>
              <w:marTop w:val="0"/>
              <w:marBottom w:val="0"/>
              <w:divBdr>
                <w:top w:val="none" w:sz="0" w:space="0" w:color="auto"/>
                <w:left w:val="none" w:sz="0" w:space="0" w:color="auto"/>
                <w:bottom w:val="none" w:sz="0" w:space="0" w:color="auto"/>
                <w:right w:val="none" w:sz="0" w:space="0" w:color="auto"/>
              </w:divBdr>
              <w:divsChild>
                <w:div w:id="1613513419">
                  <w:marLeft w:val="0"/>
                  <w:marRight w:val="0"/>
                  <w:marTop w:val="0"/>
                  <w:marBottom w:val="0"/>
                  <w:divBdr>
                    <w:top w:val="none" w:sz="0" w:space="0" w:color="auto"/>
                    <w:left w:val="none" w:sz="0" w:space="0" w:color="auto"/>
                    <w:bottom w:val="none" w:sz="0" w:space="0" w:color="auto"/>
                    <w:right w:val="none" w:sz="0" w:space="0" w:color="auto"/>
                  </w:divBdr>
                </w:div>
              </w:divsChild>
            </w:div>
            <w:div w:id="10303072">
              <w:marLeft w:val="0"/>
              <w:marRight w:val="0"/>
              <w:marTop w:val="0"/>
              <w:marBottom w:val="0"/>
              <w:divBdr>
                <w:top w:val="none" w:sz="0" w:space="0" w:color="auto"/>
                <w:left w:val="none" w:sz="0" w:space="0" w:color="auto"/>
                <w:bottom w:val="none" w:sz="0" w:space="0" w:color="auto"/>
                <w:right w:val="none" w:sz="0" w:space="0" w:color="auto"/>
              </w:divBdr>
              <w:divsChild>
                <w:div w:id="170801486">
                  <w:marLeft w:val="0"/>
                  <w:marRight w:val="0"/>
                  <w:marTop w:val="0"/>
                  <w:marBottom w:val="0"/>
                  <w:divBdr>
                    <w:top w:val="none" w:sz="0" w:space="0" w:color="auto"/>
                    <w:left w:val="none" w:sz="0" w:space="0" w:color="auto"/>
                    <w:bottom w:val="none" w:sz="0" w:space="0" w:color="auto"/>
                    <w:right w:val="none" w:sz="0" w:space="0" w:color="auto"/>
                  </w:divBdr>
                </w:div>
              </w:divsChild>
            </w:div>
            <w:div w:id="1190685462">
              <w:marLeft w:val="0"/>
              <w:marRight w:val="0"/>
              <w:marTop w:val="0"/>
              <w:marBottom w:val="0"/>
              <w:divBdr>
                <w:top w:val="none" w:sz="0" w:space="0" w:color="auto"/>
                <w:left w:val="none" w:sz="0" w:space="0" w:color="auto"/>
                <w:bottom w:val="none" w:sz="0" w:space="0" w:color="auto"/>
                <w:right w:val="none" w:sz="0" w:space="0" w:color="auto"/>
              </w:divBdr>
              <w:divsChild>
                <w:div w:id="286589453">
                  <w:marLeft w:val="0"/>
                  <w:marRight w:val="0"/>
                  <w:marTop w:val="0"/>
                  <w:marBottom w:val="0"/>
                  <w:divBdr>
                    <w:top w:val="none" w:sz="0" w:space="0" w:color="auto"/>
                    <w:left w:val="none" w:sz="0" w:space="0" w:color="auto"/>
                    <w:bottom w:val="none" w:sz="0" w:space="0" w:color="auto"/>
                    <w:right w:val="none" w:sz="0" w:space="0" w:color="auto"/>
                  </w:divBdr>
                </w:div>
              </w:divsChild>
            </w:div>
            <w:div w:id="1919634984">
              <w:marLeft w:val="0"/>
              <w:marRight w:val="0"/>
              <w:marTop w:val="0"/>
              <w:marBottom w:val="0"/>
              <w:divBdr>
                <w:top w:val="none" w:sz="0" w:space="0" w:color="auto"/>
                <w:left w:val="none" w:sz="0" w:space="0" w:color="auto"/>
                <w:bottom w:val="none" w:sz="0" w:space="0" w:color="auto"/>
                <w:right w:val="none" w:sz="0" w:space="0" w:color="auto"/>
              </w:divBdr>
              <w:divsChild>
                <w:div w:id="1594048549">
                  <w:marLeft w:val="0"/>
                  <w:marRight w:val="0"/>
                  <w:marTop w:val="0"/>
                  <w:marBottom w:val="0"/>
                  <w:divBdr>
                    <w:top w:val="none" w:sz="0" w:space="0" w:color="auto"/>
                    <w:left w:val="none" w:sz="0" w:space="0" w:color="auto"/>
                    <w:bottom w:val="none" w:sz="0" w:space="0" w:color="auto"/>
                    <w:right w:val="none" w:sz="0" w:space="0" w:color="auto"/>
                  </w:divBdr>
                </w:div>
              </w:divsChild>
            </w:div>
            <w:div w:id="736704014">
              <w:marLeft w:val="0"/>
              <w:marRight w:val="0"/>
              <w:marTop w:val="0"/>
              <w:marBottom w:val="0"/>
              <w:divBdr>
                <w:top w:val="none" w:sz="0" w:space="0" w:color="auto"/>
                <w:left w:val="none" w:sz="0" w:space="0" w:color="auto"/>
                <w:bottom w:val="none" w:sz="0" w:space="0" w:color="auto"/>
                <w:right w:val="none" w:sz="0" w:space="0" w:color="auto"/>
              </w:divBdr>
              <w:divsChild>
                <w:div w:id="2119182406">
                  <w:marLeft w:val="0"/>
                  <w:marRight w:val="0"/>
                  <w:marTop w:val="0"/>
                  <w:marBottom w:val="0"/>
                  <w:divBdr>
                    <w:top w:val="none" w:sz="0" w:space="0" w:color="auto"/>
                    <w:left w:val="none" w:sz="0" w:space="0" w:color="auto"/>
                    <w:bottom w:val="none" w:sz="0" w:space="0" w:color="auto"/>
                    <w:right w:val="none" w:sz="0" w:space="0" w:color="auto"/>
                  </w:divBdr>
                </w:div>
              </w:divsChild>
            </w:div>
            <w:div w:id="614941194">
              <w:marLeft w:val="0"/>
              <w:marRight w:val="0"/>
              <w:marTop w:val="0"/>
              <w:marBottom w:val="0"/>
              <w:divBdr>
                <w:top w:val="none" w:sz="0" w:space="0" w:color="auto"/>
                <w:left w:val="none" w:sz="0" w:space="0" w:color="auto"/>
                <w:bottom w:val="none" w:sz="0" w:space="0" w:color="auto"/>
                <w:right w:val="none" w:sz="0" w:space="0" w:color="auto"/>
              </w:divBdr>
              <w:divsChild>
                <w:div w:id="1422723377">
                  <w:marLeft w:val="0"/>
                  <w:marRight w:val="0"/>
                  <w:marTop w:val="0"/>
                  <w:marBottom w:val="0"/>
                  <w:divBdr>
                    <w:top w:val="none" w:sz="0" w:space="0" w:color="auto"/>
                    <w:left w:val="none" w:sz="0" w:space="0" w:color="auto"/>
                    <w:bottom w:val="none" w:sz="0" w:space="0" w:color="auto"/>
                    <w:right w:val="none" w:sz="0" w:space="0" w:color="auto"/>
                  </w:divBdr>
                </w:div>
              </w:divsChild>
            </w:div>
            <w:div w:id="1434325340">
              <w:marLeft w:val="0"/>
              <w:marRight w:val="0"/>
              <w:marTop w:val="0"/>
              <w:marBottom w:val="0"/>
              <w:divBdr>
                <w:top w:val="none" w:sz="0" w:space="0" w:color="auto"/>
                <w:left w:val="none" w:sz="0" w:space="0" w:color="auto"/>
                <w:bottom w:val="none" w:sz="0" w:space="0" w:color="auto"/>
                <w:right w:val="none" w:sz="0" w:space="0" w:color="auto"/>
              </w:divBdr>
              <w:divsChild>
                <w:div w:id="556477362">
                  <w:marLeft w:val="0"/>
                  <w:marRight w:val="0"/>
                  <w:marTop w:val="0"/>
                  <w:marBottom w:val="0"/>
                  <w:divBdr>
                    <w:top w:val="none" w:sz="0" w:space="0" w:color="auto"/>
                    <w:left w:val="none" w:sz="0" w:space="0" w:color="auto"/>
                    <w:bottom w:val="none" w:sz="0" w:space="0" w:color="auto"/>
                    <w:right w:val="none" w:sz="0" w:space="0" w:color="auto"/>
                  </w:divBdr>
                </w:div>
              </w:divsChild>
            </w:div>
            <w:div w:id="305359505">
              <w:marLeft w:val="0"/>
              <w:marRight w:val="0"/>
              <w:marTop w:val="0"/>
              <w:marBottom w:val="0"/>
              <w:divBdr>
                <w:top w:val="none" w:sz="0" w:space="0" w:color="auto"/>
                <w:left w:val="none" w:sz="0" w:space="0" w:color="auto"/>
                <w:bottom w:val="none" w:sz="0" w:space="0" w:color="auto"/>
                <w:right w:val="none" w:sz="0" w:space="0" w:color="auto"/>
              </w:divBdr>
              <w:divsChild>
                <w:div w:id="105002028">
                  <w:marLeft w:val="0"/>
                  <w:marRight w:val="0"/>
                  <w:marTop w:val="0"/>
                  <w:marBottom w:val="0"/>
                  <w:divBdr>
                    <w:top w:val="none" w:sz="0" w:space="0" w:color="auto"/>
                    <w:left w:val="none" w:sz="0" w:space="0" w:color="auto"/>
                    <w:bottom w:val="none" w:sz="0" w:space="0" w:color="auto"/>
                    <w:right w:val="none" w:sz="0" w:space="0" w:color="auto"/>
                  </w:divBdr>
                </w:div>
              </w:divsChild>
            </w:div>
            <w:div w:id="1808543483">
              <w:marLeft w:val="0"/>
              <w:marRight w:val="0"/>
              <w:marTop w:val="0"/>
              <w:marBottom w:val="0"/>
              <w:divBdr>
                <w:top w:val="none" w:sz="0" w:space="0" w:color="auto"/>
                <w:left w:val="none" w:sz="0" w:space="0" w:color="auto"/>
                <w:bottom w:val="none" w:sz="0" w:space="0" w:color="auto"/>
                <w:right w:val="none" w:sz="0" w:space="0" w:color="auto"/>
              </w:divBdr>
              <w:divsChild>
                <w:div w:id="1414398875">
                  <w:marLeft w:val="0"/>
                  <w:marRight w:val="0"/>
                  <w:marTop w:val="0"/>
                  <w:marBottom w:val="0"/>
                  <w:divBdr>
                    <w:top w:val="none" w:sz="0" w:space="0" w:color="auto"/>
                    <w:left w:val="none" w:sz="0" w:space="0" w:color="auto"/>
                    <w:bottom w:val="none" w:sz="0" w:space="0" w:color="auto"/>
                    <w:right w:val="none" w:sz="0" w:space="0" w:color="auto"/>
                  </w:divBdr>
                </w:div>
              </w:divsChild>
            </w:div>
            <w:div w:id="879779999">
              <w:marLeft w:val="0"/>
              <w:marRight w:val="0"/>
              <w:marTop w:val="0"/>
              <w:marBottom w:val="0"/>
              <w:divBdr>
                <w:top w:val="none" w:sz="0" w:space="0" w:color="auto"/>
                <w:left w:val="none" w:sz="0" w:space="0" w:color="auto"/>
                <w:bottom w:val="none" w:sz="0" w:space="0" w:color="auto"/>
                <w:right w:val="none" w:sz="0" w:space="0" w:color="auto"/>
              </w:divBdr>
              <w:divsChild>
                <w:div w:id="19070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5123">
          <w:marLeft w:val="0"/>
          <w:marRight w:val="0"/>
          <w:marTop w:val="0"/>
          <w:marBottom w:val="600"/>
          <w:divBdr>
            <w:top w:val="none" w:sz="0" w:space="0" w:color="auto"/>
            <w:left w:val="none" w:sz="0" w:space="0" w:color="auto"/>
            <w:bottom w:val="none" w:sz="0" w:space="0" w:color="auto"/>
            <w:right w:val="none" w:sz="0" w:space="0" w:color="auto"/>
          </w:divBdr>
        </w:div>
      </w:divsChild>
    </w:div>
    <w:div w:id="536311158">
      <w:marLeft w:val="0"/>
      <w:marRight w:val="0"/>
      <w:marTop w:val="0"/>
      <w:marBottom w:val="0"/>
      <w:divBdr>
        <w:top w:val="none" w:sz="0" w:space="0" w:color="auto"/>
        <w:left w:val="none" w:sz="0" w:space="0" w:color="auto"/>
        <w:bottom w:val="none" w:sz="0" w:space="0" w:color="auto"/>
        <w:right w:val="none" w:sz="0" w:space="0" w:color="auto"/>
      </w:divBdr>
      <w:divsChild>
        <w:div w:id="2007702277">
          <w:marLeft w:val="0"/>
          <w:marRight w:val="0"/>
          <w:marTop w:val="600"/>
          <w:marBottom w:val="0"/>
          <w:divBdr>
            <w:top w:val="none" w:sz="0" w:space="0" w:color="auto"/>
            <w:left w:val="none" w:sz="0" w:space="0" w:color="auto"/>
            <w:bottom w:val="none" w:sz="0" w:space="0" w:color="auto"/>
            <w:right w:val="none" w:sz="0" w:space="0" w:color="auto"/>
          </w:divBdr>
        </w:div>
        <w:div w:id="250167941">
          <w:marLeft w:val="0"/>
          <w:marRight w:val="0"/>
          <w:marTop w:val="0"/>
          <w:marBottom w:val="0"/>
          <w:divBdr>
            <w:top w:val="none" w:sz="0" w:space="0" w:color="auto"/>
            <w:left w:val="none" w:sz="0" w:space="0" w:color="auto"/>
            <w:bottom w:val="none" w:sz="0" w:space="0" w:color="auto"/>
            <w:right w:val="none" w:sz="0" w:space="0" w:color="auto"/>
          </w:divBdr>
        </w:div>
        <w:div w:id="30617407">
          <w:marLeft w:val="0"/>
          <w:marRight w:val="0"/>
          <w:marTop w:val="0"/>
          <w:marBottom w:val="600"/>
          <w:divBdr>
            <w:top w:val="none" w:sz="0" w:space="0" w:color="auto"/>
            <w:left w:val="none" w:sz="0" w:space="0" w:color="auto"/>
            <w:bottom w:val="none" w:sz="0" w:space="0" w:color="auto"/>
            <w:right w:val="none" w:sz="0" w:space="0" w:color="auto"/>
          </w:divBdr>
        </w:div>
      </w:divsChild>
    </w:div>
    <w:div w:id="548372328">
      <w:marLeft w:val="0"/>
      <w:marRight w:val="0"/>
      <w:marTop w:val="0"/>
      <w:marBottom w:val="0"/>
      <w:divBdr>
        <w:top w:val="none" w:sz="0" w:space="0" w:color="auto"/>
        <w:left w:val="none" w:sz="0" w:space="0" w:color="auto"/>
        <w:bottom w:val="none" w:sz="0" w:space="0" w:color="auto"/>
        <w:right w:val="none" w:sz="0" w:space="0" w:color="auto"/>
      </w:divBdr>
      <w:divsChild>
        <w:div w:id="1716078811">
          <w:marLeft w:val="0"/>
          <w:marRight w:val="0"/>
          <w:marTop w:val="600"/>
          <w:marBottom w:val="0"/>
          <w:divBdr>
            <w:top w:val="none" w:sz="0" w:space="0" w:color="auto"/>
            <w:left w:val="none" w:sz="0" w:space="0" w:color="auto"/>
            <w:bottom w:val="none" w:sz="0" w:space="0" w:color="auto"/>
            <w:right w:val="none" w:sz="0" w:space="0" w:color="auto"/>
          </w:divBdr>
        </w:div>
        <w:div w:id="253709733">
          <w:marLeft w:val="0"/>
          <w:marRight w:val="0"/>
          <w:marTop w:val="0"/>
          <w:marBottom w:val="0"/>
          <w:divBdr>
            <w:top w:val="none" w:sz="0" w:space="0" w:color="auto"/>
            <w:left w:val="none" w:sz="0" w:space="0" w:color="auto"/>
            <w:bottom w:val="none" w:sz="0" w:space="0" w:color="auto"/>
            <w:right w:val="none" w:sz="0" w:space="0" w:color="auto"/>
          </w:divBdr>
        </w:div>
        <w:div w:id="1357734112">
          <w:marLeft w:val="0"/>
          <w:marRight w:val="0"/>
          <w:marTop w:val="0"/>
          <w:marBottom w:val="600"/>
          <w:divBdr>
            <w:top w:val="none" w:sz="0" w:space="0" w:color="auto"/>
            <w:left w:val="none" w:sz="0" w:space="0" w:color="auto"/>
            <w:bottom w:val="none" w:sz="0" w:space="0" w:color="auto"/>
            <w:right w:val="none" w:sz="0" w:space="0" w:color="auto"/>
          </w:divBdr>
        </w:div>
      </w:divsChild>
    </w:div>
    <w:div w:id="563494179">
      <w:marLeft w:val="0"/>
      <w:marRight w:val="0"/>
      <w:marTop w:val="0"/>
      <w:marBottom w:val="0"/>
      <w:divBdr>
        <w:top w:val="none" w:sz="0" w:space="0" w:color="auto"/>
        <w:left w:val="none" w:sz="0" w:space="0" w:color="auto"/>
        <w:bottom w:val="none" w:sz="0" w:space="0" w:color="auto"/>
        <w:right w:val="none" w:sz="0" w:space="0" w:color="auto"/>
      </w:divBdr>
      <w:divsChild>
        <w:div w:id="1445075681">
          <w:marLeft w:val="0"/>
          <w:marRight w:val="0"/>
          <w:marTop w:val="600"/>
          <w:marBottom w:val="0"/>
          <w:divBdr>
            <w:top w:val="none" w:sz="0" w:space="0" w:color="auto"/>
            <w:left w:val="none" w:sz="0" w:space="0" w:color="auto"/>
            <w:bottom w:val="none" w:sz="0" w:space="0" w:color="auto"/>
            <w:right w:val="none" w:sz="0" w:space="0" w:color="auto"/>
          </w:divBdr>
        </w:div>
        <w:div w:id="929509259">
          <w:marLeft w:val="0"/>
          <w:marRight w:val="0"/>
          <w:marTop w:val="0"/>
          <w:marBottom w:val="0"/>
          <w:divBdr>
            <w:top w:val="none" w:sz="0" w:space="0" w:color="auto"/>
            <w:left w:val="none" w:sz="0" w:space="0" w:color="auto"/>
            <w:bottom w:val="none" w:sz="0" w:space="0" w:color="auto"/>
            <w:right w:val="none" w:sz="0" w:space="0" w:color="auto"/>
          </w:divBdr>
        </w:div>
        <w:div w:id="2081323037">
          <w:marLeft w:val="0"/>
          <w:marRight w:val="0"/>
          <w:marTop w:val="0"/>
          <w:marBottom w:val="600"/>
          <w:divBdr>
            <w:top w:val="none" w:sz="0" w:space="0" w:color="auto"/>
            <w:left w:val="none" w:sz="0" w:space="0" w:color="auto"/>
            <w:bottom w:val="none" w:sz="0" w:space="0" w:color="auto"/>
            <w:right w:val="none" w:sz="0" w:space="0" w:color="auto"/>
          </w:divBdr>
        </w:div>
      </w:divsChild>
    </w:div>
    <w:div w:id="568074279">
      <w:marLeft w:val="0"/>
      <w:marRight w:val="0"/>
      <w:marTop w:val="0"/>
      <w:marBottom w:val="0"/>
      <w:divBdr>
        <w:top w:val="none" w:sz="0" w:space="0" w:color="auto"/>
        <w:left w:val="none" w:sz="0" w:space="0" w:color="auto"/>
        <w:bottom w:val="none" w:sz="0" w:space="0" w:color="auto"/>
        <w:right w:val="none" w:sz="0" w:space="0" w:color="auto"/>
      </w:divBdr>
      <w:divsChild>
        <w:div w:id="1137842193">
          <w:marLeft w:val="0"/>
          <w:marRight w:val="0"/>
          <w:marTop w:val="600"/>
          <w:marBottom w:val="0"/>
          <w:divBdr>
            <w:top w:val="none" w:sz="0" w:space="0" w:color="auto"/>
            <w:left w:val="none" w:sz="0" w:space="0" w:color="auto"/>
            <w:bottom w:val="none" w:sz="0" w:space="0" w:color="auto"/>
            <w:right w:val="none" w:sz="0" w:space="0" w:color="auto"/>
          </w:divBdr>
        </w:div>
        <w:div w:id="1304895059">
          <w:marLeft w:val="0"/>
          <w:marRight w:val="0"/>
          <w:marTop w:val="0"/>
          <w:marBottom w:val="0"/>
          <w:divBdr>
            <w:top w:val="none" w:sz="0" w:space="0" w:color="auto"/>
            <w:left w:val="none" w:sz="0" w:space="0" w:color="auto"/>
            <w:bottom w:val="none" w:sz="0" w:space="0" w:color="auto"/>
            <w:right w:val="none" w:sz="0" w:space="0" w:color="auto"/>
          </w:divBdr>
        </w:div>
        <w:div w:id="1571227552">
          <w:marLeft w:val="0"/>
          <w:marRight w:val="0"/>
          <w:marTop w:val="0"/>
          <w:marBottom w:val="600"/>
          <w:divBdr>
            <w:top w:val="none" w:sz="0" w:space="0" w:color="auto"/>
            <w:left w:val="none" w:sz="0" w:space="0" w:color="auto"/>
            <w:bottom w:val="none" w:sz="0" w:space="0" w:color="auto"/>
            <w:right w:val="none" w:sz="0" w:space="0" w:color="auto"/>
          </w:divBdr>
        </w:div>
      </w:divsChild>
    </w:div>
    <w:div w:id="625279745">
      <w:marLeft w:val="0"/>
      <w:marRight w:val="0"/>
      <w:marTop w:val="0"/>
      <w:marBottom w:val="0"/>
      <w:divBdr>
        <w:top w:val="none" w:sz="0" w:space="0" w:color="auto"/>
        <w:left w:val="none" w:sz="0" w:space="0" w:color="auto"/>
        <w:bottom w:val="none" w:sz="0" w:space="0" w:color="auto"/>
        <w:right w:val="none" w:sz="0" w:space="0" w:color="auto"/>
      </w:divBdr>
      <w:divsChild>
        <w:div w:id="613631861">
          <w:marLeft w:val="0"/>
          <w:marRight w:val="0"/>
          <w:marTop w:val="600"/>
          <w:marBottom w:val="0"/>
          <w:divBdr>
            <w:top w:val="none" w:sz="0" w:space="0" w:color="auto"/>
            <w:left w:val="none" w:sz="0" w:space="0" w:color="auto"/>
            <w:bottom w:val="none" w:sz="0" w:space="0" w:color="auto"/>
            <w:right w:val="none" w:sz="0" w:space="0" w:color="auto"/>
          </w:divBdr>
        </w:div>
        <w:div w:id="1929384745">
          <w:marLeft w:val="0"/>
          <w:marRight w:val="0"/>
          <w:marTop w:val="0"/>
          <w:marBottom w:val="0"/>
          <w:divBdr>
            <w:top w:val="none" w:sz="0" w:space="0" w:color="auto"/>
            <w:left w:val="none" w:sz="0" w:space="0" w:color="auto"/>
            <w:bottom w:val="none" w:sz="0" w:space="0" w:color="auto"/>
            <w:right w:val="none" w:sz="0" w:space="0" w:color="auto"/>
          </w:divBdr>
        </w:div>
        <w:div w:id="312829493">
          <w:marLeft w:val="0"/>
          <w:marRight w:val="0"/>
          <w:marTop w:val="0"/>
          <w:marBottom w:val="600"/>
          <w:divBdr>
            <w:top w:val="none" w:sz="0" w:space="0" w:color="auto"/>
            <w:left w:val="none" w:sz="0" w:space="0" w:color="auto"/>
            <w:bottom w:val="none" w:sz="0" w:space="0" w:color="auto"/>
            <w:right w:val="none" w:sz="0" w:space="0" w:color="auto"/>
          </w:divBdr>
        </w:div>
      </w:divsChild>
    </w:div>
    <w:div w:id="637808552">
      <w:marLeft w:val="0"/>
      <w:marRight w:val="0"/>
      <w:marTop w:val="0"/>
      <w:marBottom w:val="0"/>
      <w:divBdr>
        <w:top w:val="none" w:sz="0" w:space="0" w:color="auto"/>
        <w:left w:val="none" w:sz="0" w:space="0" w:color="auto"/>
        <w:bottom w:val="none" w:sz="0" w:space="0" w:color="auto"/>
        <w:right w:val="none" w:sz="0" w:space="0" w:color="auto"/>
      </w:divBdr>
      <w:divsChild>
        <w:div w:id="58133642">
          <w:marLeft w:val="0"/>
          <w:marRight w:val="0"/>
          <w:marTop w:val="600"/>
          <w:marBottom w:val="0"/>
          <w:divBdr>
            <w:top w:val="none" w:sz="0" w:space="0" w:color="auto"/>
            <w:left w:val="none" w:sz="0" w:space="0" w:color="auto"/>
            <w:bottom w:val="none" w:sz="0" w:space="0" w:color="auto"/>
            <w:right w:val="none" w:sz="0" w:space="0" w:color="auto"/>
          </w:divBdr>
        </w:div>
        <w:div w:id="1364406018">
          <w:marLeft w:val="0"/>
          <w:marRight w:val="0"/>
          <w:marTop w:val="0"/>
          <w:marBottom w:val="0"/>
          <w:divBdr>
            <w:top w:val="none" w:sz="0" w:space="0" w:color="auto"/>
            <w:left w:val="none" w:sz="0" w:space="0" w:color="auto"/>
            <w:bottom w:val="none" w:sz="0" w:space="0" w:color="auto"/>
            <w:right w:val="none" w:sz="0" w:space="0" w:color="auto"/>
          </w:divBdr>
          <w:divsChild>
            <w:div w:id="366570388">
              <w:marLeft w:val="547"/>
              <w:marRight w:val="0"/>
              <w:marTop w:val="0"/>
              <w:marBottom w:val="0"/>
              <w:divBdr>
                <w:top w:val="none" w:sz="0" w:space="0" w:color="auto"/>
                <w:left w:val="none" w:sz="0" w:space="0" w:color="auto"/>
                <w:bottom w:val="none" w:sz="0" w:space="0" w:color="auto"/>
                <w:right w:val="none" w:sz="0" w:space="0" w:color="auto"/>
              </w:divBdr>
            </w:div>
            <w:div w:id="1037704938">
              <w:marLeft w:val="547"/>
              <w:marRight w:val="0"/>
              <w:marTop w:val="0"/>
              <w:marBottom w:val="0"/>
              <w:divBdr>
                <w:top w:val="none" w:sz="0" w:space="0" w:color="auto"/>
                <w:left w:val="none" w:sz="0" w:space="0" w:color="auto"/>
                <w:bottom w:val="none" w:sz="0" w:space="0" w:color="auto"/>
                <w:right w:val="none" w:sz="0" w:space="0" w:color="auto"/>
              </w:divBdr>
            </w:div>
            <w:div w:id="2130974399">
              <w:marLeft w:val="547"/>
              <w:marRight w:val="0"/>
              <w:marTop w:val="0"/>
              <w:marBottom w:val="0"/>
              <w:divBdr>
                <w:top w:val="none" w:sz="0" w:space="0" w:color="auto"/>
                <w:left w:val="none" w:sz="0" w:space="0" w:color="auto"/>
                <w:bottom w:val="none" w:sz="0" w:space="0" w:color="auto"/>
                <w:right w:val="none" w:sz="0" w:space="0" w:color="auto"/>
              </w:divBdr>
            </w:div>
            <w:div w:id="1023897342">
              <w:marLeft w:val="547"/>
              <w:marRight w:val="0"/>
              <w:marTop w:val="0"/>
              <w:marBottom w:val="0"/>
              <w:divBdr>
                <w:top w:val="none" w:sz="0" w:space="0" w:color="auto"/>
                <w:left w:val="none" w:sz="0" w:space="0" w:color="auto"/>
                <w:bottom w:val="none" w:sz="0" w:space="0" w:color="auto"/>
                <w:right w:val="none" w:sz="0" w:space="0" w:color="auto"/>
              </w:divBdr>
            </w:div>
            <w:div w:id="527371994">
              <w:marLeft w:val="547"/>
              <w:marRight w:val="0"/>
              <w:marTop w:val="0"/>
              <w:marBottom w:val="0"/>
              <w:divBdr>
                <w:top w:val="none" w:sz="0" w:space="0" w:color="auto"/>
                <w:left w:val="none" w:sz="0" w:space="0" w:color="auto"/>
                <w:bottom w:val="none" w:sz="0" w:space="0" w:color="auto"/>
                <w:right w:val="none" w:sz="0" w:space="0" w:color="auto"/>
              </w:divBdr>
            </w:div>
            <w:div w:id="1446926116">
              <w:marLeft w:val="547"/>
              <w:marRight w:val="0"/>
              <w:marTop w:val="0"/>
              <w:marBottom w:val="0"/>
              <w:divBdr>
                <w:top w:val="none" w:sz="0" w:space="0" w:color="auto"/>
                <w:left w:val="none" w:sz="0" w:space="0" w:color="auto"/>
                <w:bottom w:val="none" w:sz="0" w:space="0" w:color="auto"/>
                <w:right w:val="none" w:sz="0" w:space="0" w:color="auto"/>
              </w:divBdr>
            </w:div>
            <w:div w:id="308829443">
              <w:marLeft w:val="547"/>
              <w:marRight w:val="0"/>
              <w:marTop w:val="0"/>
              <w:marBottom w:val="0"/>
              <w:divBdr>
                <w:top w:val="none" w:sz="0" w:space="0" w:color="auto"/>
                <w:left w:val="none" w:sz="0" w:space="0" w:color="auto"/>
                <w:bottom w:val="none" w:sz="0" w:space="0" w:color="auto"/>
                <w:right w:val="none" w:sz="0" w:space="0" w:color="auto"/>
              </w:divBdr>
            </w:div>
            <w:div w:id="1846480575">
              <w:marLeft w:val="547"/>
              <w:marRight w:val="0"/>
              <w:marTop w:val="0"/>
              <w:marBottom w:val="0"/>
              <w:divBdr>
                <w:top w:val="none" w:sz="0" w:space="0" w:color="auto"/>
                <w:left w:val="none" w:sz="0" w:space="0" w:color="auto"/>
                <w:bottom w:val="none" w:sz="0" w:space="0" w:color="auto"/>
                <w:right w:val="none" w:sz="0" w:space="0" w:color="auto"/>
              </w:divBdr>
            </w:div>
            <w:div w:id="1042439653">
              <w:marLeft w:val="547"/>
              <w:marRight w:val="0"/>
              <w:marTop w:val="0"/>
              <w:marBottom w:val="0"/>
              <w:divBdr>
                <w:top w:val="none" w:sz="0" w:space="0" w:color="auto"/>
                <w:left w:val="none" w:sz="0" w:space="0" w:color="auto"/>
                <w:bottom w:val="none" w:sz="0" w:space="0" w:color="auto"/>
                <w:right w:val="none" w:sz="0" w:space="0" w:color="auto"/>
              </w:divBdr>
            </w:div>
            <w:div w:id="722757434">
              <w:marLeft w:val="547"/>
              <w:marRight w:val="0"/>
              <w:marTop w:val="0"/>
              <w:marBottom w:val="0"/>
              <w:divBdr>
                <w:top w:val="none" w:sz="0" w:space="0" w:color="auto"/>
                <w:left w:val="none" w:sz="0" w:space="0" w:color="auto"/>
                <w:bottom w:val="none" w:sz="0" w:space="0" w:color="auto"/>
                <w:right w:val="none" w:sz="0" w:space="0" w:color="auto"/>
              </w:divBdr>
            </w:div>
            <w:div w:id="980812012">
              <w:marLeft w:val="547"/>
              <w:marRight w:val="0"/>
              <w:marTop w:val="0"/>
              <w:marBottom w:val="0"/>
              <w:divBdr>
                <w:top w:val="none" w:sz="0" w:space="0" w:color="auto"/>
                <w:left w:val="none" w:sz="0" w:space="0" w:color="auto"/>
                <w:bottom w:val="none" w:sz="0" w:space="0" w:color="auto"/>
                <w:right w:val="none" w:sz="0" w:space="0" w:color="auto"/>
              </w:divBdr>
            </w:div>
            <w:div w:id="1686665359">
              <w:marLeft w:val="547"/>
              <w:marRight w:val="0"/>
              <w:marTop w:val="0"/>
              <w:marBottom w:val="0"/>
              <w:divBdr>
                <w:top w:val="none" w:sz="0" w:space="0" w:color="auto"/>
                <w:left w:val="none" w:sz="0" w:space="0" w:color="auto"/>
                <w:bottom w:val="none" w:sz="0" w:space="0" w:color="auto"/>
                <w:right w:val="none" w:sz="0" w:space="0" w:color="auto"/>
              </w:divBdr>
            </w:div>
            <w:div w:id="614335694">
              <w:marLeft w:val="547"/>
              <w:marRight w:val="0"/>
              <w:marTop w:val="0"/>
              <w:marBottom w:val="0"/>
              <w:divBdr>
                <w:top w:val="none" w:sz="0" w:space="0" w:color="auto"/>
                <w:left w:val="none" w:sz="0" w:space="0" w:color="auto"/>
                <w:bottom w:val="none" w:sz="0" w:space="0" w:color="auto"/>
                <w:right w:val="none" w:sz="0" w:space="0" w:color="auto"/>
              </w:divBdr>
            </w:div>
            <w:div w:id="1297299160">
              <w:marLeft w:val="547"/>
              <w:marRight w:val="0"/>
              <w:marTop w:val="0"/>
              <w:marBottom w:val="0"/>
              <w:divBdr>
                <w:top w:val="none" w:sz="0" w:space="0" w:color="auto"/>
                <w:left w:val="none" w:sz="0" w:space="0" w:color="auto"/>
                <w:bottom w:val="none" w:sz="0" w:space="0" w:color="auto"/>
                <w:right w:val="none" w:sz="0" w:space="0" w:color="auto"/>
              </w:divBdr>
            </w:div>
            <w:div w:id="623998182">
              <w:marLeft w:val="547"/>
              <w:marRight w:val="0"/>
              <w:marTop w:val="0"/>
              <w:marBottom w:val="0"/>
              <w:divBdr>
                <w:top w:val="none" w:sz="0" w:space="0" w:color="auto"/>
                <w:left w:val="none" w:sz="0" w:space="0" w:color="auto"/>
                <w:bottom w:val="none" w:sz="0" w:space="0" w:color="auto"/>
                <w:right w:val="none" w:sz="0" w:space="0" w:color="auto"/>
              </w:divBdr>
            </w:div>
            <w:div w:id="1390570812">
              <w:marLeft w:val="547"/>
              <w:marRight w:val="0"/>
              <w:marTop w:val="0"/>
              <w:marBottom w:val="0"/>
              <w:divBdr>
                <w:top w:val="none" w:sz="0" w:space="0" w:color="auto"/>
                <w:left w:val="none" w:sz="0" w:space="0" w:color="auto"/>
                <w:bottom w:val="none" w:sz="0" w:space="0" w:color="auto"/>
                <w:right w:val="none" w:sz="0" w:space="0" w:color="auto"/>
              </w:divBdr>
            </w:div>
            <w:div w:id="749430051">
              <w:marLeft w:val="547"/>
              <w:marRight w:val="0"/>
              <w:marTop w:val="0"/>
              <w:marBottom w:val="0"/>
              <w:divBdr>
                <w:top w:val="none" w:sz="0" w:space="0" w:color="auto"/>
                <w:left w:val="none" w:sz="0" w:space="0" w:color="auto"/>
                <w:bottom w:val="none" w:sz="0" w:space="0" w:color="auto"/>
                <w:right w:val="none" w:sz="0" w:space="0" w:color="auto"/>
              </w:divBdr>
            </w:div>
            <w:div w:id="399593763">
              <w:marLeft w:val="547"/>
              <w:marRight w:val="0"/>
              <w:marTop w:val="0"/>
              <w:marBottom w:val="0"/>
              <w:divBdr>
                <w:top w:val="none" w:sz="0" w:space="0" w:color="auto"/>
                <w:left w:val="none" w:sz="0" w:space="0" w:color="auto"/>
                <w:bottom w:val="none" w:sz="0" w:space="0" w:color="auto"/>
                <w:right w:val="none" w:sz="0" w:space="0" w:color="auto"/>
              </w:divBdr>
            </w:div>
          </w:divsChild>
        </w:div>
        <w:div w:id="13306805">
          <w:marLeft w:val="0"/>
          <w:marRight w:val="0"/>
          <w:marTop w:val="0"/>
          <w:marBottom w:val="600"/>
          <w:divBdr>
            <w:top w:val="none" w:sz="0" w:space="0" w:color="auto"/>
            <w:left w:val="none" w:sz="0" w:space="0" w:color="auto"/>
            <w:bottom w:val="none" w:sz="0" w:space="0" w:color="auto"/>
            <w:right w:val="none" w:sz="0" w:space="0" w:color="auto"/>
          </w:divBdr>
        </w:div>
      </w:divsChild>
    </w:div>
    <w:div w:id="699014708">
      <w:marLeft w:val="0"/>
      <w:marRight w:val="0"/>
      <w:marTop w:val="0"/>
      <w:marBottom w:val="0"/>
      <w:divBdr>
        <w:top w:val="none" w:sz="0" w:space="0" w:color="auto"/>
        <w:left w:val="none" w:sz="0" w:space="0" w:color="auto"/>
        <w:bottom w:val="none" w:sz="0" w:space="0" w:color="auto"/>
        <w:right w:val="none" w:sz="0" w:space="0" w:color="auto"/>
      </w:divBdr>
      <w:divsChild>
        <w:div w:id="279386989">
          <w:marLeft w:val="0"/>
          <w:marRight w:val="0"/>
          <w:marTop w:val="600"/>
          <w:marBottom w:val="0"/>
          <w:divBdr>
            <w:top w:val="none" w:sz="0" w:space="0" w:color="auto"/>
            <w:left w:val="none" w:sz="0" w:space="0" w:color="auto"/>
            <w:bottom w:val="none" w:sz="0" w:space="0" w:color="auto"/>
            <w:right w:val="none" w:sz="0" w:space="0" w:color="auto"/>
          </w:divBdr>
        </w:div>
        <w:div w:id="752045562">
          <w:marLeft w:val="0"/>
          <w:marRight w:val="0"/>
          <w:marTop w:val="0"/>
          <w:marBottom w:val="0"/>
          <w:divBdr>
            <w:top w:val="none" w:sz="0" w:space="0" w:color="auto"/>
            <w:left w:val="none" w:sz="0" w:space="0" w:color="auto"/>
            <w:bottom w:val="none" w:sz="0" w:space="0" w:color="auto"/>
            <w:right w:val="none" w:sz="0" w:space="0" w:color="auto"/>
          </w:divBdr>
        </w:div>
        <w:div w:id="80807033">
          <w:marLeft w:val="0"/>
          <w:marRight w:val="0"/>
          <w:marTop w:val="0"/>
          <w:marBottom w:val="600"/>
          <w:divBdr>
            <w:top w:val="none" w:sz="0" w:space="0" w:color="auto"/>
            <w:left w:val="none" w:sz="0" w:space="0" w:color="auto"/>
            <w:bottom w:val="none" w:sz="0" w:space="0" w:color="auto"/>
            <w:right w:val="none" w:sz="0" w:space="0" w:color="auto"/>
          </w:divBdr>
        </w:div>
      </w:divsChild>
    </w:div>
    <w:div w:id="702169842">
      <w:marLeft w:val="0"/>
      <w:marRight w:val="0"/>
      <w:marTop w:val="0"/>
      <w:marBottom w:val="0"/>
      <w:divBdr>
        <w:top w:val="none" w:sz="0" w:space="0" w:color="auto"/>
        <w:left w:val="none" w:sz="0" w:space="0" w:color="auto"/>
        <w:bottom w:val="none" w:sz="0" w:space="0" w:color="auto"/>
        <w:right w:val="none" w:sz="0" w:space="0" w:color="auto"/>
      </w:divBdr>
      <w:divsChild>
        <w:div w:id="1310671355">
          <w:marLeft w:val="0"/>
          <w:marRight w:val="0"/>
          <w:marTop w:val="600"/>
          <w:marBottom w:val="0"/>
          <w:divBdr>
            <w:top w:val="none" w:sz="0" w:space="0" w:color="auto"/>
            <w:left w:val="none" w:sz="0" w:space="0" w:color="auto"/>
            <w:bottom w:val="none" w:sz="0" w:space="0" w:color="auto"/>
            <w:right w:val="none" w:sz="0" w:space="0" w:color="auto"/>
          </w:divBdr>
        </w:div>
        <w:div w:id="758719920">
          <w:marLeft w:val="0"/>
          <w:marRight w:val="0"/>
          <w:marTop w:val="0"/>
          <w:marBottom w:val="0"/>
          <w:divBdr>
            <w:top w:val="none" w:sz="0" w:space="0" w:color="auto"/>
            <w:left w:val="none" w:sz="0" w:space="0" w:color="auto"/>
            <w:bottom w:val="none" w:sz="0" w:space="0" w:color="auto"/>
            <w:right w:val="none" w:sz="0" w:space="0" w:color="auto"/>
          </w:divBdr>
        </w:div>
        <w:div w:id="1364015636">
          <w:marLeft w:val="0"/>
          <w:marRight w:val="0"/>
          <w:marTop w:val="0"/>
          <w:marBottom w:val="600"/>
          <w:divBdr>
            <w:top w:val="none" w:sz="0" w:space="0" w:color="auto"/>
            <w:left w:val="none" w:sz="0" w:space="0" w:color="auto"/>
            <w:bottom w:val="none" w:sz="0" w:space="0" w:color="auto"/>
            <w:right w:val="none" w:sz="0" w:space="0" w:color="auto"/>
          </w:divBdr>
        </w:div>
      </w:divsChild>
    </w:div>
    <w:div w:id="709379883">
      <w:marLeft w:val="0"/>
      <w:marRight w:val="0"/>
      <w:marTop w:val="0"/>
      <w:marBottom w:val="0"/>
      <w:divBdr>
        <w:top w:val="none" w:sz="0" w:space="0" w:color="auto"/>
        <w:left w:val="none" w:sz="0" w:space="0" w:color="auto"/>
        <w:bottom w:val="none" w:sz="0" w:space="0" w:color="auto"/>
        <w:right w:val="none" w:sz="0" w:space="0" w:color="auto"/>
      </w:divBdr>
      <w:divsChild>
        <w:div w:id="1622883765">
          <w:marLeft w:val="0"/>
          <w:marRight w:val="0"/>
          <w:marTop w:val="600"/>
          <w:marBottom w:val="0"/>
          <w:divBdr>
            <w:top w:val="none" w:sz="0" w:space="0" w:color="auto"/>
            <w:left w:val="none" w:sz="0" w:space="0" w:color="auto"/>
            <w:bottom w:val="none" w:sz="0" w:space="0" w:color="auto"/>
            <w:right w:val="none" w:sz="0" w:space="0" w:color="auto"/>
          </w:divBdr>
        </w:div>
        <w:div w:id="1650162886">
          <w:marLeft w:val="0"/>
          <w:marRight w:val="0"/>
          <w:marTop w:val="0"/>
          <w:marBottom w:val="0"/>
          <w:divBdr>
            <w:top w:val="none" w:sz="0" w:space="0" w:color="auto"/>
            <w:left w:val="none" w:sz="0" w:space="0" w:color="auto"/>
            <w:bottom w:val="none" w:sz="0" w:space="0" w:color="auto"/>
            <w:right w:val="none" w:sz="0" w:space="0" w:color="auto"/>
          </w:divBdr>
        </w:div>
        <w:div w:id="1590044442">
          <w:marLeft w:val="0"/>
          <w:marRight w:val="0"/>
          <w:marTop w:val="0"/>
          <w:marBottom w:val="600"/>
          <w:divBdr>
            <w:top w:val="none" w:sz="0" w:space="0" w:color="auto"/>
            <w:left w:val="none" w:sz="0" w:space="0" w:color="auto"/>
            <w:bottom w:val="none" w:sz="0" w:space="0" w:color="auto"/>
            <w:right w:val="none" w:sz="0" w:space="0" w:color="auto"/>
          </w:divBdr>
        </w:div>
      </w:divsChild>
    </w:div>
    <w:div w:id="710885101">
      <w:marLeft w:val="0"/>
      <w:marRight w:val="0"/>
      <w:marTop w:val="0"/>
      <w:marBottom w:val="0"/>
      <w:divBdr>
        <w:top w:val="none" w:sz="0" w:space="0" w:color="auto"/>
        <w:left w:val="none" w:sz="0" w:space="0" w:color="auto"/>
        <w:bottom w:val="none" w:sz="0" w:space="0" w:color="auto"/>
        <w:right w:val="none" w:sz="0" w:space="0" w:color="auto"/>
      </w:divBdr>
      <w:divsChild>
        <w:div w:id="88934567">
          <w:marLeft w:val="0"/>
          <w:marRight w:val="0"/>
          <w:marTop w:val="600"/>
          <w:marBottom w:val="0"/>
          <w:divBdr>
            <w:top w:val="none" w:sz="0" w:space="0" w:color="auto"/>
            <w:left w:val="none" w:sz="0" w:space="0" w:color="auto"/>
            <w:bottom w:val="none" w:sz="0" w:space="0" w:color="auto"/>
            <w:right w:val="none" w:sz="0" w:space="0" w:color="auto"/>
          </w:divBdr>
        </w:div>
        <w:div w:id="140734974">
          <w:marLeft w:val="0"/>
          <w:marRight w:val="0"/>
          <w:marTop w:val="0"/>
          <w:marBottom w:val="0"/>
          <w:divBdr>
            <w:top w:val="none" w:sz="0" w:space="0" w:color="auto"/>
            <w:left w:val="none" w:sz="0" w:space="0" w:color="auto"/>
            <w:bottom w:val="none" w:sz="0" w:space="0" w:color="auto"/>
            <w:right w:val="none" w:sz="0" w:space="0" w:color="auto"/>
          </w:divBdr>
        </w:div>
        <w:div w:id="898976738">
          <w:marLeft w:val="0"/>
          <w:marRight w:val="0"/>
          <w:marTop w:val="0"/>
          <w:marBottom w:val="600"/>
          <w:divBdr>
            <w:top w:val="none" w:sz="0" w:space="0" w:color="auto"/>
            <w:left w:val="none" w:sz="0" w:space="0" w:color="auto"/>
            <w:bottom w:val="none" w:sz="0" w:space="0" w:color="auto"/>
            <w:right w:val="none" w:sz="0" w:space="0" w:color="auto"/>
          </w:divBdr>
        </w:div>
      </w:divsChild>
    </w:div>
    <w:div w:id="711418554">
      <w:marLeft w:val="0"/>
      <w:marRight w:val="0"/>
      <w:marTop w:val="0"/>
      <w:marBottom w:val="0"/>
      <w:divBdr>
        <w:top w:val="none" w:sz="0" w:space="0" w:color="auto"/>
        <w:left w:val="none" w:sz="0" w:space="0" w:color="auto"/>
        <w:bottom w:val="none" w:sz="0" w:space="0" w:color="auto"/>
        <w:right w:val="none" w:sz="0" w:space="0" w:color="auto"/>
      </w:divBdr>
      <w:divsChild>
        <w:div w:id="1397360230">
          <w:marLeft w:val="0"/>
          <w:marRight w:val="0"/>
          <w:marTop w:val="600"/>
          <w:marBottom w:val="0"/>
          <w:divBdr>
            <w:top w:val="none" w:sz="0" w:space="0" w:color="auto"/>
            <w:left w:val="none" w:sz="0" w:space="0" w:color="auto"/>
            <w:bottom w:val="none" w:sz="0" w:space="0" w:color="auto"/>
            <w:right w:val="none" w:sz="0" w:space="0" w:color="auto"/>
          </w:divBdr>
        </w:div>
        <w:div w:id="232743748">
          <w:marLeft w:val="0"/>
          <w:marRight w:val="0"/>
          <w:marTop w:val="0"/>
          <w:marBottom w:val="0"/>
          <w:divBdr>
            <w:top w:val="none" w:sz="0" w:space="0" w:color="auto"/>
            <w:left w:val="none" w:sz="0" w:space="0" w:color="auto"/>
            <w:bottom w:val="none" w:sz="0" w:space="0" w:color="auto"/>
            <w:right w:val="none" w:sz="0" w:space="0" w:color="auto"/>
          </w:divBdr>
        </w:div>
        <w:div w:id="1498300411">
          <w:marLeft w:val="0"/>
          <w:marRight w:val="0"/>
          <w:marTop w:val="0"/>
          <w:marBottom w:val="600"/>
          <w:divBdr>
            <w:top w:val="none" w:sz="0" w:space="0" w:color="auto"/>
            <w:left w:val="none" w:sz="0" w:space="0" w:color="auto"/>
            <w:bottom w:val="none" w:sz="0" w:space="0" w:color="auto"/>
            <w:right w:val="none" w:sz="0" w:space="0" w:color="auto"/>
          </w:divBdr>
        </w:div>
      </w:divsChild>
    </w:div>
    <w:div w:id="711420535">
      <w:marLeft w:val="0"/>
      <w:marRight w:val="0"/>
      <w:marTop w:val="0"/>
      <w:marBottom w:val="0"/>
      <w:divBdr>
        <w:top w:val="none" w:sz="0" w:space="0" w:color="auto"/>
        <w:left w:val="none" w:sz="0" w:space="0" w:color="auto"/>
        <w:bottom w:val="none" w:sz="0" w:space="0" w:color="auto"/>
        <w:right w:val="none" w:sz="0" w:space="0" w:color="auto"/>
      </w:divBdr>
      <w:divsChild>
        <w:div w:id="1806119839">
          <w:marLeft w:val="0"/>
          <w:marRight w:val="0"/>
          <w:marTop w:val="600"/>
          <w:marBottom w:val="0"/>
          <w:divBdr>
            <w:top w:val="none" w:sz="0" w:space="0" w:color="auto"/>
            <w:left w:val="none" w:sz="0" w:space="0" w:color="auto"/>
            <w:bottom w:val="none" w:sz="0" w:space="0" w:color="auto"/>
            <w:right w:val="none" w:sz="0" w:space="0" w:color="auto"/>
          </w:divBdr>
        </w:div>
        <w:div w:id="1784962404">
          <w:marLeft w:val="0"/>
          <w:marRight w:val="0"/>
          <w:marTop w:val="0"/>
          <w:marBottom w:val="0"/>
          <w:divBdr>
            <w:top w:val="none" w:sz="0" w:space="0" w:color="auto"/>
            <w:left w:val="none" w:sz="0" w:space="0" w:color="auto"/>
            <w:bottom w:val="none" w:sz="0" w:space="0" w:color="auto"/>
            <w:right w:val="none" w:sz="0" w:space="0" w:color="auto"/>
          </w:divBdr>
          <w:divsChild>
            <w:div w:id="1323968607">
              <w:marLeft w:val="0"/>
              <w:marRight w:val="0"/>
              <w:marTop w:val="0"/>
              <w:marBottom w:val="0"/>
              <w:divBdr>
                <w:top w:val="none" w:sz="0" w:space="0" w:color="auto"/>
                <w:left w:val="none" w:sz="0" w:space="0" w:color="auto"/>
                <w:bottom w:val="none" w:sz="0" w:space="0" w:color="auto"/>
                <w:right w:val="none" w:sz="0" w:space="0" w:color="auto"/>
              </w:divBdr>
              <w:divsChild>
                <w:div w:id="2116826775">
                  <w:marLeft w:val="0"/>
                  <w:marRight w:val="0"/>
                  <w:marTop w:val="0"/>
                  <w:marBottom w:val="0"/>
                  <w:divBdr>
                    <w:top w:val="none" w:sz="0" w:space="0" w:color="auto"/>
                    <w:left w:val="none" w:sz="0" w:space="0" w:color="auto"/>
                    <w:bottom w:val="none" w:sz="0" w:space="0" w:color="auto"/>
                    <w:right w:val="none" w:sz="0" w:space="0" w:color="auto"/>
                  </w:divBdr>
                </w:div>
              </w:divsChild>
            </w:div>
            <w:div w:id="1347050545">
              <w:marLeft w:val="0"/>
              <w:marRight w:val="0"/>
              <w:marTop w:val="0"/>
              <w:marBottom w:val="0"/>
              <w:divBdr>
                <w:top w:val="none" w:sz="0" w:space="0" w:color="auto"/>
                <w:left w:val="none" w:sz="0" w:space="0" w:color="auto"/>
                <w:bottom w:val="none" w:sz="0" w:space="0" w:color="auto"/>
                <w:right w:val="none" w:sz="0" w:space="0" w:color="auto"/>
              </w:divBdr>
              <w:divsChild>
                <w:div w:id="1500267470">
                  <w:marLeft w:val="0"/>
                  <w:marRight w:val="0"/>
                  <w:marTop w:val="0"/>
                  <w:marBottom w:val="0"/>
                  <w:divBdr>
                    <w:top w:val="none" w:sz="0" w:space="0" w:color="auto"/>
                    <w:left w:val="none" w:sz="0" w:space="0" w:color="auto"/>
                    <w:bottom w:val="none" w:sz="0" w:space="0" w:color="auto"/>
                    <w:right w:val="none" w:sz="0" w:space="0" w:color="auto"/>
                  </w:divBdr>
                </w:div>
              </w:divsChild>
            </w:div>
            <w:div w:id="1418404672">
              <w:marLeft w:val="0"/>
              <w:marRight w:val="0"/>
              <w:marTop w:val="0"/>
              <w:marBottom w:val="0"/>
              <w:divBdr>
                <w:top w:val="none" w:sz="0" w:space="0" w:color="auto"/>
                <w:left w:val="none" w:sz="0" w:space="0" w:color="auto"/>
                <w:bottom w:val="none" w:sz="0" w:space="0" w:color="auto"/>
                <w:right w:val="none" w:sz="0" w:space="0" w:color="auto"/>
              </w:divBdr>
              <w:divsChild>
                <w:div w:id="1596941778">
                  <w:marLeft w:val="0"/>
                  <w:marRight w:val="0"/>
                  <w:marTop w:val="0"/>
                  <w:marBottom w:val="0"/>
                  <w:divBdr>
                    <w:top w:val="none" w:sz="0" w:space="0" w:color="auto"/>
                    <w:left w:val="none" w:sz="0" w:space="0" w:color="auto"/>
                    <w:bottom w:val="none" w:sz="0" w:space="0" w:color="auto"/>
                    <w:right w:val="none" w:sz="0" w:space="0" w:color="auto"/>
                  </w:divBdr>
                </w:div>
              </w:divsChild>
            </w:div>
            <w:div w:id="639195461">
              <w:marLeft w:val="0"/>
              <w:marRight w:val="0"/>
              <w:marTop w:val="0"/>
              <w:marBottom w:val="0"/>
              <w:divBdr>
                <w:top w:val="none" w:sz="0" w:space="0" w:color="auto"/>
                <w:left w:val="none" w:sz="0" w:space="0" w:color="auto"/>
                <w:bottom w:val="none" w:sz="0" w:space="0" w:color="auto"/>
                <w:right w:val="none" w:sz="0" w:space="0" w:color="auto"/>
              </w:divBdr>
              <w:divsChild>
                <w:div w:id="1791123984">
                  <w:marLeft w:val="0"/>
                  <w:marRight w:val="0"/>
                  <w:marTop w:val="0"/>
                  <w:marBottom w:val="0"/>
                  <w:divBdr>
                    <w:top w:val="none" w:sz="0" w:space="0" w:color="auto"/>
                    <w:left w:val="none" w:sz="0" w:space="0" w:color="auto"/>
                    <w:bottom w:val="none" w:sz="0" w:space="0" w:color="auto"/>
                    <w:right w:val="none" w:sz="0" w:space="0" w:color="auto"/>
                  </w:divBdr>
                </w:div>
              </w:divsChild>
            </w:div>
            <w:div w:id="747725249">
              <w:marLeft w:val="0"/>
              <w:marRight w:val="0"/>
              <w:marTop w:val="0"/>
              <w:marBottom w:val="0"/>
              <w:divBdr>
                <w:top w:val="none" w:sz="0" w:space="0" w:color="auto"/>
                <w:left w:val="none" w:sz="0" w:space="0" w:color="auto"/>
                <w:bottom w:val="none" w:sz="0" w:space="0" w:color="auto"/>
                <w:right w:val="none" w:sz="0" w:space="0" w:color="auto"/>
              </w:divBdr>
              <w:divsChild>
                <w:div w:id="1154292866">
                  <w:marLeft w:val="0"/>
                  <w:marRight w:val="0"/>
                  <w:marTop w:val="0"/>
                  <w:marBottom w:val="0"/>
                  <w:divBdr>
                    <w:top w:val="none" w:sz="0" w:space="0" w:color="auto"/>
                    <w:left w:val="none" w:sz="0" w:space="0" w:color="auto"/>
                    <w:bottom w:val="none" w:sz="0" w:space="0" w:color="auto"/>
                    <w:right w:val="none" w:sz="0" w:space="0" w:color="auto"/>
                  </w:divBdr>
                </w:div>
              </w:divsChild>
            </w:div>
            <w:div w:id="1493913675">
              <w:marLeft w:val="0"/>
              <w:marRight w:val="0"/>
              <w:marTop w:val="0"/>
              <w:marBottom w:val="0"/>
              <w:divBdr>
                <w:top w:val="none" w:sz="0" w:space="0" w:color="auto"/>
                <w:left w:val="none" w:sz="0" w:space="0" w:color="auto"/>
                <w:bottom w:val="none" w:sz="0" w:space="0" w:color="auto"/>
                <w:right w:val="none" w:sz="0" w:space="0" w:color="auto"/>
              </w:divBdr>
              <w:divsChild>
                <w:div w:id="1126630579">
                  <w:marLeft w:val="0"/>
                  <w:marRight w:val="0"/>
                  <w:marTop w:val="0"/>
                  <w:marBottom w:val="0"/>
                  <w:divBdr>
                    <w:top w:val="none" w:sz="0" w:space="0" w:color="auto"/>
                    <w:left w:val="none" w:sz="0" w:space="0" w:color="auto"/>
                    <w:bottom w:val="none" w:sz="0" w:space="0" w:color="auto"/>
                    <w:right w:val="none" w:sz="0" w:space="0" w:color="auto"/>
                  </w:divBdr>
                </w:div>
              </w:divsChild>
            </w:div>
            <w:div w:id="2075464120">
              <w:marLeft w:val="0"/>
              <w:marRight w:val="0"/>
              <w:marTop w:val="0"/>
              <w:marBottom w:val="0"/>
              <w:divBdr>
                <w:top w:val="none" w:sz="0" w:space="0" w:color="auto"/>
                <w:left w:val="none" w:sz="0" w:space="0" w:color="auto"/>
                <w:bottom w:val="none" w:sz="0" w:space="0" w:color="auto"/>
                <w:right w:val="none" w:sz="0" w:space="0" w:color="auto"/>
              </w:divBdr>
              <w:divsChild>
                <w:div w:id="1569263250">
                  <w:marLeft w:val="0"/>
                  <w:marRight w:val="0"/>
                  <w:marTop w:val="0"/>
                  <w:marBottom w:val="0"/>
                  <w:divBdr>
                    <w:top w:val="none" w:sz="0" w:space="0" w:color="auto"/>
                    <w:left w:val="none" w:sz="0" w:space="0" w:color="auto"/>
                    <w:bottom w:val="none" w:sz="0" w:space="0" w:color="auto"/>
                    <w:right w:val="none" w:sz="0" w:space="0" w:color="auto"/>
                  </w:divBdr>
                </w:div>
              </w:divsChild>
            </w:div>
            <w:div w:id="1745564819">
              <w:marLeft w:val="0"/>
              <w:marRight w:val="0"/>
              <w:marTop w:val="0"/>
              <w:marBottom w:val="0"/>
              <w:divBdr>
                <w:top w:val="none" w:sz="0" w:space="0" w:color="auto"/>
                <w:left w:val="none" w:sz="0" w:space="0" w:color="auto"/>
                <w:bottom w:val="none" w:sz="0" w:space="0" w:color="auto"/>
                <w:right w:val="none" w:sz="0" w:space="0" w:color="auto"/>
              </w:divBdr>
              <w:divsChild>
                <w:div w:id="632057286">
                  <w:marLeft w:val="0"/>
                  <w:marRight w:val="0"/>
                  <w:marTop w:val="0"/>
                  <w:marBottom w:val="0"/>
                  <w:divBdr>
                    <w:top w:val="none" w:sz="0" w:space="0" w:color="auto"/>
                    <w:left w:val="none" w:sz="0" w:space="0" w:color="auto"/>
                    <w:bottom w:val="none" w:sz="0" w:space="0" w:color="auto"/>
                    <w:right w:val="none" w:sz="0" w:space="0" w:color="auto"/>
                  </w:divBdr>
                </w:div>
              </w:divsChild>
            </w:div>
            <w:div w:id="1317148088">
              <w:marLeft w:val="0"/>
              <w:marRight w:val="0"/>
              <w:marTop w:val="0"/>
              <w:marBottom w:val="0"/>
              <w:divBdr>
                <w:top w:val="none" w:sz="0" w:space="0" w:color="auto"/>
                <w:left w:val="none" w:sz="0" w:space="0" w:color="auto"/>
                <w:bottom w:val="none" w:sz="0" w:space="0" w:color="auto"/>
                <w:right w:val="none" w:sz="0" w:space="0" w:color="auto"/>
              </w:divBdr>
              <w:divsChild>
                <w:div w:id="156655311">
                  <w:marLeft w:val="0"/>
                  <w:marRight w:val="0"/>
                  <w:marTop w:val="0"/>
                  <w:marBottom w:val="0"/>
                  <w:divBdr>
                    <w:top w:val="none" w:sz="0" w:space="0" w:color="auto"/>
                    <w:left w:val="none" w:sz="0" w:space="0" w:color="auto"/>
                    <w:bottom w:val="none" w:sz="0" w:space="0" w:color="auto"/>
                    <w:right w:val="none" w:sz="0" w:space="0" w:color="auto"/>
                  </w:divBdr>
                </w:div>
              </w:divsChild>
            </w:div>
            <w:div w:id="1428116679">
              <w:marLeft w:val="0"/>
              <w:marRight w:val="0"/>
              <w:marTop w:val="0"/>
              <w:marBottom w:val="0"/>
              <w:divBdr>
                <w:top w:val="none" w:sz="0" w:space="0" w:color="auto"/>
                <w:left w:val="none" w:sz="0" w:space="0" w:color="auto"/>
                <w:bottom w:val="none" w:sz="0" w:space="0" w:color="auto"/>
                <w:right w:val="none" w:sz="0" w:space="0" w:color="auto"/>
              </w:divBdr>
              <w:divsChild>
                <w:div w:id="917714670">
                  <w:marLeft w:val="0"/>
                  <w:marRight w:val="0"/>
                  <w:marTop w:val="0"/>
                  <w:marBottom w:val="0"/>
                  <w:divBdr>
                    <w:top w:val="none" w:sz="0" w:space="0" w:color="auto"/>
                    <w:left w:val="none" w:sz="0" w:space="0" w:color="auto"/>
                    <w:bottom w:val="none" w:sz="0" w:space="0" w:color="auto"/>
                    <w:right w:val="none" w:sz="0" w:space="0" w:color="auto"/>
                  </w:divBdr>
                </w:div>
              </w:divsChild>
            </w:div>
            <w:div w:id="571427199">
              <w:marLeft w:val="0"/>
              <w:marRight w:val="0"/>
              <w:marTop w:val="0"/>
              <w:marBottom w:val="0"/>
              <w:divBdr>
                <w:top w:val="none" w:sz="0" w:space="0" w:color="auto"/>
                <w:left w:val="none" w:sz="0" w:space="0" w:color="auto"/>
                <w:bottom w:val="none" w:sz="0" w:space="0" w:color="auto"/>
                <w:right w:val="none" w:sz="0" w:space="0" w:color="auto"/>
              </w:divBdr>
              <w:divsChild>
                <w:div w:id="1733694086">
                  <w:marLeft w:val="0"/>
                  <w:marRight w:val="0"/>
                  <w:marTop w:val="0"/>
                  <w:marBottom w:val="0"/>
                  <w:divBdr>
                    <w:top w:val="none" w:sz="0" w:space="0" w:color="auto"/>
                    <w:left w:val="none" w:sz="0" w:space="0" w:color="auto"/>
                    <w:bottom w:val="none" w:sz="0" w:space="0" w:color="auto"/>
                    <w:right w:val="none" w:sz="0" w:space="0" w:color="auto"/>
                  </w:divBdr>
                </w:div>
              </w:divsChild>
            </w:div>
            <w:div w:id="871377649">
              <w:marLeft w:val="0"/>
              <w:marRight w:val="0"/>
              <w:marTop w:val="0"/>
              <w:marBottom w:val="0"/>
              <w:divBdr>
                <w:top w:val="none" w:sz="0" w:space="0" w:color="auto"/>
                <w:left w:val="none" w:sz="0" w:space="0" w:color="auto"/>
                <w:bottom w:val="none" w:sz="0" w:space="0" w:color="auto"/>
                <w:right w:val="none" w:sz="0" w:space="0" w:color="auto"/>
              </w:divBdr>
              <w:divsChild>
                <w:div w:id="400639396">
                  <w:marLeft w:val="0"/>
                  <w:marRight w:val="0"/>
                  <w:marTop w:val="0"/>
                  <w:marBottom w:val="0"/>
                  <w:divBdr>
                    <w:top w:val="none" w:sz="0" w:space="0" w:color="auto"/>
                    <w:left w:val="none" w:sz="0" w:space="0" w:color="auto"/>
                    <w:bottom w:val="none" w:sz="0" w:space="0" w:color="auto"/>
                    <w:right w:val="none" w:sz="0" w:space="0" w:color="auto"/>
                  </w:divBdr>
                </w:div>
              </w:divsChild>
            </w:div>
            <w:div w:id="505480675">
              <w:marLeft w:val="0"/>
              <w:marRight w:val="0"/>
              <w:marTop w:val="0"/>
              <w:marBottom w:val="0"/>
              <w:divBdr>
                <w:top w:val="none" w:sz="0" w:space="0" w:color="auto"/>
                <w:left w:val="none" w:sz="0" w:space="0" w:color="auto"/>
                <w:bottom w:val="none" w:sz="0" w:space="0" w:color="auto"/>
                <w:right w:val="none" w:sz="0" w:space="0" w:color="auto"/>
              </w:divBdr>
              <w:divsChild>
                <w:div w:id="1796481928">
                  <w:marLeft w:val="0"/>
                  <w:marRight w:val="0"/>
                  <w:marTop w:val="0"/>
                  <w:marBottom w:val="0"/>
                  <w:divBdr>
                    <w:top w:val="none" w:sz="0" w:space="0" w:color="auto"/>
                    <w:left w:val="none" w:sz="0" w:space="0" w:color="auto"/>
                    <w:bottom w:val="none" w:sz="0" w:space="0" w:color="auto"/>
                    <w:right w:val="none" w:sz="0" w:space="0" w:color="auto"/>
                  </w:divBdr>
                </w:div>
              </w:divsChild>
            </w:div>
            <w:div w:id="42101152">
              <w:marLeft w:val="0"/>
              <w:marRight w:val="0"/>
              <w:marTop w:val="0"/>
              <w:marBottom w:val="0"/>
              <w:divBdr>
                <w:top w:val="none" w:sz="0" w:space="0" w:color="auto"/>
                <w:left w:val="none" w:sz="0" w:space="0" w:color="auto"/>
                <w:bottom w:val="none" w:sz="0" w:space="0" w:color="auto"/>
                <w:right w:val="none" w:sz="0" w:space="0" w:color="auto"/>
              </w:divBdr>
              <w:divsChild>
                <w:div w:id="1854999282">
                  <w:marLeft w:val="0"/>
                  <w:marRight w:val="0"/>
                  <w:marTop w:val="0"/>
                  <w:marBottom w:val="0"/>
                  <w:divBdr>
                    <w:top w:val="none" w:sz="0" w:space="0" w:color="auto"/>
                    <w:left w:val="none" w:sz="0" w:space="0" w:color="auto"/>
                    <w:bottom w:val="none" w:sz="0" w:space="0" w:color="auto"/>
                    <w:right w:val="none" w:sz="0" w:space="0" w:color="auto"/>
                  </w:divBdr>
                </w:div>
              </w:divsChild>
            </w:div>
            <w:div w:id="1178932049">
              <w:marLeft w:val="0"/>
              <w:marRight w:val="0"/>
              <w:marTop w:val="0"/>
              <w:marBottom w:val="0"/>
              <w:divBdr>
                <w:top w:val="none" w:sz="0" w:space="0" w:color="auto"/>
                <w:left w:val="none" w:sz="0" w:space="0" w:color="auto"/>
                <w:bottom w:val="none" w:sz="0" w:space="0" w:color="auto"/>
                <w:right w:val="none" w:sz="0" w:space="0" w:color="auto"/>
              </w:divBdr>
              <w:divsChild>
                <w:div w:id="1208570664">
                  <w:marLeft w:val="0"/>
                  <w:marRight w:val="0"/>
                  <w:marTop w:val="0"/>
                  <w:marBottom w:val="0"/>
                  <w:divBdr>
                    <w:top w:val="none" w:sz="0" w:space="0" w:color="auto"/>
                    <w:left w:val="none" w:sz="0" w:space="0" w:color="auto"/>
                    <w:bottom w:val="none" w:sz="0" w:space="0" w:color="auto"/>
                    <w:right w:val="none" w:sz="0" w:space="0" w:color="auto"/>
                  </w:divBdr>
                </w:div>
              </w:divsChild>
            </w:div>
            <w:div w:id="347028725">
              <w:marLeft w:val="0"/>
              <w:marRight w:val="0"/>
              <w:marTop w:val="0"/>
              <w:marBottom w:val="0"/>
              <w:divBdr>
                <w:top w:val="none" w:sz="0" w:space="0" w:color="auto"/>
                <w:left w:val="none" w:sz="0" w:space="0" w:color="auto"/>
                <w:bottom w:val="none" w:sz="0" w:space="0" w:color="auto"/>
                <w:right w:val="none" w:sz="0" w:space="0" w:color="auto"/>
              </w:divBdr>
              <w:divsChild>
                <w:div w:id="233124064">
                  <w:marLeft w:val="0"/>
                  <w:marRight w:val="0"/>
                  <w:marTop w:val="0"/>
                  <w:marBottom w:val="0"/>
                  <w:divBdr>
                    <w:top w:val="none" w:sz="0" w:space="0" w:color="auto"/>
                    <w:left w:val="none" w:sz="0" w:space="0" w:color="auto"/>
                    <w:bottom w:val="none" w:sz="0" w:space="0" w:color="auto"/>
                    <w:right w:val="none" w:sz="0" w:space="0" w:color="auto"/>
                  </w:divBdr>
                </w:div>
              </w:divsChild>
            </w:div>
            <w:div w:id="985743332">
              <w:marLeft w:val="0"/>
              <w:marRight w:val="0"/>
              <w:marTop w:val="0"/>
              <w:marBottom w:val="0"/>
              <w:divBdr>
                <w:top w:val="none" w:sz="0" w:space="0" w:color="auto"/>
                <w:left w:val="none" w:sz="0" w:space="0" w:color="auto"/>
                <w:bottom w:val="none" w:sz="0" w:space="0" w:color="auto"/>
                <w:right w:val="none" w:sz="0" w:space="0" w:color="auto"/>
              </w:divBdr>
              <w:divsChild>
                <w:div w:id="199172060">
                  <w:marLeft w:val="0"/>
                  <w:marRight w:val="0"/>
                  <w:marTop w:val="0"/>
                  <w:marBottom w:val="0"/>
                  <w:divBdr>
                    <w:top w:val="none" w:sz="0" w:space="0" w:color="auto"/>
                    <w:left w:val="none" w:sz="0" w:space="0" w:color="auto"/>
                    <w:bottom w:val="none" w:sz="0" w:space="0" w:color="auto"/>
                    <w:right w:val="none" w:sz="0" w:space="0" w:color="auto"/>
                  </w:divBdr>
                </w:div>
              </w:divsChild>
            </w:div>
            <w:div w:id="1427530250">
              <w:marLeft w:val="0"/>
              <w:marRight w:val="0"/>
              <w:marTop w:val="0"/>
              <w:marBottom w:val="0"/>
              <w:divBdr>
                <w:top w:val="none" w:sz="0" w:space="0" w:color="auto"/>
                <w:left w:val="none" w:sz="0" w:space="0" w:color="auto"/>
                <w:bottom w:val="none" w:sz="0" w:space="0" w:color="auto"/>
                <w:right w:val="none" w:sz="0" w:space="0" w:color="auto"/>
              </w:divBdr>
              <w:divsChild>
                <w:div w:id="512649139">
                  <w:marLeft w:val="0"/>
                  <w:marRight w:val="0"/>
                  <w:marTop w:val="0"/>
                  <w:marBottom w:val="0"/>
                  <w:divBdr>
                    <w:top w:val="none" w:sz="0" w:space="0" w:color="auto"/>
                    <w:left w:val="none" w:sz="0" w:space="0" w:color="auto"/>
                    <w:bottom w:val="none" w:sz="0" w:space="0" w:color="auto"/>
                    <w:right w:val="none" w:sz="0" w:space="0" w:color="auto"/>
                  </w:divBdr>
                </w:div>
              </w:divsChild>
            </w:div>
            <w:div w:id="1624461572">
              <w:marLeft w:val="0"/>
              <w:marRight w:val="0"/>
              <w:marTop w:val="0"/>
              <w:marBottom w:val="0"/>
              <w:divBdr>
                <w:top w:val="none" w:sz="0" w:space="0" w:color="auto"/>
                <w:left w:val="none" w:sz="0" w:space="0" w:color="auto"/>
                <w:bottom w:val="none" w:sz="0" w:space="0" w:color="auto"/>
                <w:right w:val="none" w:sz="0" w:space="0" w:color="auto"/>
              </w:divBdr>
              <w:divsChild>
                <w:div w:id="906722775">
                  <w:marLeft w:val="0"/>
                  <w:marRight w:val="0"/>
                  <w:marTop w:val="0"/>
                  <w:marBottom w:val="0"/>
                  <w:divBdr>
                    <w:top w:val="none" w:sz="0" w:space="0" w:color="auto"/>
                    <w:left w:val="none" w:sz="0" w:space="0" w:color="auto"/>
                    <w:bottom w:val="none" w:sz="0" w:space="0" w:color="auto"/>
                    <w:right w:val="none" w:sz="0" w:space="0" w:color="auto"/>
                  </w:divBdr>
                </w:div>
              </w:divsChild>
            </w:div>
            <w:div w:id="784272190">
              <w:marLeft w:val="0"/>
              <w:marRight w:val="0"/>
              <w:marTop w:val="0"/>
              <w:marBottom w:val="0"/>
              <w:divBdr>
                <w:top w:val="none" w:sz="0" w:space="0" w:color="auto"/>
                <w:left w:val="none" w:sz="0" w:space="0" w:color="auto"/>
                <w:bottom w:val="none" w:sz="0" w:space="0" w:color="auto"/>
                <w:right w:val="none" w:sz="0" w:space="0" w:color="auto"/>
              </w:divBdr>
              <w:divsChild>
                <w:div w:id="775638219">
                  <w:marLeft w:val="0"/>
                  <w:marRight w:val="0"/>
                  <w:marTop w:val="0"/>
                  <w:marBottom w:val="0"/>
                  <w:divBdr>
                    <w:top w:val="none" w:sz="0" w:space="0" w:color="auto"/>
                    <w:left w:val="none" w:sz="0" w:space="0" w:color="auto"/>
                    <w:bottom w:val="none" w:sz="0" w:space="0" w:color="auto"/>
                    <w:right w:val="none" w:sz="0" w:space="0" w:color="auto"/>
                  </w:divBdr>
                </w:div>
              </w:divsChild>
            </w:div>
            <w:div w:id="1350109203">
              <w:marLeft w:val="0"/>
              <w:marRight w:val="0"/>
              <w:marTop w:val="0"/>
              <w:marBottom w:val="0"/>
              <w:divBdr>
                <w:top w:val="none" w:sz="0" w:space="0" w:color="auto"/>
                <w:left w:val="none" w:sz="0" w:space="0" w:color="auto"/>
                <w:bottom w:val="none" w:sz="0" w:space="0" w:color="auto"/>
                <w:right w:val="none" w:sz="0" w:space="0" w:color="auto"/>
              </w:divBdr>
              <w:divsChild>
                <w:div w:id="1663003891">
                  <w:marLeft w:val="0"/>
                  <w:marRight w:val="0"/>
                  <w:marTop w:val="0"/>
                  <w:marBottom w:val="0"/>
                  <w:divBdr>
                    <w:top w:val="none" w:sz="0" w:space="0" w:color="auto"/>
                    <w:left w:val="none" w:sz="0" w:space="0" w:color="auto"/>
                    <w:bottom w:val="none" w:sz="0" w:space="0" w:color="auto"/>
                    <w:right w:val="none" w:sz="0" w:space="0" w:color="auto"/>
                  </w:divBdr>
                </w:div>
              </w:divsChild>
            </w:div>
            <w:div w:id="198784410">
              <w:marLeft w:val="0"/>
              <w:marRight w:val="0"/>
              <w:marTop w:val="0"/>
              <w:marBottom w:val="0"/>
              <w:divBdr>
                <w:top w:val="none" w:sz="0" w:space="0" w:color="auto"/>
                <w:left w:val="none" w:sz="0" w:space="0" w:color="auto"/>
                <w:bottom w:val="none" w:sz="0" w:space="0" w:color="auto"/>
                <w:right w:val="none" w:sz="0" w:space="0" w:color="auto"/>
              </w:divBdr>
              <w:divsChild>
                <w:div w:id="993491533">
                  <w:marLeft w:val="0"/>
                  <w:marRight w:val="0"/>
                  <w:marTop w:val="0"/>
                  <w:marBottom w:val="0"/>
                  <w:divBdr>
                    <w:top w:val="none" w:sz="0" w:space="0" w:color="auto"/>
                    <w:left w:val="none" w:sz="0" w:space="0" w:color="auto"/>
                    <w:bottom w:val="none" w:sz="0" w:space="0" w:color="auto"/>
                    <w:right w:val="none" w:sz="0" w:space="0" w:color="auto"/>
                  </w:divBdr>
                </w:div>
              </w:divsChild>
            </w:div>
            <w:div w:id="257641132">
              <w:marLeft w:val="0"/>
              <w:marRight w:val="0"/>
              <w:marTop w:val="0"/>
              <w:marBottom w:val="0"/>
              <w:divBdr>
                <w:top w:val="none" w:sz="0" w:space="0" w:color="auto"/>
                <w:left w:val="none" w:sz="0" w:space="0" w:color="auto"/>
                <w:bottom w:val="none" w:sz="0" w:space="0" w:color="auto"/>
                <w:right w:val="none" w:sz="0" w:space="0" w:color="auto"/>
              </w:divBdr>
              <w:divsChild>
                <w:div w:id="1676032578">
                  <w:marLeft w:val="0"/>
                  <w:marRight w:val="0"/>
                  <w:marTop w:val="0"/>
                  <w:marBottom w:val="0"/>
                  <w:divBdr>
                    <w:top w:val="none" w:sz="0" w:space="0" w:color="auto"/>
                    <w:left w:val="none" w:sz="0" w:space="0" w:color="auto"/>
                    <w:bottom w:val="none" w:sz="0" w:space="0" w:color="auto"/>
                    <w:right w:val="none" w:sz="0" w:space="0" w:color="auto"/>
                  </w:divBdr>
                </w:div>
              </w:divsChild>
            </w:div>
            <w:div w:id="422653612">
              <w:marLeft w:val="0"/>
              <w:marRight w:val="0"/>
              <w:marTop w:val="0"/>
              <w:marBottom w:val="0"/>
              <w:divBdr>
                <w:top w:val="none" w:sz="0" w:space="0" w:color="auto"/>
                <w:left w:val="none" w:sz="0" w:space="0" w:color="auto"/>
                <w:bottom w:val="none" w:sz="0" w:space="0" w:color="auto"/>
                <w:right w:val="none" w:sz="0" w:space="0" w:color="auto"/>
              </w:divBdr>
              <w:divsChild>
                <w:div w:id="1174101976">
                  <w:marLeft w:val="0"/>
                  <w:marRight w:val="0"/>
                  <w:marTop w:val="0"/>
                  <w:marBottom w:val="0"/>
                  <w:divBdr>
                    <w:top w:val="none" w:sz="0" w:space="0" w:color="auto"/>
                    <w:left w:val="none" w:sz="0" w:space="0" w:color="auto"/>
                    <w:bottom w:val="none" w:sz="0" w:space="0" w:color="auto"/>
                    <w:right w:val="none" w:sz="0" w:space="0" w:color="auto"/>
                  </w:divBdr>
                </w:div>
              </w:divsChild>
            </w:div>
            <w:div w:id="1737164962">
              <w:marLeft w:val="0"/>
              <w:marRight w:val="0"/>
              <w:marTop w:val="0"/>
              <w:marBottom w:val="0"/>
              <w:divBdr>
                <w:top w:val="none" w:sz="0" w:space="0" w:color="auto"/>
                <w:left w:val="none" w:sz="0" w:space="0" w:color="auto"/>
                <w:bottom w:val="none" w:sz="0" w:space="0" w:color="auto"/>
                <w:right w:val="none" w:sz="0" w:space="0" w:color="auto"/>
              </w:divBdr>
              <w:divsChild>
                <w:div w:id="31729779">
                  <w:marLeft w:val="0"/>
                  <w:marRight w:val="0"/>
                  <w:marTop w:val="0"/>
                  <w:marBottom w:val="0"/>
                  <w:divBdr>
                    <w:top w:val="none" w:sz="0" w:space="0" w:color="auto"/>
                    <w:left w:val="none" w:sz="0" w:space="0" w:color="auto"/>
                    <w:bottom w:val="none" w:sz="0" w:space="0" w:color="auto"/>
                    <w:right w:val="none" w:sz="0" w:space="0" w:color="auto"/>
                  </w:divBdr>
                </w:div>
              </w:divsChild>
            </w:div>
            <w:div w:id="587038299">
              <w:marLeft w:val="0"/>
              <w:marRight w:val="0"/>
              <w:marTop w:val="0"/>
              <w:marBottom w:val="0"/>
              <w:divBdr>
                <w:top w:val="none" w:sz="0" w:space="0" w:color="auto"/>
                <w:left w:val="none" w:sz="0" w:space="0" w:color="auto"/>
                <w:bottom w:val="none" w:sz="0" w:space="0" w:color="auto"/>
                <w:right w:val="none" w:sz="0" w:space="0" w:color="auto"/>
              </w:divBdr>
              <w:divsChild>
                <w:div w:id="1116756552">
                  <w:marLeft w:val="0"/>
                  <w:marRight w:val="0"/>
                  <w:marTop w:val="0"/>
                  <w:marBottom w:val="0"/>
                  <w:divBdr>
                    <w:top w:val="none" w:sz="0" w:space="0" w:color="auto"/>
                    <w:left w:val="none" w:sz="0" w:space="0" w:color="auto"/>
                    <w:bottom w:val="none" w:sz="0" w:space="0" w:color="auto"/>
                    <w:right w:val="none" w:sz="0" w:space="0" w:color="auto"/>
                  </w:divBdr>
                </w:div>
              </w:divsChild>
            </w:div>
            <w:div w:id="1411462374">
              <w:marLeft w:val="0"/>
              <w:marRight w:val="0"/>
              <w:marTop w:val="0"/>
              <w:marBottom w:val="0"/>
              <w:divBdr>
                <w:top w:val="none" w:sz="0" w:space="0" w:color="auto"/>
                <w:left w:val="none" w:sz="0" w:space="0" w:color="auto"/>
                <w:bottom w:val="none" w:sz="0" w:space="0" w:color="auto"/>
                <w:right w:val="none" w:sz="0" w:space="0" w:color="auto"/>
              </w:divBdr>
              <w:divsChild>
                <w:div w:id="132335369">
                  <w:marLeft w:val="0"/>
                  <w:marRight w:val="0"/>
                  <w:marTop w:val="0"/>
                  <w:marBottom w:val="0"/>
                  <w:divBdr>
                    <w:top w:val="none" w:sz="0" w:space="0" w:color="auto"/>
                    <w:left w:val="none" w:sz="0" w:space="0" w:color="auto"/>
                    <w:bottom w:val="none" w:sz="0" w:space="0" w:color="auto"/>
                    <w:right w:val="none" w:sz="0" w:space="0" w:color="auto"/>
                  </w:divBdr>
                </w:div>
              </w:divsChild>
            </w:div>
            <w:div w:id="2137529582">
              <w:marLeft w:val="0"/>
              <w:marRight w:val="0"/>
              <w:marTop w:val="0"/>
              <w:marBottom w:val="0"/>
              <w:divBdr>
                <w:top w:val="none" w:sz="0" w:space="0" w:color="auto"/>
                <w:left w:val="none" w:sz="0" w:space="0" w:color="auto"/>
                <w:bottom w:val="none" w:sz="0" w:space="0" w:color="auto"/>
                <w:right w:val="none" w:sz="0" w:space="0" w:color="auto"/>
              </w:divBdr>
              <w:divsChild>
                <w:div w:id="2067489215">
                  <w:marLeft w:val="0"/>
                  <w:marRight w:val="0"/>
                  <w:marTop w:val="0"/>
                  <w:marBottom w:val="0"/>
                  <w:divBdr>
                    <w:top w:val="none" w:sz="0" w:space="0" w:color="auto"/>
                    <w:left w:val="none" w:sz="0" w:space="0" w:color="auto"/>
                    <w:bottom w:val="none" w:sz="0" w:space="0" w:color="auto"/>
                    <w:right w:val="none" w:sz="0" w:space="0" w:color="auto"/>
                  </w:divBdr>
                </w:div>
              </w:divsChild>
            </w:div>
            <w:div w:id="2124611741">
              <w:marLeft w:val="0"/>
              <w:marRight w:val="0"/>
              <w:marTop w:val="0"/>
              <w:marBottom w:val="0"/>
              <w:divBdr>
                <w:top w:val="none" w:sz="0" w:space="0" w:color="auto"/>
                <w:left w:val="none" w:sz="0" w:space="0" w:color="auto"/>
                <w:bottom w:val="none" w:sz="0" w:space="0" w:color="auto"/>
                <w:right w:val="none" w:sz="0" w:space="0" w:color="auto"/>
              </w:divBdr>
              <w:divsChild>
                <w:div w:id="1771586178">
                  <w:marLeft w:val="0"/>
                  <w:marRight w:val="0"/>
                  <w:marTop w:val="0"/>
                  <w:marBottom w:val="0"/>
                  <w:divBdr>
                    <w:top w:val="none" w:sz="0" w:space="0" w:color="auto"/>
                    <w:left w:val="none" w:sz="0" w:space="0" w:color="auto"/>
                    <w:bottom w:val="none" w:sz="0" w:space="0" w:color="auto"/>
                    <w:right w:val="none" w:sz="0" w:space="0" w:color="auto"/>
                  </w:divBdr>
                </w:div>
              </w:divsChild>
            </w:div>
            <w:div w:id="1271430105">
              <w:marLeft w:val="0"/>
              <w:marRight w:val="0"/>
              <w:marTop w:val="0"/>
              <w:marBottom w:val="0"/>
              <w:divBdr>
                <w:top w:val="none" w:sz="0" w:space="0" w:color="auto"/>
                <w:left w:val="none" w:sz="0" w:space="0" w:color="auto"/>
                <w:bottom w:val="none" w:sz="0" w:space="0" w:color="auto"/>
                <w:right w:val="none" w:sz="0" w:space="0" w:color="auto"/>
              </w:divBdr>
              <w:divsChild>
                <w:div w:id="373972126">
                  <w:marLeft w:val="0"/>
                  <w:marRight w:val="0"/>
                  <w:marTop w:val="0"/>
                  <w:marBottom w:val="0"/>
                  <w:divBdr>
                    <w:top w:val="none" w:sz="0" w:space="0" w:color="auto"/>
                    <w:left w:val="none" w:sz="0" w:space="0" w:color="auto"/>
                    <w:bottom w:val="none" w:sz="0" w:space="0" w:color="auto"/>
                    <w:right w:val="none" w:sz="0" w:space="0" w:color="auto"/>
                  </w:divBdr>
                </w:div>
              </w:divsChild>
            </w:div>
            <w:div w:id="1061178558">
              <w:marLeft w:val="0"/>
              <w:marRight w:val="0"/>
              <w:marTop w:val="0"/>
              <w:marBottom w:val="0"/>
              <w:divBdr>
                <w:top w:val="none" w:sz="0" w:space="0" w:color="auto"/>
                <w:left w:val="none" w:sz="0" w:space="0" w:color="auto"/>
                <w:bottom w:val="none" w:sz="0" w:space="0" w:color="auto"/>
                <w:right w:val="none" w:sz="0" w:space="0" w:color="auto"/>
              </w:divBdr>
              <w:divsChild>
                <w:div w:id="1937666111">
                  <w:marLeft w:val="0"/>
                  <w:marRight w:val="0"/>
                  <w:marTop w:val="0"/>
                  <w:marBottom w:val="0"/>
                  <w:divBdr>
                    <w:top w:val="none" w:sz="0" w:space="0" w:color="auto"/>
                    <w:left w:val="none" w:sz="0" w:space="0" w:color="auto"/>
                    <w:bottom w:val="none" w:sz="0" w:space="0" w:color="auto"/>
                    <w:right w:val="none" w:sz="0" w:space="0" w:color="auto"/>
                  </w:divBdr>
                </w:div>
              </w:divsChild>
            </w:div>
            <w:div w:id="1998072234">
              <w:marLeft w:val="0"/>
              <w:marRight w:val="0"/>
              <w:marTop w:val="0"/>
              <w:marBottom w:val="0"/>
              <w:divBdr>
                <w:top w:val="none" w:sz="0" w:space="0" w:color="auto"/>
                <w:left w:val="none" w:sz="0" w:space="0" w:color="auto"/>
                <w:bottom w:val="none" w:sz="0" w:space="0" w:color="auto"/>
                <w:right w:val="none" w:sz="0" w:space="0" w:color="auto"/>
              </w:divBdr>
              <w:divsChild>
                <w:div w:id="790319376">
                  <w:marLeft w:val="0"/>
                  <w:marRight w:val="0"/>
                  <w:marTop w:val="0"/>
                  <w:marBottom w:val="0"/>
                  <w:divBdr>
                    <w:top w:val="none" w:sz="0" w:space="0" w:color="auto"/>
                    <w:left w:val="none" w:sz="0" w:space="0" w:color="auto"/>
                    <w:bottom w:val="none" w:sz="0" w:space="0" w:color="auto"/>
                    <w:right w:val="none" w:sz="0" w:space="0" w:color="auto"/>
                  </w:divBdr>
                </w:div>
              </w:divsChild>
            </w:div>
            <w:div w:id="2120955406">
              <w:marLeft w:val="0"/>
              <w:marRight w:val="0"/>
              <w:marTop w:val="0"/>
              <w:marBottom w:val="0"/>
              <w:divBdr>
                <w:top w:val="none" w:sz="0" w:space="0" w:color="auto"/>
                <w:left w:val="none" w:sz="0" w:space="0" w:color="auto"/>
                <w:bottom w:val="none" w:sz="0" w:space="0" w:color="auto"/>
                <w:right w:val="none" w:sz="0" w:space="0" w:color="auto"/>
              </w:divBdr>
              <w:divsChild>
                <w:div w:id="1922062088">
                  <w:marLeft w:val="0"/>
                  <w:marRight w:val="0"/>
                  <w:marTop w:val="0"/>
                  <w:marBottom w:val="0"/>
                  <w:divBdr>
                    <w:top w:val="none" w:sz="0" w:space="0" w:color="auto"/>
                    <w:left w:val="none" w:sz="0" w:space="0" w:color="auto"/>
                    <w:bottom w:val="none" w:sz="0" w:space="0" w:color="auto"/>
                    <w:right w:val="none" w:sz="0" w:space="0" w:color="auto"/>
                  </w:divBdr>
                </w:div>
              </w:divsChild>
            </w:div>
            <w:div w:id="137261194">
              <w:marLeft w:val="0"/>
              <w:marRight w:val="0"/>
              <w:marTop w:val="0"/>
              <w:marBottom w:val="0"/>
              <w:divBdr>
                <w:top w:val="none" w:sz="0" w:space="0" w:color="auto"/>
                <w:left w:val="none" w:sz="0" w:space="0" w:color="auto"/>
                <w:bottom w:val="none" w:sz="0" w:space="0" w:color="auto"/>
                <w:right w:val="none" w:sz="0" w:space="0" w:color="auto"/>
              </w:divBdr>
              <w:divsChild>
                <w:div w:id="1422602243">
                  <w:marLeft w:val="0"/>
                  <w:marRight w:val="0"/>
                  <w:marTop w:val="0"/>
                  <w:marBottom w:val="0"/>
                  <w:divBdr>
                    <w:top w:val="none" w:sz="0" w:space="0" w:color="auto"/>
                    <w:left w:val="none" w:sz="0" w:space="0" w:color="auto"/>
                    <w:bottom w:val="none" w:sz="0" w:space="0" w:color="auto"/>
                    <w:right w:val="none" w:sz="0" w:space="0" w:color="auto"/>
                  </w:divBdr>
                </w:div>
              </w:divsChild>
            </w:div>
            <w:div w:id="1874876246">
              <w:marLeft w:val="0"/>
              <w:marRight w:val="0"/>
              <w:marTop w:val="0"/>
              <w:marBottom w:val="0"/>
              <w:divBdr>
                <w:top w:val="none" w:sz="0" w:space="0" w:color="auto"/>
                <w:left w:val="none" w:sz="0" w:space="0" w:color="auto"/>
                <w:bottom w:val="none" w:sz="0" w:space="0" w:color="auto"/>
                <w:right w:val="none" w:sz="0" w:space="0" w:color="auto"/>
              </w:divBdr>
              <w:divsChild>
                <w:div w:id="2136020786">
                  <w:marLeft w:val="0"/>
                  <w:marRight w:val="0"/>
                  <w:marTop w:val="0"/>
                  <w:marBottom w:val="0"/>
                  <w:divBdr>
                    <w:top w:val="none" w:sz="0" w:space="0" w:color="auto"/>
                    <w:left w:val="none" w:sz="0" w:space="0" w:color="auto"/>
                    <w:bottom w:val="none" w:sz="0" w:space="0" w:color="auto"/>
                    <w:right w:val="none" w:sz="0" w:space="0" w:color="auto"/>
                  </w:divBdr>
                </w:div>
              </w:divsChild>
            </w:div>
            <w:div w:id="449589978">
              <w:marLeft w:val="0"/>
              <w:marRight w:val="0"/>
              <w:marTop w:val="0"/>
              <w:marBottom w:val="0"/>
              <w:divBdr>
                <w:top w:val="none" w:sz="0" w:space="0" w:color="auto"/>
                <w:left w:val="none" w:sz="0" w:space="0" w:color="auto"/>
                <w:bottom w:val="none" w:sz="0" w:space="0" w:color="auto"/>
                <w:right w:val="none" w:sz="0" w:space="0" w:color="auto"/>
              </w:divBdr>
              <w:divsChild>
                <w:div w:id="634603829">
                  <w:marLeft w:val="0"/>
                  <w:marRight w:val="0"/>
                  <w:marTop w:val="0"/>
                  <w:marBottom w:val="0"/>
                  <w:divBdr>
                    <w:top w:val="none" w:sz="0" w:space="0" w:color="auto"/>
                    <w:left w:val="none" w:sz="0" w:space="0" w:color="auto"/>
                    <w:bottom w:val="none" w:sz="0" w:space="0" w:color="auto"/>
                    <w:right w:val="none" w:sz="0" w:space="0" w:color="auto"/>
                  </w:divBdr>
                </w:div>
              </w:divsChild>
            </w:div>
            <w:div w:id="22176943">
              <w:marLeft w:val="0"/>
              <w:marRight w:val="0"/>
              <w:marTop w:val="0"/>
              <w:marBottom w:val="0"/>
              <w:divBdr>
                <w:top w:val="none" w:sz="0" w:space="0" w:color="auto"/>
                <w:left w:val="none" w:sz="0" w:space="0" w:color="auto"/>
                <w:bottom w:val="none" w:sz="0" w:space="0" w:color="auto"/>
                <w:right w:val="none" w:sz="0" w:space="0" w:color="auto"/>
              </w:divBdr>
              <w:divsChild>
                <w:div w:id="2081518837">
                  <w:marLeft w:val="0"/>
                  <w:marRight w:val="0"/>
                  <w:marTop w:val="0"/>
                  <w:marBottom w:val="0"/>
                  <w:divBdr>
                    <w:top w:val="none" w:sz="0" w:space="0" w:color="auto"/>
                    <w:left w:val="none" w:sz="0" w:space="0" w:color="auto"/>
                    <w:bottom w:val="none" w:sz="0" w:space="0" w:color="auto"/>
                    <w:right w:val="none" w:sz="0" w:space="0" w:color="auto"/>
                  </w:divBdr>
                </w:div>
              </w:divsChild>
            </w:div>
            <w:div w:id="414859959">
              <w:marLeft w:val="0"/>
              <w:marRight w:val="0"/>
              <w:marTop w:val="0"/>
              <w:marBottom w:val="0"/>
              <w:divBdr>
                <w:top w:val="none" w:sz="0" w:space="0" w:color="auto"/>
                <w:left w:val="none" w:sz="0" w:space="0" w:color="auto"/>
                <w:bottom w:val="none" w:sz="0" w:space="0" w:color="auto"/>
                <w:right w:val="none" w:sz="0" w:space="0" w:color="auto"/>
              </w:divBdr>
              <w:divsChild>
                <w:div w:id="858543921">
                  <w:marLeft w:val="0"/>
                  <w:marRight w:val="0"/>
                  <w:marTop w:val="0"/>
                  <w:marBottom w:val="0"/>
                  <w:divBdr>
                    <w:top w:val="none" w:sz="0" w:space="0" w:color="auto"/>
                    <w:left w:val="none" w:sz="0" w:space="0" w:color="auto"/>
                    <w:bottom w:val="none" w:sz="0" w:space="0" w:color="auto"/>
                    <w:right w:val="none" w:sz="0" w:space="0" w:color="auto"/>
                  </w:divBdr>
                </w:div>
              </w:divsChild>
            </w:div>
            <w:div w:id="733700558">
              <w:marLeft w:val="0"/>
              <w:marRight w:val="0"/>
              <w:marTop w:val="0"/>
              <w:marBottom w:val="0"/>
              <w:divBdr>
                <w:top w:val="none" w:sz="0" w:space="0" w:color="auto"/>
                <w:left w:val="none" w:sz="0" w:space="0" w:color="auto"/>
                <w:bottom w:val="none" w:sz="0" w:space="0" w:color="auto"/>
                <w:right w:val="none" w:sz="0" w:space="0" w:color="auto"/>
              </w:divBdr>
              <w:divsChild>
                <w:div w:id="4984741">
                  <w:marLeft w:val="0"/>
                  <w:marRight w:val="0"/>
                  <w:marTop w:val="0"/>
                  <w:marBottom w:val="0"/>
                  <w:divBdr>
                    <w:top w:val="none" w:sz="0" w:space="0" w:color="auto"/>
                    <w:left w:val="none" w:sz="0" w:space="0" w:color="auto"/>
                    <w:bottom w:val="none" w:sz="0" w:space="0" w:color="auto"/>
                    <w:right w:val="none" w:sz="0" w:space="0" w:color="auto"/>
                  </w:divBdr>
                </w:div>
              </w:divsChild>
            </w:div>
            <w:div w:id="1253977897">
              <w:marLeft w:val="0"/>
              <w:marRight w:val="0"/>
              <w:marTop w:val="0"/>
              <w:marBottom w:val="0"/>
              <w:divBdr>
                <w:top w:val="none" w:sz="0" w:space="0" w:color="auto"/>
                <w:left w:val="none" w:sz="0" w:space="0" w:color="auto"/>
                <w:bottom w:val="none" w:sz="0" w:space="0" w:color="auto"/>
                <w:right w:val="none" w:sz="0" w:space="0" w:color="auto"/>
              </w:divBdr>
              <w:divsChild>
                <w:div w:id="12255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3509">
          <w:marLeft w:val="0"/>
          <w:marRight w:val="0"/>
          <w:marTop w:val="0"/>
          <w:marBottom w:val="600"/>
          <w:divBdr>
            <w:top w:val="none" w:sz="0" w:space="0" w:color="auto"/>
            <w:left w:val="none" w:sz="0" w:space="0" w:color="auto"/>
            <w:bottom w:val="none" w:sz="0" w:space="0" w:color="auto"/>
            <w:right w:val="none" w:sz="0" w:space="0" w:color="auto"/>
          </w:divBdr>
        </w:div>
      </w:divsChild>
    </w:div>
    <w:div w:id="716587678">
      <w:marLeft w:val="0"/>
      <w:marRight w:val="0"/>
      <w:marTop w:val="0"/>
      <w:marBottom w:val="0"/>
      <w:divBdr>
        <w:top w:val="none" w:sz="0" w:space="0" w:color="auto"/>
        <w:left w:val="none" w:sz="0" w:space="0" w:color="auto"/>
        <w:bottom w:val="none" w:sz="0" w:space="0" w:color="auto"/>
        <w:right w:val="none" w:sz="0" w:space="0" w:color="auto"/>
      </w:divBdr>
      <w:divsChild>
        <w:div w:id="794254257">
          <w:marLeft w:val="0"/>
          <w:marRight w:val="0"/>
          <w:marTop w:val="600"/>
          <w:marBottom w:val="0"/>
          <w:divBdr>
            <w:top w:val="none" w:sz="0" w:space="0" w:color="auto"/>
            <w:left w:val="none" w:sz="0" w:space="0" w:color="auto"/>
            <w:bottom w:val="none" w:sz="0" w:space="0" w:color="auto"/>
            <w:right w:val="none" w:sz="0" w:space="0" w:color="auto"/>
          </w:divBdr>
        </w:div>
        <w:div w:id="1970433673">
          <w:marLeft w:val="0"/>
          <w:marRight w:val="0"/>
          <w:marTop w:val="0"/>
          <w:marBottom w:val="0"/>
          <w:divBdr>
            <w:top w:val="none" w:sz="0" w:space="0" w:color="auto"/>
            <w:left w:val="none" w:sz="0" w:space="0" w:color="auto"/>
            <w:bottom w:val="none" w:sz="0" w:space="0" w:color="auto"/>
            <w:right w:val="none" w:sz="0" w:space="0" w:color="auto"/>
          </w:divBdr>
          <w:divsChild>
            <w:div w:id="1099256533">
              <w:marLeft w:val="0"/>
              <w:marRight w:val="0"/>
              <w:marTop w:val="0"/>
              <w:marBottom w:val="0"/>
              <w:divBdr>
                <w:top w:val="none" w:sz="0" w:space="0" w:color="auto"/>
                <w:left w:val="none" w:sz="0" w:space="0" w:color="auto"/>
                <w:bottom w:val="none" w:sz="0" w:space="0" w:color="auto"/>
                <w:right w:val="none" w:sz="0" w:space="0" w:color="auto"/>
              </w:divBdr>
              <w:divsChild>
                <w:div w:id="848912602">
                  <w:marLeft w:val="0"/>
                  <w:marRight w:val="0"/>
                  <w:marTop w:val="0"/>
                  <w:marBottom w:val="0"/>
                  <w:divBdr>
                    <w:top w:val="none" w:sz="0" w:space="0" w:color="auto"/>
                    <w:left w:val="none" w:sz="0" w:space="0" w:color="auto"/>
                    <w:bottom w:val="none" w:sz="0" w:space="0" w:color="auto"/>
                    <w:right w:val="none" w:sz="0" w:space="0" w:color="auto"/>
                  </w:divBdr>
                </w:div>
              </w:divsChild>
            </w:div>
            <w:div w:id="108623870">
              <w:marLeft w:val="0"/>
              <w:marRight w:val="0"/>
              <w:marTop w:val="0"/>
              <w:marBottom w:val="0"/>
              <w:divBdr>
                <w:top w:val="none" w:sz="0" w:space="0" w:color="auto"/>
                <w:left w:val="none" w:sz="0" w:space="0" w:color="auto"/>
                <w:bottom w:val="none" w:sz="0" w:space="0" w:color="auto"/>
                <w:right w:val="none" w:sz="0" w:space="0" w:color="auto"/>
              </w:divBdr>
              <w:divsChild>
                <w:div w:id="1406027154">
                  <w:marLeft w:val="0"/>
                  <w:marRight w:val="0"/>
                  <w:marTop w:val="0"/>
                  <w:marBottom w:val="0"/>
                  <w:divBdr>
                    <w:top w:val="none" w:sz="0" w:space="0" w:color="auto"/>
                    <w:left w:val="none" w:sz="0" w:space="0" w:color="auto"/>
                    <w:bottom w:val="none" w:sz="0" w:space="0" w:color="auto"/>
                    <w:right w:val="none" w:sz="0" w:space="0" w:color="auto"/>
                  </w:divBdr>
                </w:div>
              </w:divsChild>
            </w:div>
            <w:div w:id="1125930710">
              <w:marLeft w:val="0"/>
              <w:marRight w:val="0"/>
              <w:marTop w:val="0"/>
              <w:marBottom w:val="0"/>
              <w:divBdr>
                <w:top w:val="none" w:sz="0" w:space="0" w:color="auto"/>
                <w:left w:val="none" w:sz="0" w:space="0" w:color="auto"/>
                <w:bottom w:val="none" w:sz="0" w:space="0" w:color="auto"/>
                <w:right w:val="none" w:sz="0" w:space="0" w:color="auto"/>
              </w:divBdr>
              <w:divsChild>
                <w:div w:id="45296892">
                  <w:marLeft w:val="0"/>
                  <w:marRight w:val="0"/>
                  <w:marTop w:val="0"/>
                  <w:marBottom w:val="0"/>
                  <w:divBdr>
                    <w:top w:val="none" w:sz="0" w:space="0" w:color="auto"/>
                    <w:left w:val="none" w:sz="0" w:space="0" w:color="auto"/>
                    <w:bottom w:val="none" w:sz="0" w:space="0" w:color="auto"/>
                    <w:right w:val="none" w:sz="0" w:space="0" w:color="auto"/>
                  </w:divBdr>
                </w:div>
              </w:divsChild>
            </w:div>
            <w:div w:id="1330795046">
              <w:marLeft w:val="0"/>
              <w:marRight w:val="0"/>
              <w:marTop w:val="0"/>
              <w:marBottom w:val="0"/>
              <w:divBdr>
                <w:top w:val="none" w:sz="0" w:space="0" w:color="auto"/>
                <w:left w:val="none" w:sz="0" w:space="0" w:color="auto"/>
                <w:bottom w:val="none" w:sz="0" w:space="0" w:color="auto"/>
                <w:right w:val="none" w:sz="0" w:space="0" w:color="auto"/>
              </w:divBdr>
              <w:divsChild>
                <w:div w:id="1766219137">
                  <w:marLeft w:val="0"/>
                  <w:marRight w:val="0"/>
                  <w:marTop w:val="0"/>
                  <w:marBottom w:val="0"/>
                  <w:divBdr>
                    <w:top w:val="none" w:sz="0" w:space="0" w:color="auto"/>
                    <w:left w:val="none" w:sz="0" w:space="0" w:color="auto"/>
                    <w:bottom w:val="none" w:sz="0" w:space="0" w:color="auto"/>
                    <w:right w:val="none" w:sz="0" w:space="0" w:color="auto"/>
                  </w:divBdr>
                </w:div>
              </w:divsChild>
            </w:div>
            <w:div w:id="710113491">
              <w:marLeft w:val="0"/>
              <w:marRight w:val="0"/>
              <w:marTop w:val="0"/>
              <w:marBottom w:val="0"/>
              <w:divBdr>
                <w:top w:val="none" w:sz="0" w:space="0" w:color="auto"/>
                <w:left w:val="none" w:sz="0" w:space="0" w:color="auto"/>
                <w:bottom w:val="none" w:sz="0" w:space="0" w:color="auto"/>
                <w:right w:val="none" w:sz="0" w:space="0" w:color="auto"/>
              </w:divBdr>
              <w:divsChild>
                <w:div w:id="660423129">
                  <w:marLeft w:val="0"/>
                  <w:marRight w:val="0"/>
                  <w:marTop w:val="0"/>
                  <w:marBottom w:val="0"/>
                  <w:divBdr>
                    <w:top w:val="none" w:sz="0" w:space="0" w:color="auto"/>
                    <w:left w:val="none" w:sz="0" w:space="0" w:color="auto"/>
                    <w:bottom w:val="none" w:sz="0" w:space="0" w:color="auto"/>
                    <w:right w:val="none" w:sz="0" w:space="0" w:color="auto"/>
                  </w:divBdr>
                </w:div>
              </w:divsChild>
            </w:div>
            <w:div w:id="257057552">
              <w:marLeft w:val="0"/>
              <w:marRight w:val="0"/>
              <w:marTop w:val="0"/>
              <w:marBottom w:val="0"/>
              <w:divBdr>
                <w:top w:val="none" w:sz="0" w:space="0" w:color="auto"/>
                <w:left w:val="none" w:sz="0" w:space="0" w:color="auto"/>
                <w:bottom w:val="none" w:sz="0" w:space="0" w:color="auto"/>
                <w:right w:val="none" w:sz="0" w:space="0" w:color="auto"/>
              </w:divBdr>
              <w:divsChild>
                <w:div w:id="1437674820">
                  <w:marLeft w:val="0"/>
                  <w:marRight w:val="0"/>
                  <w:marTop w:val="0"/>
                  <w:marBottom w:val="0"/>
                  <w:divBdr>
                    <w:top w:val="none" w:sz="0" w:space="0" w:color="auto"/>
                    <w:left w:val="none" w:sz="0" w:space="0" w:color="auto"/>
                    <w:bottom w:val="none" w:sz="0" w:space="0" w:color="auto"/>
                    <w:right w:val="none" w:sz="0" w:space="0" w:color="auto"/>
                  </w:divBdr>
                </w:div>
              </w:divsChild>
            </w:div>
            <w:div w:id="181167229">
              <w:marLeft w:val="0"/>
              <w:marRight w:val="0"/>
              <w:marTop w:val="0"/>
              <w:marBottom w:val="0"/>
              <w:divBdr>
                <w:top w:val="none" w:sz="0" w:space="0" w:color="auto"/>
                <w:left w:val="none" w:sz="0" w:space="0" w:color="auto"/>
                <w:bottom w:val="none" w:sz="0" w:space="0" w:color="auto"/>
                <w:right w:val="none" w:sz="0" w:space="0" w:color="auto"/>
              </w:divBdr>
              <w:divsChild>
                <w:div w:id="358510336">
                  <w:marLeft w:val="0"/>
                  <w:marRight w:val="0"/>
                  <w:marTop w:val="0"/>
                  <w:marBottom w:val="0"/>
                  <w:divBdr>
                    <w:top w:val="none" w:sz="0" w:space="0" w:color="auto"/>
                    <w:left w:val="none" w:sz="0" w:space="0" w:color="auto"/>
                    <w:bottom w:val="none" w:sz="0" w:space="0" w:color="auto"/>
                    <w:right w:val="none" w:sz="0" w:space="0" w:color="auto"/>
                  </w:divBdr>
                </w:div>
              </w:divsChild>
            </w:div>
            <w:div w:id="1226988974">
              <w:marLeft w:val="0"/>
              <w:marRight w:val="0"/>
              <w:marTop w:val="0"/>
              <w:marBottom w:val="0"/>
              <w:divBdr>
                <w:top w:val="none" w:sz="0" w:space="0" w:color="auto"/>
                <w:left w:val="none" w:sz="0" w:space="0" w:color="auto"/>
                <w:bottom w:val="none" w:sz="0" w:space="0" w:color="auto"/>
                <w:right w:val="none" w:sz="0" w:space="0" w:color="auto"/>
              </w:divBdr>
              <w:divsChild>
                <w:div w:id="1149517210">
                  <w:marLeft w:val="0"/>
                  <w:marRight w:val="0"/>
                  <w:marTop w:val="0"/>
                  <w:marBottom w:val="0"/>
                  <w:divBdr>
                    <w:top w:val="none" w:sz="0" w:space="0" w:color="auto"/>
                    <w:left w:val="none" w:sz="0" w:space="0" w:color="auto"/>
                    <w:bottom w:val="none" w:sz="0" w:space="0" w:color="auto"/>
                    <w:right w:val="none" w:sz="0" w:space="0" w:color="auto"/>
                  </w:divBdr>
                </w:div>
              </w:divsChild>
            </w:div>
            <w:div w:id="177349654">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
              </w:divsChild>
            </w:div>
            <w:div w:id="1393773000">
              <w:marLeft w:val="0"/>
              <w:marRight w:val="0"/>
              <w:marTop w:val="0"/>
              <w:marBottom w:val="0"/>
              <w:divBdr>
                <w:top w:val="none" w:sz="0" w:space="0" w:color="auto"/>
                <w:left w:val="none" w:sz="0" w:space="0" w:color="auto"/>
                <w:bottom w:val="none" w:sz="0" w:space="0" w:color="auto"/>
                <w:right w:val="none" w:sz="0" w:space="0" w:color="auto"/>
              </w:divBdr>
              <w:divsChild>
                <w:div w:id="17814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267">
          <w:marLeft w:val="0"/>
          <w:marRight w:val="0"/>
          <w:marTop w:val="0"/>
          <w:marBottom w:val="600"/>
          <w:divBdr>
            <w:top w:val="none" w:sz="0" w:space="0" w:color="auto"/>
            <w:left w:val="none" w:sz="0" w:space="0" w:color="auto"/>
            <w:bottom w:val="none" w:sz="0" w:space="0" w:color="auto"/>
            <w:right w:val="none" w:sz="0" w:space="0" w:color="auto"/>
          </w:divBdr>
        </w:div>
      </w:divsChild>
    </w:div>
    <w:div w:id="730806248">
      <w:marLeft w:val="0"/>
      <w:marRight w:val="0"/>
      <w:marTop w:val="0"/>
      <w:marBottom w:val="0"/>
      <w:divBdr>
        <w:top w:val="none" w:sz="0" w:space="0" w:color="auto"/>
        <w:left w:val="none" w:sz="0" w:space="0" w:color="auto"/>
        <w:bottom w:val="none" w:sz="0" w:space="0" w:color="auto"/>
        <w:right w:val="none" w:sz="0" w:space="0" w:color="auto"/>
      </w:divBdr>
      <w:divsChild>
        <w:div w:id="132062532">
          <w:marLeft w:val="0"/>
          <w:marRight w:val="0"/>
          <w:marTop w:val="600"/>
          <w:marBottom w:val="0"/>
          <w:divBdr>
            <w:top w:val="none" w:sz="0" w:space="0" w:color="auto"/>
            <w:left w:val="none" w:sz="0" w:space="0" w:color="auto"/>
            <w:bottom w:val="none" w:sz="0" w:space="0" w:color="auto"/>
            <w:right w:val="none" w:sz="0" w:space="0" w:color="auto"/>
          </w:divBdr>
        </w:div>
        <w:div w:id="446656548">
          <w:marLeft w:val="0"/>
          <w:marRight w:val="0"/>
          <w:marTop w:val="0"/>
          <w:marBottom w:val="0"/>
          <w:divBdr>
            <w:top w:val="none" w:sz="0" w:space="0" w:color="auto"/>
            <w:left w:val="none" w:sz="0" w:space="0" w:color="auto"/>
            <w:bottom w:val="none" w:sz="0" w:space="0" w:color="auto"/>
            <w:right w:val="none" w:sz="0" w:space="0" w:color="auto"/>
          </w:divBdr>
          <w:divsChild>
            <w:div w:id="819734072">
              <w:marLeft w:val="0"/>
              <w:marRight w:val="0"/>
              <w:marTop w:val="0"/>
              <w:marBottom w:val="0"/>
              <w:divBdr>
                <w:top w:val="none" w:sz="0" w:space="0" w:color="auto"/>
                <w:left w:val="none" w:sz="0" w:space="0" w:color="auto"/>
                <w:bottom w:val="none" w:sz="0" w:space="0" w:color="auto"/>
                <w:right w:val="none" w:sz="0" w:space="0" w:color="auto"/>
              </w:divBdr>
              <w:divsChild>
                <w:div w:id="1336347813">
                  <w:marLeft w:val="0"/>
                  <w:marRight w:val="0"/>
                  <w:marTop w:val="0"/>
                  <w:marBottom w:val="0"/>
                  <w:divBdr>
                    <w:top w:val="none" w:sz="0" w:space="0" w:color="auto"/>
                    <w:left w:val="none" w:sz="0" w:space="0" w:color="auto"/>
                    <w:bottom w:val="none" w:sz="0" w:space="0" w:color="auto"/>
                    <w:right w:val="none" w:sz="0" w:space="0" w:color="auto"/>
                  </w:divBdr>
                </w:div>
              </w:divsChild>
            </w:div>
            <w:div w:id="1414863364">
              <w:marLeft w:val="0"/>
              <w:marRight w:val="0"/>
              <w:marTop w:val="0"/>
              <w:marBottom w:val="0"/>
              <w:divBdr>
                <w:top w:val="none" w:sz="0" w:space="0" w:color="auto"/>
                <w:left w:val="none" w:sz="0" w:space="0" w:color="auto"/>
                <w:bottom w:val="none" w:sz="0" w:space="0" w:color="auto"/>
                <w:right w:val="none" w:sz="0" w:space="0" w:color="auto"/>
              </w:divBdr>
              <w:divsChild>
                <w:div w:id="1434201253">
                  <w:marLeft w:val="0"/>
                  <w:marRight w:val="0"/>
                  <w:marTop w:val="0"/>
                  <w:marBottom w:val="0"/>
                  <w:divBdr>
                    <w:top w:val="none" w:sz="0" w:space="0" w:color="auto"/>
                    <w:left w:val="none" w:sz="0" w:space="0" w:color="auto"/>
                    <w:bottom w:val="none" w:sz="0" w:space="0" w:color="auto"/>
                    <w:right w:val="none" w:sz="0" w:space="0" w:color="auto"/>
                  </w:divBdr>
                </w:div>
              </w:divsChild>
            </w:div>
            <w:div w:id="1413744365">
              <w:marLeft w:val="0"/>
              <w:marRight w:val="0"/>
              <w:marTop w:val="0"/>
              <w:marBottom w:val="0"/>
              <w:divBdr>
                <w:top w:val="none" w:sz="0" w:space="0" w:color="auto"/>
                <w:left w:val="none" w:sz="0" w:space="0" w:color="auto"/>
                <w:bottom w:val="none" w:sz="0" w:space="0" w:color="auto"/>
                <w:right w:val="none" w:sz="0" w:space="0" w:color="auto"/>
              </w:divBdr>
              <w:divsChild>
                <w:div w:id="706181598">
                  <w:marLeft w:val="0"/>
                  <w:marRight w:val="0"/>
                  <w:marTop w:val="0"/>
                  <w:marBottom w:val="0"/>
                  <w:divBdr>
                    <w:top w:val="none" w:sz="0" w:space="0" w:color="auto"/>
                    <w:left w:val="none" w:sz="0" w:space="0" w:color="auto"/>
                    <w:bottom w:val="none" w:sz="0" w:space="0" w:color="auto"/>
                    <w:right w:val="none" w:sz="0" w:space="0" w:color="auto"/>
                  </w:divBdr>
                </w:div>
              </w:divsChild>
            </w:div>
            <w:div w:id="867180322">
              <w:marLeft w:val="0"/>
              <w:marRight w:val="0"/>
              <w:marTop w:val="0"/>
              <w:marBottom w:val="0"/>
              <w:divBdr>
                <w:top w:val="none" w:sz="0" w:space="0" w:color="auto"/>
                <w:left w:val="none" w:sz="0" w:space="0" w:color="auto"/>
                <w:bottom w:val="none" w:sz="0" w:space="0" w:color="auto"/>
                <w:right w:val="none" w:sz="0" w:space="0" w:color="auto"/>
              </w:divBdr>
              <w:divsChild>
                <w:div w:id="790054668">
                  <w:marLeft w:val="0"/>
                  <w:marRight w:val="0"/>
                  <w:marTop w:val="0"/>
                  <w:marBottom w:val="0"/>
                  <w:divBdr>
                    <w:top w:val="none" w:sz="0" w:space="0" w:color="auto"/>
                    <w:left w:val="none" w:sz="0" w:space="0" w:color="auto"/>
                    <w:bottom w:val="none" w:sz="0" w:space="0" w:color="auto"/>
                    <w:right w:val="none" w:sz="0" w:space="0" w:color="auto"/>
                  </w:divBdr>
                </w:div>
              </w:divsChild>
            </w:div>
            <w:div w:id="634027514">
              <w:marLeft w:val="0"/>
              <w:marRight w:val="0"/>
              <w:marTop w:val="0"/>
              <w:marBottom w:val="0"/>
              <w:divBdr>
                <w:top w:val="none" w:sz="0" w:space="0" w:color="auto"/>
                <w:left w:val="none" w:sz="0" w:space="0" w:color="auto"/>
                <w:bottom w:val="none" w:sz="0" w:space="0" w:color="auto"/>
                <w:right w:val="none" w:sz="0" w:space="0" w:color="auto"/>
              </w:divBdr>
              <w:divsChild>
                <w:div w:id="1520653706">
                  <w:marLeft w:val="0"/>
                  <w:marRight w:val="0"/>
                  <w:marTop w:val="0"/>
                  <w:marBottom w:val="0"/>
                  <w:divBdr>
                    <w:top w:val="none" w:sz="0" w:space="0" w:color="auto"/>
                    <w:left w:val="none" w:sz="0" w:space="0" w:color="auto"/>
                    <w:bottom w:val="none" w:sz="0" w:space="0" w:color="auto"/>
                    <w:right w:val="none" w:sz="0" w:space="0" w:color="auto"/>
                  </w:divBdr>
                </w:div>
              </w:divsChild>
            </w:div>
            <w:div w:id="714767887">
              <w:marLeft w:val="0"/>
              <w:marRight w:val="0"/>
              <w:marTop w:val="0"/>
              <w:marBottom w:val="0"/>
              <w:divBdr>
                <w:top w:val="none" w:sz="0" w:space="0" w:color="auto"/>
                <w:left w:val="none" w:sz="0" w:space="0" w:color="auto"/>
                <w:bottom w:val="none" w:sz="0" w:space="0" w:color="auto"/>
                <w:right w:val="none" w:sz="0" w:space="0" w:color="auto"/>
              </w:divBdr>
              <w:divsChild>
                <w:div w:id="61028834">
                  <w:marLeft w:val="0"/>
                  <w:marRight w:val="0"/>
                  <w:marTop w:val="0"/>
                  <w:marBottom w:val="0"/>
                  <w:divBdr>
                    <w:top w:val="none" w:sz="0" w:space="0" w:color="auto"/>
                    <w:left w:val="none" w:sz="0" w:space="0" w:color="auto"/>
                    <w:bottom w:val="none" w:sz="0" w:space="0" w:color="auto"/>
                    <w:right w:val="none" w:sz="0" w:space="0" w:color="auto"/>
                  </w:divBdr>
                </w:div>
              </w:divsChild>
            </w:div>
            <w:div w:id="1422723261">
              <w:marLeft w:val="0"/>
              <w:marRight w:val="0"/>
              <w:marTop w:val="0"/>
              <w:marBottom w:val="0"/>
              <w:divBdr>
                <w:top w:val="none" w:sz="0" w:space="0" w:color="auto"/>
                <w:left w:val="none" w:sz="0" w:space="0" w:color="auto"/>
                <w:bottom w:val="none" w:sz="0" w:space="0" w:color="auto"/>
                <w:right w:val="none" w:sz="0" w:space="0" w:color="auto"/>
              </w:divBdr>
              <w:divsChild>
                <w:div w:id="596642969">
                  <w:marLeft w:val="0"/>
                  <w:marRight w:val="0"/>
                  <w:marTop w:val="0"/>
                  <w:marBottom w:val="0"/>
                  <w:divBdr>
                    <w:top w:val="none" w:sz="0" w:space="0" w:color="auto"/>
                    <w:left w:val="none" w:sz="0" w:space="0" w:color="auto"/>
                    <w:bottom w:val="none" w:sz="0" w:space="0" w:color="auto"/>
                    <w:right w:val="none" w:sz="0" w:space="0" w:color="auto"/>
                  </w:divBdr>
                </w:div>
              </w:divsChild>
            </w:div>
            <w:div w:id="1927225267">
              <w:marLeft w:val="0"/>
              <w:marRight w:val="0"/>
              <w:marTop w:val="0"/>
              <w:marBottom w:val="0"/>
              <w:divBdr>
                <w:top w:val="none" w:sz="0" w:space="0" w:color="auto"/>
                <w:left w:val="none" w:sz="0" w:space="0" w:color="auto"/>
                <w:bottom w:val="none" w:sz="0" w:space="0" w:color="auto"/>
                <w:right w:val="none" w:sz="0" w:space="0" w:color="auto"/>
              </w:divBdr>
              <w:divsChild>
                <w:div w:id="1105005979">
                  <w:marLeft w:val="0"/>
                  <w:marRight w:val="0"/>
                  <w:marTop w:val="0"/>
                  <w:marBottom w:val="0"/>
                  <w:divBdr>
                    <w:top w:val="none" w:sz="0" w:space="0" w:color="auto"/>
                    <w:left w:val="none" w:sz="0" w:space="0" w:color="auto"/>
                    <w:bottom w:val="none" w:sz="0" w:space="0" w:color="auto"/>
                    <w:right w:val="none" w:sz="0" w:space="0" w:color="auto"/>
                  </w:divBdr>
                </w:div>
              </w:divsChild>
            </w:div>
            <w:div w:id="1343319920">
              <w:marLeft w:val="0"/>
              <w:marRight w:val="0"/>
              <w:marTop w:val="0"/>
              <w:marBottom w:val="0"/>
              <w:divBdr>
                <w:top w:val="none" w:sz="0" w:space="0" w:color="auto"/>
                <w:left w:val="none" w:sz="0" w:space="0" w:color="auto"/>
                <w:bottom w:val="none" w:sz="0" w:space="0" w:color="auto"/>
                <w:right w:val="none" w:sz="0" w:space="0" w:color="auto"/>
              </w:divBdr>
              <w:divsChild>
                <w:div w:id="452553404">
                  <w:marLeft w:val="0"/>
                  <w:marRight w:val="0"/>
                  <w:marTop w:val="0"/>
                  <w:marBottom w:val="0"/>
                  <w:divBdr>
                    <w:top w:val="none" w:sz="0" w:space="0" w:color="auto"/>
                    <w:left w:val="none" w:sz="0" w:space="0" w:color="auto"/>
                    <w:bottom w:val="none" w:sz="0" w:space="0" w:color="auto"/>
                    <w:right w:val="none" w:sz="0" w:space="0" w:color="auto"/>
                  </w:divBdr>
                </w:div>
              </w:divsChild>
            </w:div>
            <w:div w:id="242615178">
              <w:marLeft w:val="0"/>
              <w:marRight w:val="0"/>
              <w:marTop w:val="0"/>
              <w:marBottom w:val="0"/>
              <w:divBdr>
                <w:top w:val="none" w:sz="0" w:space="0" w:color="auto"/>
                <w:left w:val="none" w:sz="0" w:space="0" w:color="auto"/>
                <w:bottom w:val="none" w:sz="0" w:space="0" w:color="auto"/>
                <w:right w:val="none" w:sz="0" w:space="0" w:color="auto"/>
              </w:divBdr>
              <w:divsChild>
                <w:div w:id="835922100">
                  <w:marLeft w:val="0"/>
                  <w:marRight w:val="0"/>
                  <w:marTop w:val="0"/>
                  <w:marBottom w:val="0"/>
                  <w:divBdr>
                    <w:top w:val="none" w:sz="0" w:space="0" w:color="auto"/>
                    <w:left w:val="none" w:sz="0" w:space="0" w:color="auto"/>
                    <w:bottom w:val="none" w:sz="0" w:space="0" w:color="auto"/>
                    <w:right w:val="none" w:sz="0" w:space="0" w:color="auto"/>
                  </w:divBdr>
                </w:div>
              </w:divsChild>
            </w:div>
            <w:div w:id="1361541402">
              <w:marLeft w:val="0"/>
              <w:marRight w:val="0"/>
              <w:marTop w:val="0"/>
              <w:marBottom w:val="0"/>
              <w:divBdr>
                <w:top w:val="none" w:sz="0" w:space="0" w:color="auto"/>
                <w:left w:val="none" w:sz="0" w:space="0" w:color="auto"/>
                <w:bottom w:val="none" w:sz="0" w:space="0" w:color="auto"/>
                <w:right w:val="none" w:sz="0" w:space="0" w:color="auto"/>
              </w:divBdr>
              <w:divsChild>
                <w:div w:id="1435054953">
                  <w:marLeft w:val="0"/>
                  <w:marRight w:val="0"/>
                  <w:marTop w:val="0"/>
                  <w:marBottom w:val="0"/>
                  <w:divBdr>
                    <w:top w:val="none" w:sz="0" w:space="0" w:color="auto"/>
                    <w:left w:val="none" w:sz="0" w:space="0" w:color="auto"/>
                    <w:bottom w:val="none" w:sz="0" w:space="0" w:color="auto"/>
                    <w:right w:val="none" w:sz="0" w:space="0" w:color="auto"/>
                  </w:divBdr>
                </w:div>
              </w:divsChild>
            </w:div>
            <w:div w:id="919212276">
              <w:marLeft w:val="0"/>
              <w:marRight w:val="0"/>
              <w:marTop w:val="0"/>
              <w:marBottom w:val="0"/>
              <w:divBdr>
                <w:top w:val="none" w:sz="0" w:space="0" w:color="auto"/>
                <w:left w:val="none" w:sz="0" w:space="0" w:color="auto"/>
                <w:bottom w:val="none" w:sz="0" w:space="0" w:color="auto"/>
                <w:right w:val="none" w:sz="0" w:space="0" w:color="auto"/>
              </w:divBdr>
              <w:divsChild>
                <w:div w:id="124155760">
                  <w:marLeft w:val="0"/>
                  <w:marRight w:val="0"/>
                  <w:marTop w:val="0"/>
                  <w:marBottom w:val="0"/>
                  <w:divBdr>
                    <w:top w:val="none" w:sz="0" w:space="0" w:color="auto"/>
                    <w:left w:val="none" w:sz="0" w:space="0" w:color="auto"/>
                    <w:bottom w:val="none" w:sz="0" w:space="0" w:color="auto"/>
                    <w:right w:val="none" w:sz="0" w:space="0" w:color="auto"/>
                  </w:divBdr>
                </w:div>
              </w:divsChild>
            </w:div>
            <w:div w:id="1519931222">
              <w:marLeft w:val="0"/>
              <w:marRight w:val="0"/>
              <w:marTop w:val="0"/>
              <w:marBottom w:val="0"/>
              <w:divBdr>
                <w:top w:val="none" w:sz="0" w:space="0" w:color="auto"/>
                <w:left w:val="none" w:sz="0" w:space="0" w:color="auto"/>
                <w:bottom w:val="none" w:sz="0" w:space="0" w:color="auto"/>
                <w:right w:val="none" w:sz="0" w:space="0" w:color="auto"/>
              </w:divBdr>
              <w:divsChild>
                <w:div w:id="2044286998">
                  <w:marLeft w:val="0"/>
                  <w:marRight w:val="0"/>
                  <w:marTop w:val="0"/>
                  <w:marBottom w:val="0"/>
                  <w:divBdr>
                    <w:top w:val="none" w:sz="0" w:space="0" w:color="auto"/>
                    <w:left w:val="none" w:sz="0" w:space="0" w:color="auto"/>
                    <w:bottom w:val="none" w:sz="0" w:space="0" w:color="auto"/>
                    <w:right w:val="none" w:sz="0" w:space="0" w:color="auto"/>
                  </w:divBdr>
                </w:div>
              </w:divsChild>
            </w:div>
            <w:div w:id="1339842496">
              <w:marLeft w:val="0"/>
              <w:marRight w:val="0"/>
              <w:marTop w:val="0"/>
              <w:marBottom w:val="0"/>
              <w:divBdr>
                <w:top w:val="none" w:sz="0" w:space="0" w:color="auto"/>
                <w:left w:val="none" w:sz="0" w:space="0" w:color="auto"/>
                <w:bottom w:val="none" w:sz="0" w:space="0" w:color="auto"/>
                <w:right w:val="none" w:sz="0" w:space="0" w:color="auto"/>
              </w:divBdr>
              <w:divsChild>
                <w:div w:id="426266018">
                  <w:marLeft w:val="0"/>
                  <w:marRight w:val="0"/>
                  <w:marTop w:val="0"/>
                  <w:marBottom w:val="0"/>
                  <w:divBdr>
                    <w:top w:val="none" w:sz="0" w:space="0" w:color="auto"/>
                    <w:left w:val="none" w:sz="0" w:space="0" w:color="auto"/>
                    <w:bottom w:val="none" w:sz="0" w:space="0" w:color="auto"/>
                    <w:right w:val="none" w:sz="0" w:space="0" w:color="auto"/>
                  </w:divBdr>
                </w:div>
              </w:divsChild>
            </w:div>
            <w:div w:id="1381441568">
              <w:marLeft w:val="0"/>
              <w:marRight w:val="0"/>
              <w:marTop w:val="0"/>
              <w:marBottom w:val="0"/>
              <w:divBdr>
                <w:top w:val="none" w:sz="0" w:space="0" w:color="auto"/>
                <w:left w:val="none" w:sz="0" w:space="0" w:color="auto"/>
                <w:bottom w:val="none" w:sz="0" w:space="0" w:color="auto"/>
                <w:right w:val="none" w:sz="0" w:space="0" w:color="auto"/>
              </w:divBdr>
              <w:divsChild>
                <w:div w:id="1894344640">
                  <w:marLeft w:val="0"/>
                  <w:marRight w:val="0"/>
                  <w:marTop w:val="0"/>
                  <w:marBottom w:val="0"/>
                  <w:divBdr>
                    <w:top w:val="none" w:sz="0" w:space="0" w:color="auto"/>
                    <w:left w:val="none" w:sz="0" w:space="0" w:color="auto"/>
                    <w:bottom w:val="none" w:sz="0" w:space="0" w:color="auto"/>
                    <w:right w:val="none" w:sz="0" w:space="0" w:color="auto"/>
                  </w:divBdr>
                </w:div>
              </w:divsChild>
            </w:div>
            <w:div w:id="1915895423">
              <w:marLeft w:val="0"/>
              <w:marRight w:val="0"/>
              <w:marTop w:val="0"/>
              <w:marBottom w:val="0"/>
              <w:divBdr>
                <w:top w:val="none" w:sz="0" w:space="0" w:color="auto"/>
                <w:left w:val="none" w:sz="0" w:space="0" w:color="auto"/>
                <w:bottom w:val="none" w:sz="0" w:space="0" w:color="auto"/>
                <w:right w:val="none" w:sz="0" w:space="0" w:color="auto"/>
              </w:divBdr>
              <w:divsChild>
                <w:div w:id="157766581">
                  <w:marLeft w:val="0"/>
                  <w:marRight w:val="0"/>
                  <w:marTop w:val="0"/>
                  <w:marBottom w:val="0"/>
                  <w:divBdr>
                    <w:top w:val="none" w:sz="0" w:space="0" w:color="auto"/>
                    <w:left w:val="none" w:sz="0" w:space="0" w:color="auto"/>
                    <w:bottom w:val="none" w:sz="0" w:space="0" w:color="auto"/>
                    <w:right w:val="none" w:sz="0" w:space="0" w:color="auto"/>
                  </w:divBdr>
                </w:div>
              </w:divsChild>
            </w:div>
            <w:div w:id="1319185627">
              <w:marLeft w:val="0"/>
              <w:marRight w:val="0"/>
              <w:marTop w:val="0"/>
              <w:marBottom w:val="0"/>
              <w:divBdr>
                <w:top w:val="none" w:sz="0" w:space="0" w:color="auto"/>
                <w:left w:val="none" w:sz="0" w:space="0" w:color="auto"/>
                <w:bottom w:val="none" w:sz="0" w:space="0" w:color="auto"/>
                <w:right w:val="none" w:sz="0" w:space="0" w:color="auto"/>
              </w:divBdr>
              <w:divsChild>
                <w:div w:id="799998991">
                  <w:marLeft w:val="0"/>
                  <w:marRight w:val="0"/>
                  <w:marTop w:val="0"/>
                  <w:marBottom w:val="0"/>
                  <w:divBdr>
                    <w:top w:val="none" w:sz="0" w:space="0" w:color="auto"/>
                    <w:left w:val="none" w:sz="0" w:space="0" w:color="auto"/>
                    <w:bottom w:val="none" w:sz="0" w:space="0" w:color="auto"/>
                    <w:right w:val="none" w:sz="0" w:space="0" w:color="auto"/>
                  </w:divBdr>
                </w:div>
              </w:divsChild>
            </w:div>
            <w:div w:id="1613392434">
              <w:marLeft w:val="0"/>
              <w:marRight w:val="0"/>
              <w:marTop w:val="0"/>
              <w:marBottom w:val="0"/>
              <w:divBdr>
                <w:top w:val="none" w:sz="0" w:space="0" w:color="auto"/>
                <w:left w:val="none" w:sz="0" w:space="0" w:color="auto"/>
                <w:bottom w:val="none" w:sz="0" w:space="0" w:color="auto"/>
                <w:right w:val="none" w:sz="0" w:space="0" w:color="auto"/>
              </w:divBdr>
              <w:divsChild>
                <w:div w:id="1868256798">
                  <w:marLeft w:val="0"/>
                  <w:marRight w:val="0"/>
                  <w:marTop w:val="0"/>
                  <w:marBottom w:val="0"/>
                  <w:divBdr>
                    <w:top w:val="none" w:sz="0" w:space="0" w:color="auto"/>
                    <w:left w:val="none" w:sz="0" w:space="0" w:color="auto"/>
                    <w:bottom w:val="none" w:sz="0" w:space="0" w:color="auto"/>
                    <w:right w:val="none" w:sz="0" w:space="0" w:color="auto"/>
                  </w:divBdr>
                </w:div>
              </w:divsChild>
            </w:div>
            <w:div w:id="1811945808">
              <w:marLeft w:val="0"/>
              <w:marRight w:val="0"/>
              <w:marTop w:val="0"/>
              <w:marBottom w:val="0"/>
              <w:divBdr>
                <w:top w:val="none" w:sz="0" w:space="0" w:color="auto"/>
                <w:left w:val="none" w:sz="0" w:space="0" w:color="auto"/>
                <w:bottom w:val="none" w:sz="0" w:space="0" w:color="auto"/>
                <w:right w:val="none" w:sz="0" w:space="0" w:color="auto"/>
              </w:divBdr>
              <w:divsChild>
                <w:div w:id="604658103">
                  <w:marLeft w:val="0"/>
                  <w:marRight w:val="0"/>
                  <w:marTop w:val="0"/>
                  <w:marBottom w:val="0"/>
                  <w:divBdr>
                    <w:top w:val="none" w:sz="0" w:space="0" w:color="auto"/>
                    <w:left w:val="none" w:sz="0" w:space="0" w:color="auto"/>
                    <w:bottom w:val="none" w:sz="0" w:space="0" w:color="auto"/>
                    <w:right w:val="none" w:sz="0" w:space="0" w:color="auto"/>
                  </w:divBdr>
                </w:div>
              </w:divsChild>
            </w:div>
            <w:div w:id="1992175874">
              <w:marLeft w:val="0"/>
              <w:marRight w:val="0"/>
              <w:marTop w:val="0"/>
              <w:marBottom w:val="0"/>
              <w:divBdr>
                <w:top w:val="none" w:sz="0" w:space="0" w:color="auto"/>
                <w:left w:val="none" w:sz="0" w:space="0" w:color="auto"/>
                <w:bottom w:val="none" w:sz="0" w:space="0" w:color="auto"/>
                <w:right w:val="none" w:sz="0" w:space="0" w:color="auto"/>
              </w:divBdr>
              <w:divsChild>
                <w:div w:id="879249583">
                  <w:marLeft w:val="0"/>
                  <w:marRight w:val="0"/>
                  <w:marTop w:val="0"/>
                  <w:marBottom w:val="0"/>
                  <w:divBdr>
                    <w:top w:val="none" w:sz="0" w:space="0" w:color="auto"/>
                    <w:left w:val="none" w:sz="0" w:space="0" w:color="auto"/>
                    <w:bottom w:val="none" w:sz="0" w:space="0" w:color="auto"/>
                    <w:right w:val="none" w:sz="0" w:space="0" w:color="auto"/>
                  </w:divBdr>
                </w:div>
              </w:divsChild>
            </w:div>
            <w:div w:id="1795446127">
              <w:marLeft w:val="0"/>
              <w:marRight w:val="0"/>
              <w:marTop w:val="0"/>
              <w:marBottom w:val="0"/>
              <w:divBdr>
                <w:top w:val="none" w:sz="0" w:space="0" w:color="auto"/>
                <w:left w:val="none" w:sz="0" w:space="0" w:color="auto"/>
                <w:bottom w:val="none" w:sz="0" w:space="0" w:color="auto"/>
                <w:right w:val="none" w:sz="0" w:space="0" w:color="auto"/>
              </w:divBdr>
              <w:divsChild>
                <w:div w:id="808474296">
                  <w:marLeft w:val="0"/>
                  <w:marRight w:val="0"/>
                  <w:marTop w:val="0"/>
                  <w:marBottom w:val="0"/>
                  <w:divBdr>
                    <w:top w:val="none" w:sz="0" w:space="0" w:color="auto"/>
                    <w:left w:val="none" w:sz="0" w:space="0" w:color="auto"/>
                    <w:bottom w:val="none" w:sz="0" w:space="0" w:color="auto"/>
                    <w:right w:val="none" w:sz="0" w:space="0" w:color="auto"/>
                  </w:divBdr>
                </w:div>
              </w:divsChild>
            </w:div>
            <w:div w:id="1805735582">
              <w:marLeft w:val="0"/>
              <w:marRight w:val="0"/>
              <w:marTop w:val="0"/>
              <w:marBottom w:val="0"/>
              <w:divBdr>
                <w:top w:val="none" w:sz="0" w:space="0" w:color="auto"/>
                <w:left w:val="none" w:sz="0" w:space="0" w:color="auto"/>
                <w:bottom w:val="none" w:sz="0" w:space="0" w:color="auto"/>
                <w:right w:val="none" w:sz="0" w:space="0" w:color="auto"/>
              </w:divBdr>
              <w:divsChild>
                <w:div w:id="667635003">
                  <w:marLeft w:val="0"/>
                  <w:marRight w:val="0"/>
                  <w:marTop w:val="0"/>
                  <w:marBottom w:val="0"/>
                  <w:divBdr>
                    <w:top w:val="none" w:sz="0" w:space="0" w:color="auto"/>
                    <w:left w:val="none" w:sz="0" w:space="0" w:color="auto"/>
                    <w:bottom w:val="none" w:sz="0" w:space="0" w:color="auto"/>
                    <w:right w:val="none" w:sz="0" w:space="0" w:color="auto"/>
                  </w:divBdr>
                </w:div>
              </w:divsChild>
            </w:div>
            <w:div w:id="1365667868">
              <w:marLeft w:val="0"/>
              <w:marRight w:val="0"/>
              <w:marTop w:val="0"/>
              <w:marBottom w:val="0"/>
              <w:divBdr>
                <w:top w:val="none" w:sz="0" w:space="0" w:color="auto"/>
                <w:left w:val="none" w:sz="0" w:space="0" w:color="auto"/>
                <w:bottom w:val="none" w:sz="0" w:space="0" w:color="auto"/>
                <w:right w:val="none" w:sz="0" w:space="0" w:color="auto"/>
              </w:divBdr>
              <w:divsChild>
                <w:div w:id="2125688501">
                  <w:marLeft w:val="0"/>
                  <w:marRight w:val="0"/>
                  <w:marTop w:val="0"/>
                  <w:marBottom w:val="0"/>
                  <w:divBdr>
                    <w:top w:val="none" w:sz="0" w:space="0" w:color="auto"/>
                    <w:left w:val="none" w:sz="0" w:space="0" w:color="auto"/>
                    <w:bottom w:val="none" w:sz="0" w:space="0" w:color="auto"/>
                    <w:right w:val="none" w:sz="0" w:space="0" w:color="auto"/>
                  </w:divBdr>
                </w:div>
              </w:divsChild>
            </w:div>
            <w:div w:id="198589024">
              <w:marLeft w:val="0"/>
              <w:marRight w:val="0"/>
              <w:marTop w:val="0"/>
              <w:marBottom w:val="0"/>
              <w:divBdr>
                <w:top w:val="none" w:sz="0" w:space="0" w:color="auto"/>
                <w:left w:val="none" w:sz="0" w:space="0" w:color="auto"/>
                <w:bottom w:val="none" w:sz="0" w:space="0" w:color="auto"/>
                <w:right w:val="none" w:sz="0" w:space="0" w:color="auto"/>
              </w:divBdr>
              <w:divsChild>
                <w:div w:id="283737124">
                  <w:marLeft w:val="0"/>
                  <w:marRight w:val="0"/>
                  <w:marTop w:val="0"/>
                  <w:marBottom w:val="0"/>
                  <w:divBdr>
                    <w:top w:val="none" w:sz="0" w:space="0" w:color="auto"/>
                    <w:left w:val="none" w:sz="0" w:space="0" w:color="auto"/>
                    <w:bottom w:val="none" w:sz="0" w:space="0" w:color="auto"/>
                    <w:right w:val="none" w:sz="0" w:space="0" w:color="auto"/>
                  </w:divBdr>
                </w:div>
              </w:divsChild>
            </w:div>
            <w:div w:id="1115520803">
              <w:marLeft w:val="0"/>
              <w:marRight w:val="0"/>
              <w:marTop w:val="0"/>
              <w:marBottom w:val="0"/>
              <w:divBdr>
                <w:top w:val="none" w:sz="0" w:space="0" w:color="auto"/>
                <w:left w:val="none" w:sz="0" w:space="0" w:color="auto"/>
                <w:bottom w:val="none" w:sz="0" w:space="0" w:color="auto"/>
                <w:right w:val="none" w:sz="0" w:space="0" w:color="auto"/>
              </w:divBdr>
              <w:divsChild>
                <w:div w:id="287785830">
                  <w:marLeft w:val="0"/>
                  <w:marRight w:val="0"/>
                  <w:marTop w:val="0"/>
                  <w:marBottom w:val="0"/>
                  <w:divBdr>
                    <w:top w:val="none" w:sz="0" w:space="0" w:color="auto"/>
                    <w:left w:val="none" w:sz="0" w:space="0" w:color="auto"/>
                    <w:bottom w:val="none" w:sz="0" w:space="0" w:color="auto"/>
                    <w:right w:val="none" w:sz="0" w:space="0" w:color="auto"/>
                  </w:divBdr>
                </w:div>
              </w:divsChild>
            </w:div>
            <w:div w:id="2129468802">
              <w:marLeft w:val="0"/>
              <w:marRight w:val="0"/>
              <w:marTop w:val="0"/>
              <w:marBottom w:val="0"/>
              <w:divBdr>
                <w:top w:val="none" w:sz="0" w:space="0" w:color="auto"/>
                <w:left w:val="none" w:sz="0" w:space="0" w:color="auto"/>
                <w:bottom w:val="none" w:sz="0" w:space="0" w:color="auto"/>
                <w:right w:val="none" w:sz="0" w:space="0" w:color="auto"/>
              </w:divBdr>
              <w:divsChild>
                <w:div w:id="110975422">
                  <w:marLeft w:val="0"/>
                  <w:marRight w:val="0"/>
                  <w:marTop w:val="0"/>
                  <w:marBottom w:val="0"/>
                  <w:divBdr>
                    <w:top w:val="none" w:sz="0" w:space="0" w:color="auto"/>
                    <w:left w:val="none" w:sz="0" w:space="0" w:color="auto"/>
                    <w:bottom w:val="none" w:sz="0" w:space="0" w:color="auto"/>
                    <w:right w:val="none" w:sz="0" w:space="0" w:color="auto"/>
                  </w:divBdr>
                </w:div>
              </w:divsChild>
            </w:div>
            <w:div w:id="1863472090">
              <w:marLeft w:val="0"/>
              <w:marRight w:val="0"/>
              <w:marTop w:val="0"/>
              <w:marBottom w:val="0"/>
              <w:divBdr>
                <w:top w:val="none" w:sz="0" w:space="0" w:color="auto"/>
                <w:left w:val="none" w:sz="0" w:space="0" w:color="auto"/>
                <w:bottom w:val="none" w:sz="0" w:space="0" w:color="auto"/>
                <w:right w:val="none" w:sz="0" w:space="0" w:color="auto"/>
              </w:divBdr>
              <w:divsChild>
                <w:div w:id="781190941">
                  <w:marLeft w:val="0"/>
                  <w:marRight w:val="0"/>
                  <w:marTop w:val="0"/>
                  <w:marBottom w:val="0"/>
                  <w:divBdr>
                    <w:top w:val="none" w:sz="0" w:space="0" w:color="auto"/>
                    <w:left w:val="none" w:sz="0" w:space="0" w:color="auto"/>
                    <w:bottom w:val="none" w:sz="0" w:space="0" w:color="auto"/>
                    <w:right w:val="none" w:sz="0" w:space="0" w:color="auto"/>
                  </w:divBdr>
                </w:div>
              </w:divsChild>
            </w:div>
            <w:div w:id="1853959016">
              <w:marLeft w:val="0"/>
              <w:marRight w:val="0"/>
              <w:marTop w:val="0"/>
              <w:marBottom w:val="0"/>
              <w:divBdr>
                <w:top w:val="none" w:sz="0" w:space="0" w:color="auto"/>
                <w:left w:val="none" w:sz="0" w:space="0" w:color="auto"/>
                <w:bottom w:val="none" w:sz="0" w:space="0" w:color="auto"/>
                <w:right w:val="none" w:sz="0" w:space="0" w:color="auto"/>
              </w:divBdr>
              <w:divsChild>
                <w:div w:id="1646158841">
                  <w:marLeft w:val="0"/>
                  <w:marRight w:val="0"/>
                  <w:marTop w:val="0"/>
                  <w:marBottom w:val="0"/>
                  <w:divBdr>
                    <w:top w:val="none" w:sz="0" w:space="0" w:color="auto"/>
                    <w:left w:val="none" w:sz="0" w:space="0" w:color="auto"/>
                    <w:bottom w:val="none" w:sz="0" w:space="0" w:color="auto"/>
                    <w:right w:val="none" w:sz="0" w:space="0" w:color="auto"/>
                  </w:divBdr>
                </w:div>
              </w:divsChild>
            </w:div>
            <w:div w:id="132799411">
              <w:marLeft w:val="0"/>
              <w:marRight w:val="0"/>
              <w:marTop w:val="0"/>
              <w:marBottom w:val="0"/>
              <w:divBdr>
                <w:top w:val="none" w:sz="0" w:space="0" w:color="auto"/>
                <w:left w:val="none" w:sz="0" w:space="0" w:color="auto"/>
                <w:bottom w:val="none" w:sz="0" w:space="0" w:color="auto"/>
                <w:right w:val="none" w:sz="0" w:space="0" w:color="auto"/>
              </w:divBdr>
              <w:divsChild>
                <w:div w:id="1471023522">
                  <w:marLeft w:val="0"/>
                  <w:marRight w:val="0"/>
                  <w:marTop w:val="0"/>
                  <w:marBottom w:val="0"/>
                  <w:divBdr>
                    <w:top w:val="none" w:sz="0" w:space="0" w:color="auto"/>
                    <w:left w:val="none" w:sz="0" w:space="0" w:color="auto"/>
                    <w:bottom w:val="none" w:sz="0" w:space="0" w:color="auto"/>
                    <w:right w:val="none" w:sz="0" w:space="0" w:color="auto"/>
                  </w:divBdr>
                </w:div>
              </w:divsChild>
            </w:div>
            <w:div w:id="1187137056">
              <w:marLeft w:val="0"/>
              <w:marRight w:val="0"/>
              <w:marTop w:val="0"/>
              <w:marBottom w:val="0"/>
              <w:divBdr>
                <w:top w:val="none" w:sz="0" w:space="0" w:color="auto"/>
                <w:left w:val="none" w:sz="0" w:space="0" w:color="auto"/>
                <w:bottom w:val="none" w:sz="0" w:space="0" w:color="auto"/>
                <w:right w:val="none" w:sz="0" w:space="0" w:color="auto"/>
              </w:divBdr>
              <w:divsChild>
                <w:div w:id="2121097345">
                  <w:marLeft w:val="0"/>
                  <w:marRight w:val="0"/>
                  <w:marTop w:val="0"/>
                  <w:marBottom w:val="0"/>
                  <w:divBdr>
                    <w:top w:val="none" w:sz="0" w:space="0" w:color="auto"/>
                    <w:left w:val="none" w:sz="0" w:space="0" w:color="auto"/>
                    <w:bottom w:val="none" w:sz="0" w:space="0" w:color="auto"/>
                    <w:right w:val="none" w:sz="0" w:space="0" w:color="auto"/>
                  </w:divBdr>
                </w:div>
              </w:divsChild>
            </w:div>
            <w:div w:id="1564874689">
              <w:marLeft w:val="0"/>
              <w:marRight w:val="0"/>
              <w:marTop w:val="0"/>
              <w:marBottom w:val="0"/>
              <w:divBdr>
                <w:top w:val="none" w:sz="0" w:space="0" w:color="auto"/>
                <w:left w:val="none" w:sz="0" w:space="0" w:color="auto"/>
                <w:bottom w:val="none" w:sz="0" w:space="0" w:color="auto"/>
                <w:right w:val="none" w:sz="0" w:space="0" w:color="auto"/>
              </w:divBdr>
              <w:divsChild>
                <w:div w:id="1696885596">
                  <w:marLeft w:val="0"/>
                  <w:marRight w:val="0"/>
                  <w:marTop w:val="0"/>
                  <w:marBottom w:val="0"/>
                  <w:divBdr>
                    <w:top w:val="none" w:sz="0" w:space="0" w:color="auto"/>
                    <w:left w:val="none" w:sz="0" w:space="0" w:color="auto"/>
                    <w:bottom w:val="none" w:sz="0" w:space="0" w:color="auto"/>
                    <w:right w:val="none" w:sz="0" w:space="0" w:color="auto"/>
                  </w:divBdr>
                </w:div>
              </w:divsChild>
            </w:div>
            <w:div w:id="1165319281">
              <w:marLeft w:val="0"/>
              <w:marRight w:val="0"/>
              <w:marTop w:val="0"/>
              <w:marBottom w:val="0"/>
              <w:divBdr>
                <w:top w:val="none" w:sz="0" w:space="0" w:color="auto"/>
                <w:left w:val="none" w:sz="0" w:space="0" w:color="auto"/>
                <w:bottom w:val="none" w:sz="0" w:space="0" w:color="auto"/>
                <w:right w:val="none" w:sz="0" w:space="0" w:color="auto"/>
              </w:divBdr>
              <w:divsChild>
                <w:div w:id="1307248302">
                  <w:marLeft w:val="0"/>
                  <w:marRight w:val="0"/>
                  <w:marTop w:val="0"/>
                  <w:marBottom w:val="0"/>
                  <w:divBdr>
                    <w:top w:val="none" w:sz="0" w:space="0" w:color="auto"/>
                    <w:left w:val="none" w:sz="0" w:space="0" w:color="auto"/>
                    <w:bottom w:val="none" w:sz="0" w:space="0" w:color="auto"/>
                    <w:right w:val="none" w:sz="0" w:space="0" w:color="auto"/>
                  </w:divBdr>
                </w:div>
              </w:divsChild>
            </w:div>
            <w:div w:id="806775385">
              <w:marLeft w:val="0"/>
              <w:marRight w:val="0"/>
              <w:marTop w:val="0"/>
              <w:marBottom w:val="0"/>
              <w:divBdr>
                <w:top w:val="none" w:sz="0" w:space="0" w:color="auto"/>
                <w:left w:val="none" w:sz="0" w:space="0" w:color="auto"/>
                <w:bottom w:val="none" w:sz="0" w:space="0" w:color="auto"/>
                <w:right w:val="none" w:sz="0" w:space="0" w:color="auto"/>
              </w:divBdr>
              <w:divsChild>
                <w:div w:id="190388087">
                  <w:marLeft w:val="0"/>
                  <w:marRight w:val="0"/>
                  <w:marTop w:val="0"/>
                  <w:marBottom w:val="0"/>
                  <w:divBdr>
                    <w:top w:val="none" w:sz="0" w:space="0" w:color="auto"/>
                    <w:left w:val="none" w:sz="0" w:space="0" w:color="auto"/>
                    <w:bottom w:val="none" w:sz="0" w:space="0" w:color="auto"/>
                    <w:right w:val="none" w:sz="0" w:space="0" w:color="auto"/>
                  </w:divBdr>
                </w:div>
              </w:divsChild>
            </w:div>
            <w:div w:id="1619220997">
              <w:marLeft w:val="0"/>
              <w:marRight w:val="0"/>
              <w:marTop w:val="0"/>
              <w:marBottom w:val="0"/>
              <w:divBdr>
                <w:top w:val="none" w:sz="0" w:space="0" w:color="auto"/>
                <w:left w:val="none" w:sz="0" w:space="0" w:color="auto"/>
                <w:bottom w:val="none" w:sz="0" w:space="0" w:color="auto"/>
                <w:right w:val="none" w:sz="0" w:space="0" w:color="auto"/>
              </w:divBdr>
              <w:divsChild>
                <w:div w:id="1934900110">
                  <w:marLeft w:val="0"/>
                  <w:marRight w:val="0"/>
                  <w:marTop w:val="0"/>
                  <w:marBottom w:val="0"/>
                  <w:divBdr>
                    <w:top w:val="none" w:sz="0" w:space="0" w:color="auto"/>
                    <w:left w:val="none" w:sz="0" w:space="0" w:color="auto"/>
                    <w:bottom w:val="none" w:sz="0" w:space="0" w:color="auto"/>
                    <w:right w:val="none" w:sz="0" w:space="0" w:color="auto"/>
                  </w:divBdr>
                </w:div>
              </w:divsChild>
            </w:div>
            <w:div w:id="560755379">
              <w:marLeft w:val="0"/>
              <w:marRight w:val="0"/>
              <w:marTop w:val="0"/>
              <w:marBottom w:val="0"/>
              <w:divBdr>
                <w:top w:val="none" w:sz="0" w:space="0" w:color="auto"/>
                <w:left w:val="none" w:sz="0" w:space="0" w:color="auto"/>
                <w:bottom w:val="none" w:sz="0" w:space="0" w:color="auto"/>
                <w:right w:val="none" w:sz="0" w:space="0" w:color="auto"/>
              </w:divBdr>
              <w:divsChild>
                <w:div w:id="544802037">
                  <w:marLeft w:val="0"/>
                  <w:marRight w:val="0"/>
                  <w:marTop w:val="0"/>
                  <w:marBottom w:val="0"/>
                  <w:divBdr>
                    <w:top w:val="none" w:sz="0" w:space="0" w:color="auto"/>
                    <w:left w:val="none" w:sz="0" w:space="0" w:color="auto"/>
                    <w:bottom w:val="none" w:sz="0" w:space="0" w:color="auto"/>
                    <w:right w:val="none" w:sz="0" w:space="0" w:color="auto"/>
                  </w:divBdr>
                </w:div>
              </w:divsChild>
            </w:div>
            <w:div w:id="1347487587">
              <w:marLeft w:val="0"/>
              <w:marRight w:val="0"/>
              <w:marTop w:val="0"/>
              <w:marBottom w:val="0"/>
              <w:divBdr>
                <w:top w:val="none" w:sz="0" w:space="0" w:color="auto"/>
                <w:left w:val="none" w:sz="0" w:space="0" w:color="auto"/>
                <w:bottom w:val="none" w:sz="0" w:space="0" w:color="auto"/>
                <w:right w:val="none" w:sz="0" w:space="0" w:color="auto"/>
              </w:divBdr>
              <w:divsChild>
                <w:div w:id="1988364834">
                  <w:marLeft w:val="0"/>
                  <w:marRight w:val="0"/>
                  <w:marTop w:val="0"/>
                  <w:marBottom w:val="0"/>
                  <w:divBdr>
                    <w:top w:val="none" w:sz="0" w:space="0" w:color="auto"/>
                    <w:left w:val="none" w:sz="0" w:space="0" w:color="auto"/>
                    <w:bottom w:val="none" w:sz="0" w:space="0" w:color="auto"/>
                    <w:right w:val="none" w:sz="0" w:space="0" w:color="auto"/>
                  </w:divBdr>
                </w:div>
              </w:divsChild>
            </w:div>
            <w:div w:id="1148548217">
              <w:marLeft w:val="0"/>
              <w:marRight w:val="0"/>
              <w:marTop w:val="0"/>
              <w:marBottom w:val="0"/>
              <w:divBdr>
                <w:top w:val="none" w:sz="0" w:space="0" w:color="auto"/>
                <w:left w:val="none" w:sz="0" w:space="0" w:color="auto"/>
                <w:bottom w:val="none" w:sz="0" w:space="0" w:color="auto"/>
                <w:right w:val="none" w:sz="0" w:space="0" w:color="auto"/>
              </w:divBdr>
              <w:divsChild>
                <w:div w:id="1950813060">
                  <w:marLeft w:val="0"/>
                  <w:marRight w:val="0"/>
                  <w:marTop w:val="0"/>
                  <w:marBottom w:val="0"/>
                  <w:divBdr>
                    <w:top w:val="none" w:sz="0" w:space="0" w:color="auto"/>
                    <w:left w:val="none" w:sz="0" w:space="0" w:color="auto"/>
                    <w:bottom w:val="none" w:sz="0" w:space="0" w:color="auto"/>
                    <w:right w:val="none" w:sz="0" w:space="0" w:color="auto"/>
                  </w:divBdr>
                </w:div>
              </w:divsChild>
            </w:div>
            <w:div w:id="294869053">
              <w:marLeft w:val="0"/>
              <w:marRight w:val="0"/>
              <w:marTop w:val="0"/>
              <w:marBottom w:val="0"/>
              <w:divBdr>
                <w:top w:val="none" w:sz="0" w:space="0" w:color="auto"/>
                <w:left w:val="none" w:sz="0" w:space="0" w:color="auto"/>
                <w:bottom w:val="none" w:sz="0" w:space="0" w:color="auto"/>
                <w:right w:val="none" w:sz="0" w:space="0" w:color="auto"/>
              </w:divBdr>
              <w:divsChild>
                <w:div w:id="2103912915">
                  <w:marLeft w:val="0"/>
                  <w:marRight w:val="0"/>
                  <w:marTop w:val="0"/>
                  <w:marBottom w:val="0"/>
                  <w:divBdr>
                    <w:top w:val="none" w:sz="0" w:space="0" w:color="auto"/>
                    <w:left w:val="none" w:sz="0" w:space="0" w:color="auto"/>
                    <w:bottom w:val="none" w:sz="0" w:space="0" w:color="auto"/>
                    <w:right w:val="none" w:sz="0" w:space="0" w:color="auto"/>
                  </w:divBdr>
                </w:div>
              </w:divsChild>
            </w:div>
            <w:div w:id="1724671651">
              <w:marLeft w:val="0"/>
              <w:marRight w:val="0"/>
              <w:marTop w:val="0"/>
              <w:marBottom w:val="0"/>
              <w:divBdr>
                <w:top w:val="none" w:sz="0" w:space="0" w:color="auto"/>
                <w:left w:val="none" w:sz="0" w:space="0" w:color="auto"/>
                <w:bottom w:val="none" w:sz="0" w:space="0" w:color="auto"/>
                <w:right w:val="none" w:sz="0" w:space="0" w:color="auto"/>
              </w:divBdr>
              <w:divsChild>
                <w:div w:id="9506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166">
          <w:marLeft w:val="0"/>
          <w:marRight w:val="0"/>
          <w:marTop w:val="0"/>
          <w:marBottom w:val="600"/>
          <w:divBdr>
            <w:top w:val="none" w:sz="0" w:space="0" w:color="auto"/>
            <w:left w:val="none" w:sz="0" w:space="0" w:color="auto"/>
            <w:bottom w:val="none" w:sz="0" w:space="0" w:color="auto"/>
            <w:right w:val="none" w:sz="0" w:space="0" w:color="auto"/>
          </w:divBdr>
        </w:div>
      </w:divsChild>
    </w:div>
    <w:div w:id="743071456">
      <w:marLeft w:val="0"/>
      <w:marRight w:val="0"/>
      <w:marTop w:val="0"/>
      <w:marBottom w:val="0"/>
      <w:divBdr>
        <w:top w:val="none" w:sz="0" w:space="0" w:color="auto"/>
        <w:left w:val="none" w:sz="0" w:space="0" w:color="auto"/>
        <w:bottom w:val="none" w:sz="0" w:space="0" w:color="auto"/>
        <w:right w:val="none" w:sz="0" w:space="0" w:color="auto"/>
      </w:divBdr>
      <w:divsChild>
        <w:div w:id="1372415298">
          <w:marLeft w:val="0"/>
          <w:marRight w:val="0"/>
          <w:marTop w:val="600"/>
          <w:marBottom w:val="0"/>
          <w:divBdr>
            <w:top w:val="none" w:sz="0" w:space="0" w:color="auto"/>
            <w:left w:val="none" w:sz="0" w:space="0" w:color="auto"/>
            <w:bottom w:val="none" w:sz="0" w:space="0" w:color="auto"/>
            <w:right w:val="none" w:sz="0" w:space="0" w:color="auto"/>
          </w:divBdr>
        </w:div>
        <w:div w:id="780075352">
          <w:marLeft w:val="0"/>
          <w:marRight w:val="0"/>
          <w:marTop w:val="0"/>
          <w:marBottom w:val="0"/>
          <w:divBdr>
            <w:top w:val="none" w:sz="0" w:space="0" w:color="auto"/>
            <w:left w:val="none" w:sz="0" w:space="0" w:color="auto"/>
            <w:bottom w:val="none" w:sz="0" w:space="0" w:color="auto"/>
            <w:right w:val="none" w:sz="0" w:space="0" w:color="auto"/>
          </w:divBdr>
        </w:div>
        <w:div w:id="122114722">
          <w:marLeft w:val="0"/>
          <w:marRight w:val="0"/>
          <w:marTop w:val="0"/>
          <w:marBottom w:val="600"/>
          <w:divBdr>
            <w:top w:val="none" w:sz="0" w:space="0" w:color="auto"/>
            <w:left w:val="none" w:sz="0" w:space="0" w:color="auto"/>
            <w:bottom w:val="none" w:sz="0" w:space="0" w:color="auto"/>
            <w:right w:val="none" w:sz="0" w:space="0" w:color="auto"/>
          </w:divBdr>
        </w:div>
      </w:divsChild>
    </w:div>
    <w:div w:id="766541257">
      <w:marLeft w:val="0"/>
      <w:marRight w:val="0"/>
      <w:marTop w:val="0"/>
      <w:marBottom w:val="0"/>
      <w:divBdr>
        <w:top w:val="none" w:sz="0" w:space="0" w:color="auto"/>
        <w:left w:val="none" w:sz="0" w:space="0" w:color="auto"/>
        <w:bottom w:val="none" w:sz="0" w:space="0" w:color="auto"/>
        <w:right w:val="none" w:sz="0" w:space="0" w:color="auto"/>
      </w:divBdr>
      <w:divsChild>
        <w:div w:id="503325569">
          <w:marLeft w:val="0"/>
          <w:marRight w:val="0"/>
          <w:marTop w:val="600"/>
          <w:marBottom w:val="0"/>
          <w:divBdr>
            <w:top w:val="none" w:sz="0" w:space="0" w:color="auto"/>
            <w:left w:val="none" w:sz="0" w:space="0" w:color="auto"/>
            <w:bottom w:val="none" w:sz="0" w:space="0" w:color="auto"/>
            <w:right w:val="none" w:sz="0" w:space="0" w:color="auto"/>
          </w:divBdr>
        </w:div>
        <w:div w:id="1959412216">
          <w:marLeft w:val="0"/>
          <w:marRight w:val="0"/>
          <w:marTop w:val="0"/>
          <w:marBottom w:val="0"/>
          <w:divBdr>
            <w:top w:val="none" w:sz="0" w:space="0" w:color="auto"/>
            <w:left w:val="none" w:sz="0" w:space="0" w:color="auto"/>
            <w:bottom w:val="none" w:sz="0" w:space="0" w:color="auto"/>
            <w:right w:val="none" w:sz="0" w:space="0" w:color="auto"/>
          </w:divBdr>
          <w:divsChild>
            <w:div w:id="522785679">
              <w:marLeft w:val="547"/>
              <w:marRight w:val="0"/>
              <w:marTop w:val="0"/>
              <w:marBottom w:val="0"/>
              <w:divBdr>
                <w:top w:val="none" w:sz="0" w:space="0" w:color="auto"/>
                <w:left w:val="none" w:sz="0" w:space="0" w:color="auto"/>
                <w:bottom w:val="none" w:sz="0" w:space="0" w:color="auto"/>
                <w:right w:val="none" w:sz="0" w:space="0" w:color="auto"/>
              </w:divBdr>
            </w:div>
            <w:div w:id="1454985043">
              <w:marLeft w:val="547"/>
              <w:marRight w:val="0"/>
              <w:marTop w:val="0"/>
              <w:marBottom w:val="0"/>
              <w:divBdr>
                <w:top w:val="none" w:sz="0" w:space="0" w:color="auto"/>
                <w:left w:val="none" w:sz="0" w:space="0" w:color="auto"/>
                <w:bottom w:val="none" w:sz="0" w:space="0" w:color="auto"/>
                <w:right w:val="none" w:sz="0" w:space="0" w:color="auto"/>
              </w:divBdr>
            </w:div>
            <w:div w:id="983193015">
              <w:marLeft w:val="547"/>
              <w:marRight w:val="0"/>
              <w:marTop w:val="0"/>
              <w:marBottom w:val="0"/>
              <w:divBdr>
                <w:top w:val="none" w:sz="0" w:space="0" w:color="auto"/>
                <w:left w:val="none" w:sz="0" w:space="0" w:color="auto"/>
                <w:bottom w:val="none" w:sz="0" w:space="0" w:color="auto"/>
                <w:right w:val="none" w:sz="0" w:space="0" w:color="auto"/>
              </w:divBdr>
            </w:div>
            <w:div w:id="1704400332">
              <w:marLeft w:val="547"/>
              <w:marRight w:val="0"/>
              <w:marTop w:val="0"/>
              <w:marBottom w:val="0"/>
              <w:divBdr>
                <w:top w:val="none" w:sz="0" w:space="0" w:color="auto"/>
                <w:left w:val="none" w:sz="0" w:space="0" w:color="auto"/>
                <w:bottom w:val="none" w:sz="0" w:space="0" w:color="auto"/>
                <w:right w:val="none" w:sz="0" w:space="0" w:color="auto"/>
              </w:divBdr>
            </w:div>
            <w:div w:id="1357972188">
              <w:marLeft w:val="547"/>
              <w:marRight w:val="0"/>
              <w:marTop w:val="0"/>
              <w:marBottom w:val="0"/>
              <w:divBdr>
                <w:top w:val="none" w:sz="0" w:space="0" w:color="auto"/>
                <w:left w:val="none" w:sz="0" w:space="0" w:color="auto"/>
                <w:bottom w:val="none" w:sz="0" w:space="0" w:color="auto"/>
                <w:right w:val="none" w:sz="0" w:space="0" w:color="auto"/>
              </w:divBdr>
            </w:div>
            <w:div w:id="942684604">
              <w:marLeft w:val="547"/>
              <w:marRight w:val="0"/>
              <w:marTop w:val="0"/>
              <w:marBottom w:val="0"/>
              <w:divBdr>
                <w:top w:val="none" w:sz="0" w:space="0" w:color="auto"/>
                <w:left w:val="none" w:sz="0" w:space="0" w:color="auto"/>
                <w:bottom w:val="none" w:sz="0" w:space="0" w:color="auto"/>
                <w:right w:val="none" w:sz="0" w:space="0" w:color="auto"/>
              </w:divBdr>
            </w:div>
          </w:divsChild>
        </w:div>
        <w:div w:id="1740051565">
          <w:marLeft w:val="0"/>
          <w:marRight w:val="0"/>
          <w:marTop w:val="0"/>
          <w:marBottom w:val="600"/>
          <w:divBdr>
            <w:top w:val="none" w:sz="0" w:space="0" w:color="auto"/>
            <w:left w:val="none" w:sz="0" w:space="0" w:color="auto"/>
            <w:bottom w:val="none" w:sz="0" w:space="0" w:color="auto"/>
            <w:right w:val="none" w:sz="0" w:space="0" w:color="auto"/>
          </w:divBdr>
        </w:div>
      </w:divsChild>
    </w:div>
    <w:div w:id="804860531">
      <w:marLeft w:val="0"/>
      <w:marRight w:val="0"/>
      <w:marTop w:val="0"/>
      <w:marBottom w:val="0"/>
      <w:divBdr>
        <w:top w:val="none" w:sz="0" w:space="0" w:color="auto"/>
        <w:left w:val="none" w:sz="0" w:space="0" w:color="auto"/>
        <w:bottom w:val="none" w:sz="0" w:space="0" w:color="auto"/>
        <w:right w:val="none" w:sz="0" w:space="0" w:color="auto"/>
      </w:divBdr>
      <w:divsChild>
        <w:div w:id="1561558568">
          <w:marLeft w:val="0"/>
          <w:marRight w:val="0"/>
          <w:marTop w:val="600"/>
          <w:marBottom w:val="0"/>
          <w:divBdr>
            <w:top w:val="none" w:sz="0" w:space="0" w:color="auto"/>
            <w:left w:val="none" w:sz="0" w:space="0" w:color="auto"/>
            <w:bottom w:val="none" w:sz="0" w:space="0" w:color="auto"/>
            <w:right w:val="none" w:sz="0" w:space="0" w:color="auto"/>
          </w:divBdr>
        </w:div>
        <w:div w:id="2711529">
          <w:marLeft w:val="0"/>
          <w:marRight w:val="0"/>
          <w:marTop w:val="0"/>
          <w:marBottom w:val="0"/>
          <w:divBdr>
            <w:top w:val="none" w:sz="0" w:space="0" w:color="auto"/>
            <w:left w:val="none" w:sz="0" w:space="0" w:color="auto"/>
            <w:bottom w:val="none" w:sz="0" w:space="0" w:color="auto"/>
            <w:right w:val="none" w:sz="0" w:space="0" w:color="auto"/>
          </w:divBdr>
        </w:div>
        <w:div w:id="145511634">
          <w:marLeft w:val="0"/>
          <w:marRight w:val="0"/>
          <w:marTop w:val="0"/>
          <w:marBottom w:val="600"/>
          <w:divBdr>
            <w:top w:val="none" w:sz="0" w:space="0" w:color="auto"/>
            <w:left w:val="none" w:sz="0" w:space="0" w:color="auto"/>
            <w:bottom w:val="none" w:sz="0" w:space="0" w:color="auto"/>
            <w:right w:val="none" w:sz="0" w:space="0" w:color="auto"/>
          </w:divBdr>
        </w:div>
      </w:divsChild>
    </w:div>
    <w:div w:id="824973337">
      <w:marLeft w:val="0"/>
      <w:marRight w:val="0"/>
      <w:marTop w:val="0"/>
      <w:marBottom w:val="0"/>
      <w:divBdr>
        <w:top w:val="none" w:sz="0" w:space="0" w:color="auto"/>
        <w:left w:val="none" w:sz="0" w:space="0" w:color="auto"/>
        <w:bottom w:val="none" w:sz="0" w:space="0" w:color="auto"/>
        <w:right w:val="none" w:sz="0" w:space="0" w:color="auto"/>
      </w:divBdr>
      <w:divsChild>
        <w:div w:id="233666821">
          <w:marLeft w:val="0"/>
          <w:marRight w:val="0"/>
          <w:marTop w:val="600"/>
          <w:marBottom w:val="0"/>
          <w:divBdr>
            <w:top w:val="none" w:sz="0" w:space="0" w:color="auto"/>
            <w:left w:val="none" w:sz="0" w:space="0" w:color="auto"/>
            <w:bottom w:val="none" w:sz="0" w:space="0" w:color="auto"/>
            <w:right w:val="none" w:sz="0" w:space="0" w:color="auto"/>
          </w:divBdr>
        </w:div>
        <w:div w:id="1619918964">
          <w:marLeft w:val="0"/>
          <w:marRight w:val="0"/>
          <w:marTop w:val="0"/>
          <w:marBottom w:val="0"/>
          <w:divBdr>
            <w:top w:val="none" w:sz="0" w:space="0" w:color="auto"/>
            <w:left w:val="none" w:sz="0" w:space="0" w:color="auto"/>
            <w:bottom w:val="none" w:sz="0" w:space="0" w:color="auto"/>
            <w:right w:val="none" w:sz="0" w:space="0" w:color="auto"/>
          </w:divBdr>
        </w:div>
        <w:div w:id="1460220903">
          <w:marLeft w:val="0"/>
          <w:marRight w:val="0"/>
          <w:marTop w:val="0"/>
          <w:marBottom w:val="600"/>
          <w:divBdr>
            <w:top w:val="none" w:sz="0" w:space="0" w:color="auto"/>
            <w:left w:val="none" w:sz="0" w:space="0" w:color="auto"/>
            <w:bottom w:val="none" w:sz="0" w:space="0" w:color="auto"/>
            <w:right w:val="none" w:sz="0" w:space="0" w:color="auto"/>
          </w:divBdr>
        </w:div>
      </w:divsChild>
    </w:div>
    <w:div w:id="834102266">
      <w:marLeft w:val="0"/>
      <w:marRight w:val="0"/>
      <w:marTop w:val="0"/>
      <w:marBottom w:val="0"/>
      <w:divBdr>
        <w:top w:val="none" w:sz="0" w:space="0" w:color="auto"/>
        <w:left w:val="none" w:sz="0" w:space="0" w:color="auto"/>
        <w:bottom w:val="none" w:sz="0" w:space="0" w:color="auto"/>
        <w:right w:val="none" w:sz="0" w:space="0" w:color="auto"/>
      </w:divBdr>
      <w:divsChild>
        <w:div w:id="1899826565">
          <w:marLeft w:val="0"/>
          <w:marRight w:val="0"/>
          <w:marTop w:val="600"/>
          <w:marBottom w:val="0"/>
          <w:divBdr>
            <w:top w:val="none" w:sz="0" w:space="0" w:color="auto"/>
            <w:left w:val="none" w:sz="0" w:space="0" w:color="auto"/>
            <w:bottom w:val="none" w:sz="0" w:space="0" w:color="auto"/>
            <w:right w:val="none" w:sz="0" w:space="0" w:color="auto"/>
          </w:divBdr>
        </w:div>
        <w:div w:id="1061292989">
          <w:marLeft w:val="0"/>
          <w:marRight w:val="0"/>
          <w:marTop w:val="0"/>
          <w:marBottom w:val="0"/>
          <w:divBdr>
            <w:top w:val="none" w:sz="0" w:space="0" w:color="auto"/>
            <w:left w:val="none" w:sz="0" w:space="0" w:color="auto"/>
            <w:bottom w:val="none" w:sz="0" w:space="0" w:color="auto"/>
            <w:right w:val="none" w:sz="0" w:space="0" w:color="auto"/>
          </w:divBdr>
        </w:div>
        <w:div w:id="1423911913">
          <w:marLeft w:val="0"/>
          <w:marRight w:val="0"/>
          <w:marTop w:val="0"/>
          <w:marBottom w:val="600"/>
          <w:divBdr>
            <w:top w:val="none" w:sz="0" w:space="0" w:color="auto"/>
            <w:left w:val="none" w:sz="0" w:space="0" w:color="auto"/>
            <w:bottom w:val="none" w:sz="0" w:space="0" w:color="auto"/>
            <w:right w:val="none" w:sz="0" w:space="0" w:color="auto"/>
          </w:divBdr>
        </w:div>
      </w:divsChild>
    </w:div>
    <w:div w:id="843474345">
      <w:marLeft w:val="0"/>
      <w:marRight w:val="0"/>
      <w:marTop w:val="0"/>
      <w:marBottom w:val="0"/>
      <w:divBdr>
        <w:top w:val="none" w:sz="0" w:space="0" w:color="auto"/>
        <w:left w:val="none" w:sz="0" w:space="0" w:color="auto"/>
        <w:bottom w:val="none" w:sz="0" w:space="0" w:color="auto"/>
        <w:right w:val="none" w:sz="0" w:space="0" w:color="auto"/>
      </w:divBdr>
      <w:divsChild>
        <w:div w:id="1459912417">
          <w:marLeft w:val="0"/>
          <w:marRight w:val="0"/>
          <w:marTop w:val="600"/>
          <w:marBottom w:val="0"/>
          <w:divBdr>
            <w:top w:val="none" w:sz="0" w:space="0" w:color="auto"/>
            <w:left w:val="none" w:sz="0" w:space="0" w:color="auto"/>
            <w:bottom w:val="none" w:sz="0" w:space="0" w:color="auto"/>
            <w:right w:val="none" w:sz="0" w:space="0" w:color="auto"/>
          </w:divBdr>
        </w:div>
        <w:div w:id="952830960">
          <w:marLeft w:val="0"/>
          <w:marRight w:val="0"/>
          <w:marTop w:val="0"/>
          <w:marBottom w:val="0"/>
          <w:divBdr>
            <w:top w:val="none" w:sz="0" w:space="0" w:color="auto"/>
            <w:left w:val="none" w:sz="0" w:space="0" w:color="auto"/>
            <w:bottom w:val="none" w:sz="0" w:space="0" w:color="auto"/>
            <w:right w:val="none" w:sz="0" w:space="0" w:color="auto"/>
          </w:divBdr>
        </w:div>
        <w:div w:id="2116555805">
          <w:marLeft w:val="0"/>
          <w:marRight w:val="0"/>
          <w:marTop w:val="0"/>
          <w:marBottom w:val="600"/>
          <w:divBdr>
            <w:top w:val="none" w:sz="0" w:space="0" w:color="auto"/>
            <w:left w:val="none" w:sz="0" w:space="0" w:color="auto"/>
            <w:bottom w:val="none" w:sz="0" w:space="0" w:color="auto"/>
            <w:right w:val="none" w:sz="0" w:space="0" w:color="auto"/>
          </w:divBdr>
        </w:div>
      </w:divsChild>
    </w:div>
    <w:div w:id="853423312">
      <w:marLeft w:val="0"/>
      <w:marRight w:val="0"/>
      <w:marTop w:val="0"/>
      <w:marBottom w:val="0"/>
      <w:divBdr>
        <w:top w:val="none" w:sz="0" w:space="0" w:color="auto"/>
        <w:left w:val="none" w:sz="0" w:space="0" w:color="auto"/>
        <w:bottom w:val="none" w:sz="0" w:space="0" w:color="auto"/>
        <w:right w:val="none" w:sz="0" w:space="0" w:color="auto"/>
      </w:divBdr>
      <w:divsChild>
        <w:div w:id="2107070258">
          <w:marLeft w:val="0"/>
          <w:marRight w:val="0"/>
          <w:marTop w:val="600"/>
          <w:marBottom w:val="0"/>
          <w:divBdr>
            <w:top w:val="none" w:sz="0" w:space="0" w:color="auto"/>
            <w:left w:val="none" w:sz="0" w:space="0" w:color="auto"/>
            <w:bottom w:val="none" w:sz="0" w:space="0" w:color="auto"/>
            <w:right w:val="none" w:sz="0" w:space="0" w:color="auto"/>
          </w:divBdr>
        </w:div>
        <w:div w:id="264584382">
          <w:marLeft w:val="0"/>
          <w:marRight w:val="0"/>
          <w:marTop w:val="0"/>
          <w:marBottom w:val="0"/>
          <w:divBdr>
            <w:top w:val="none" w:sz="0" w:space="0" w:color="auto"/>
            <w:left w:val="none" w:sz="0" w:space="0" w:color="auto"/>
            <w:bottom w:val="none" w:sz="0" w:space="0" w:color="auto"/>
            <w:right w:val="none" w:sz="0" w:space="0" w:color="auto"/>
          </w:divBdr>
          <w:divsChild>
            <w:div w:id="97986509">
              <w:marLeft w:val="0"/>
              <w:marRight w:val="0"/>
              <w:marTop w:val="0"/>
              <w:marBottom w:val="0"/>
              <w:divBdr>
                <w:top w:val="none" w:sz="0" w:space="0" w:color="auto"/>
                <w:left w:val="none" w:sz="0" w:space="0" w:color="auto"/>
                <w:bottom w:val="none" w:sz="0" w:space="0" w:color="auto"/>
                <w:right w:val="none" w:sz="0" w:space="0" w:color="auto"/>
              </w:divBdr>
              <w:divsChild>
                <w:div w:id="775490914">
                  <w:marLeft w:val="0"/>
                  <w:marRight w:val="0"/>
                  <w:marTop w:val="0"/>
                  <w:marBottom w:val="0"/>
                  <w:divBdr>
                    <w:top w:val="none" w:sz="0" w:space="0" w:color="auto"/>
                    <w:left w:val="none" w:sz="0" w:space="0" w:color="auto"/>
                    <w:bottom w:val="none" w:sz="0" w:space="0" w:color="auto"/>
                    <w:right w:val="none" w:sz="0" w:space="0" w:color="auto"/>
                  </w:divBdr>
                </w:div>
              </w:divsChild>
            </w:div>
            <w:div w:id="891962697">
              <w:marLeft w:val="0"/>
              <w:marRight w:val="0"/>
              <w:marTop w:val="0"/>
              <w:marBottom w:val="0"/>
              <w:divBdr>
                <w:top w:val="none" w:sz="0" w:space="0" w:color="auto"/>
                <w:left w:val="none" w:sz="0" w:space="0" w:color="auto"/>
                <w:bottom w:val="none" w:sz="0" w:space="0" w:color="auto"/>
                <w:right w:val="none" w:sz="0" w:space="0" w:color="auto"/>
              </w:divBdr>
              <w:divsChild>
                <w:div w:id="1891958959">
                  <w:marLeft w:val="0"/>
                  <w:marRight w:val="0"/>
                  <w:marTop w:val="0"/>
                  <w:marBottom w:val="0"/>
                  <w:divBdr>
                    <w:top w:val="none" w:sz="0" w:space="0" w:color="auto"/>
                    <w:left w:val="none" w:sz="0" w:space="0" w:color="auto"/>
                    <w:bottom w:val="none" w:sz="0" w:space="0" w:color="auto"/>
                    <w:right w:val="none" w:sz="0" w:space="0" w:color="auto"/>
                  </w:divBdr>
                </w:div>
              </w:divsChild>
            </w:div>
            <w:div w:id="1832867632">
              <w:marLeft w:val="0"/>
              <w:marRight w:val="0"/>
              <w:marTop w:val="0"/>
              <w:marBottom w:val="0"/>
              <w:divBdr>
                <w:top w:val="none" w:sz="0" w:space="0" w:color="auto"/>
                <w:left w:val="none" w:sz="0" w:space="0" w:color="auto"/>
                <w:bottom w:val="none" w:sz="0" w:space="0" w:color="auto"/>
                <w:right w:val="none" w:sz="0" w:space="0" w:color="auto"/>
              </w:divBdr>
              <w:divsChild>
                <w:div w:id="756294488">
                  <w:marLeft w:val="0"/>
                  <w:marRight w:val="0"/>
                  <w:marTop w:val="0"/>
                  <w:marBottom w:val="0"/>
                  <w:divBdr>
                    <w:top w:val="none" w:sz="0" w:space="0" w:color="auto"/>
                    <w:left w:val="none" w:sz="0" w:space="0" w:color="auto"/>
                    <w:bottom w:val="none" w:sz="0" w:space="0" w:color="auto"/>
                    <w:right w:val="none" w:sz="0" w:space="0" w:color="auto"/>
                  </w:divBdr>
                </w:div>
              </w:divsChild>
            </w:div>
            <w:div w:id="1835753693">
              <w:marLeft w:val="0"/>
              <w:marRight w:val="0"/>
              <w:marTop w:val="0"/>
              <w:marBottom w:val="0"/>
              <w:divBdr>
                <w:top w:val="none" w:sz="0" w:space="0" w:color="auto"/>
                <w:left w:val="none" w:sz="0" w:space="0" w:color="auto"/>
                <w:bottom w:val="none" w:sz="0" w:space="0" w:color="auto"/>
                <w:right w:val="none" w:sz="0" w:space="0" w:color="auto"/>
              </w:divBdr>
              <w:divsChild>
                <w:div w:id="1861778503">
                  <w:marLeft w:val="0"/>
                  <w:marRight w:val="0"/>
                  <w:marTop w:val="0"/>
                  <w:marBottom w:val="0"/>
                  <w:divBdr>
                    <w:top w:val="none" w:sz="0" w:space="0" w:color="auto"/>
                    <w:left w:val="none" w:sz="0" w:space="0" w:color="auto"/>
                    <w:bottom w:val="none" w:sz="0" w:space="0" w:color="auto"/>
                    <w:right w:val="none" w:sz="0" w:space="0" w:color="auto"/>
                  </w:divBdr>
                </w:div>
              </w:divsChild>
            </w:div>
            <w:div w:id="1044017252">
              <w:marLeft w:val="0"/>
              <w:marRight w:val="0"/>
              <w:marTop w:val="0"/>
              <w:marBottom w:val="0"/>
              <w:divBdr>
                <w:top w:val="none" w:sz="0" w:space="0" w:color="auto"/>
                <w:left w:val="none" w:sz="0" w:space="0" w:color="auto"/>
                <w:bottom w:val="none" w:sz="0" w:space="0" w:color="auto"/>
                <w:right w:val="none" w:sz="0" w:space="0" w:color="auto"/>
              </w:divBdr>
              <w:divsChild>
                <w:div w:id="561214724">
                  <w:marLeft w:val="0"/>
                  <w:marRight w:val="0"/>
                  <w:marTop w:val="0"/>
                  <w:marBottom w:val="0"/>
                  <w:divBdr>
                    <w:top w:val="none" w:sz="0" w:space="0" w:color="auto"/>
                    <w:left w:val="none" w:sz="0" w:space="0" w:color="auto"/>
                    <w:bottom w:val="none" w:sz="0" w:space="0" w:color="auto"/>
                    <w:right w:val="none" w:sz="0" w:space="0" w:color="auto"/>
                  </w:divBdr>
                </w:div>
              </w:divsChild>
            </w:div>
            <w:div w:id="108403539">
              <w:marLeft w:val="0"/>
              <w:marRight w:val="0"/>
              <w:marTop w:val="0"/>
              <w:marBottom w:val="0"/>
              <w:divBdr>
                <w:top w:val="none" w:sz="0" w:space="0" w:color="auto"/>
                <w:left w:val="none" w:sz="0" w:space="0" w:color="auto"/>
                <w:bottom w:val="none" w:sz="0" w:space="0" w:color="auto"/>
                <w:right w:val="none" w:sz="0" w:space="0" w:color="auto"/>
              </w:divBdr>
              <w:divsChild>
                <w:div w:id="1746880430">
                  <w:marLeft w:val="0"/>
                  <w:marRight w:val="0"/>
                  <w:marTop w:val="0"/>
                  <w:marBottom w:val="0"/>
                  <w:divBdr>
                    <w:top w:val="none" w:sz="0" w:space="0" w:color="auto"/>
                    <w:left w:val="none" w:sz="0" w:space="0" w:color="auto"/>
                    <w:bottom w:val="none" w:sz="0" w:space="0" w:color="auto"/>
                    <w:right w:val="none" w:sz="0" w:space="0" w:color="auto"/>
                  </w:divBdr>
                </w:div>
              </w:divsChild>
            </w:div>
            <w:div w:id="1590695654">
              <w:marLeft w:val="0"/>
              <w:marRight w:val="0"/>
              <w:marTop w:val="0"/>
              <w:marBottom w:val="0"/>
              <w:divBdr>
                <w:top w:val="none" w:sz="0" w:space="0" w:color="auto"/>
                <w:left w:val="none" w:sz="0" w:space="0" w:color="auto"/>
                <w:bottom w:val="none" w:sz="0" w:space="0" w:color="auto"/>
                <w:right w:val="none" w:sz="0" w:space="0" w:color="auto"/>
              </w:divBdr>
              <w:divsChild>
                <w:div w:id="1195921052">
                  <w:marLeft w:val="0"/>
                  <w:marRight w:val="0"/>
                  <w:marTop w:val="0"/>
                  <w:marBottom w:val="0"/>
                  <w:divBdr>
                    <w:top w:val="none" w:sz="0" w:space="0" w:color="auto"/>
                    <w:left w:val="none" w:sz="0" w:space="0" w:color="auto"/>
                    <w:bottom w:val="none" w:sz="0" w:space="0" w:color="auto"/>
                    <w:right w:val="none" w:sz="0" w:space="0" w:color="auto"/>
                  </w:divBdr>
                </w:div>
              </w:divsChild>
            </w:div>
            <w:div w:id="1994410343">
              <w:marLeft w:val="0"/>
              <w:marRight w:val="0"/>
              <w:marTop w:val="0"/>
              <w:marBottom w:val="0"/>
              <w:divBdr>
                <w:top w:val="none" w:sz="0" w:space="0" w:color="auto"/>
                <w:left w:val="none" w:sz="0" w:space="0" w:color="auto"/>
                <w:bottom w:val="none" w:sz="0" w:space="0" w:color="auto"/>
                <w:right w:val="none" w:sz="0" w:space="0" w:color="auto"/>
              </w:divBdr>
              <w:divsChild>
                <w:div w:id="1914243196">
                  <w:marLeft w:val="0"/>
                  <w:marRight w:val="0"/>
                  <w:marTop w:val="0"/>
                  <w:marBottom w:val="0"/>
                  <w:divBdr>
                    <w:top w:val="none" w:sz="0" w:space="0" w:color="auto"/>
                    <w:left w:val="none" w:sz="0" w:space="0" w:color="auto"/>
                    <w:bottom w:val="none" w:sz="0" w:space="0" w:color="auto"/>
                    <w:right w:val="none" w:sz="0" w:space="0" w:color="auto"/>
                  </w:divBdr>
                </w:div>
              </w:divsChild>
            </w:div>
            <w:div w:id="1203639589">
              <w:marLeft w:val="0"/>
              <w:marRight w:val="0"/>
              <w:marTop w:val="0"/>
              <w:marBottom w:val="0"/>
              <w:divBdr>
                <w:top w:val="none" w:sz="0" w:space="0" w:color="auto"/>
                <w:left w:val="none" w:sz="0" w:space="0" w:color="auto"/>
                <w:bottom w:val="none" w:sz="0" w:space="0" w:color="auto"/>
                <w:right w:val="none" w:sz="0" w:space="0" w:color="auto"/>
              </w:divBdr>
              <w:divsChild>
                <w:div w:id="175655566">
                  <w:marLeft w:val="0"/>
                  <w:marRight w:val="0"/>
                  <w:marTop w:val="0"/>
                  <w:marBottom w:val="0"/>
                  <w:divBdr>
                    <w:top w:val="none" w:sz="0" w:space="0" w:color="auto"/>
                    <w:left w:val="none" w:sz="0" w:space="0" w:color="auto"/>
                    <w:bottom w:val="none" w:sz="0" w:space="0" w:color="auto"/>
                    <w:right w:val="none" w:sz="0" w:space="0" w:color="auto"/>
                  </w:divBdr>
                </w:div>
              </w:divsChild>
            </w:div>
            <w:div w:id="1882478102">
              <w:marLeft w:val="0"/>
              <w:marRight w:val="0"/>
              <w:marTop w:val="0"/>
              <w:marBottom w:val="0"/>
              <w:divBdr>
                <w:top w:val="none" w:sz="0" w:space="0" w:color="auto"/>
                <w:left w:val="none" w:sz="0" w:space="0" w:color="auto"/>
                <w:bottom w:val="none" w:sz="0" w:space="0" w:color="auto"/>
                <w:right w:val="none" w:sz="0" w:space="0" w:color="auto"/>
              </w:divBdr>
              <w:divsChild>
                <w:div w:id="1047490607">
                  <w:marLeft w:val="0"/>
                  <w:marRight w:val="0"/>
                  <w:marTop w:val="0"/>
                  <w:marBottom w:val="0"/>
                  <w:divBdr>
                    <w:top w:val="none" w:sz="0" w:space="0" w:color="auto"/>
                    <w:left w:val="none" w:sz="0" w:space="0" w:color="auto"/>
                    <w:bottom w:val="none" w:sz="0" w:space="0" w:color="auto"/>
                    <w:right w:val="none" w:sz="0" w:space="0" w:color="auto"/>
                  </w:divBdr>
                </w:div>
              </w:divsChild>
            </w:div>
            <w:div w:id="744766385">
              <w:marLeft w:val="0"/>
              <w:marRight w:val="0"/>
              <w:marTop w:val="0"/>
              <w:marBottom w:val="0"/>
              <w:divBdr>
                <w:top w:val="none" w:sz="0" w:space="0" w:color="auto"/>
                <w:left w:val="none" w:sz="0" w:space="0" w:color="auto"/>
                <w:bottom w:val="none" w:sz="0" w:space="0" w:color="auto"/>
                <w:right w:val="none" w:sz="0" w:space="0" w:color="auto"/>
              </w:divBdr>
              <w:divsChild>
                <w:div w:id="771121276">
                  <w:marLeft w:val="0"/>
                  <w:marRight w:val="0"/>
                  <w:marTop w:val="0"/>
                  <w:marBottom w:val="0"/>
                  <w:divBdr>
                    <w:top w:val="none" w:sz="0" w:space="0" w:color="auto"/>
                    <w:left w:val="none" w:sz="0" w:space="0" w:color="auto"/>
                    <w:bottom w:val="none" w:sz="0" w:space="0" w:color="auto"/>
                    <w:right w:val="none" w:sz="0" w:space="0" w:color="auto"/>
                  </w:divBdr>
                </w:div>
              </w:divsChild>
            </w:div>
            <w:div w:id="412435779">
              <w:marLeft w:val="0"/>
              <w:marRight w:val="0"/>
              <w:marTop w:val="0"/>
              <w:marBottom w:val="0"/>
              <w:divBdr>
                <w:top w:val="none" w:sz="0" w:space="0" w:color="auto"/>
                <w:left w:val="none" w:sz="0" w:space="0" w:color="auto"/>
                <w:bottom w:val="none" w:sz="0" w:space="0" w:color="auto"/>
                <w:right w:val="none" w:sz="0" w:space="0" w:color="auto"/>
              </w:divBdr>
              <w:divsChild>
                <w:div w:id="541409809">
                  <w:marLeft w:val="0"/>
                  <w:marRight w:val="0"/>
                  <w:marTop w:val="0"/>
                  <w:marBottom w:val="0"/>
                  <w:divBdr>
                    <w:top w:val="none" w:sz="0" w:space="0" w:color="auto"/>
                    <w:left w:val="none" w:sz="0" w:space="0" w:color="auto"/>
                    <w:bottom w:val="none" w:sz="0" w:space="0" w:color="auto"/>
                    <w:right w:val="none" w:sz="0" w:space="0" w:color="auto"/>
                  </w:divBdr>
                </w:div>
              </w:divsChild>
            </w:div>
            <w:div w:id="273097988">
              <w:marLeft w:val="0"/>
              <w:marRight w:val="0"/>
              <w:marTop w:val="0"/>
              <w:marBottom w:val="0"/>
              <w:divBdr>
                <w:top w:val="none" w:sz="0" w:space="0" w:color="auto"/>
                <w:left w:val="none" w:sz="0" w:space="0" w:color="auto"/>
                <w:bottom w:val="none" w:sz="0" w:space="0" w:color="auto"/>
                <w:right w:val="none" w:sz="0" w:space="0" w:color="auto"/>
              </w:divBdr>
              <w:divsChild>
                <w:div w:id="1161582365">
                  <w:marLeft w:val="0"/>
                  <w:marRight w:val="0"/>
                  <w:marTop w:val="0"/>
                  <w:marBottom w:val="0"/>
                  <w:divBdr>
                    <w:top w:val="none" w:sz="0" w:space="0" w:color="auto"/>
                    <w:left w:val="none" w:sz="0" w:space="0" w:color="auto"/>
                    <w:bottom w:val="none" w:sz="0" w:space="0" w:color="auto"/>
                    <w:right w:val="none" w:sz="0" w:space="0" w:color="auto"/>
                  </w:divBdr>
                </w:div>
              </w:divsChild>
            </w:div>
            <w:div w:id="1636064110">
              <w:marLeft w:val="0"/>
              <w:marRight w:val="0"/>
              <w:marTop w:val="0"/>
              <w:marBottom w:val="0"/>
              <w:divBdr>
                <w:top w:val="none" w:sz="0" w:space="0" w:color="auto"/>
                <w:left w:val="none" w:sz="0" w:space="0" w:color="auto"/>
                <w:bottom w:val="none" w:sz="0" w:space="0" w:color="auto"/>
                <w:right w:val="none" w:sz="0" w:space="0" w:color="auto"/>
              </w:divBdr>
              <w:divsChild>
                <w:div w:id="7960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2797">
          <w:marLeft w:val="0"/>
          <w:marRight w:val="0"/>
          <w:marTop w:val="0"/>
          <w:marBottom w:val="600"/>
          <w:divBdr>
            <w:top w:val="none" w:sz="0" w:space="0" w:color="auto"/>
            <w:left w:val="none" w:sz="0" w:space="0" w:color="auto"/>
            <w:bottom w:val="none" w:sz="0" w:space="0" w:color="auto"/>
            <w:right w:val="none" w:sz="0" w:space="0" w:color="auto"/>
          </w:divBdr>
        </w:div>
      </w:divsChild>
    </w:div>
    <w:div w:id="858786008">
      <w:marLeft w:val="0"/>
      <w:marRight w:val="0"/>
      <w:marTop w:val="0"/>
      <w:marBottom w:val="0"/>
      <w:divBdr>
        <w:top w:val="none" w:sz="0" w:space="0" w:color="auto"/>
        <w:left w:val="none" w:sz="0" w:space="0" w:color="auto"/>
        <w:bottom w:val="none" w:sz="0" w:space="0" w:color="auto"/>
        <w:right w:val="none" w:sz="0" w:space="0" w:color="auto"/>
      </w:divBdr>
      <w:divsChild>
        <w:div w:id="1501773169">
          <w:marLeft w:val="0"/>
          <w:marRight w:val="0"/>
          <w:marTop w:val="600"/>
          <w:marBottom w:val="0"/>
          <w:divBdr>
            <w:top w:val="none" w:sz="0" w:space="0" w:color="auto"/>
            <w:left w:val="none" w:sz="0" w:space="0" w:color="auto"/>
            <w:bottom w:val="none" w:sz="0" w:space="0" w:color="auto"/>
            <w:right w:val="none" w:sz="0" w:space="0" w:color="auto"/>
          </w:divBdr>
        </w:div>
        <w:div w:id="1953978093">
          <w:marLeft w:val="0"/>
          <w:marRight w:val="0"/>
          <w:marTop w:val="0"/>
          <w:marBottom w:val="0"/>
          <w:divBdr>
            <w:top w:val="none" w:sz="0" w:space="0" w:color="auto"/>
            <w:left w:val="none" w:sz="0" w:space="0" w:color="auto"/>
            <w:bottom w:val="none" w:sz="0" w:space="0" w:color="auto"/>
            <w:right w:val="none" w:sz="0" w:space="0" w:color="auto"/>
          </w:divBdr>
        </w:div>
        <w:div w:id="1542397892">
          <w:marLeft w:val="0"/>
          <w:marRight w:val="0"/>
          <w:marTop w:val="0"/>
          <w:marBottom w:val="600"/>
          <w:divBdr>
            <w:top w:val="none" w:sz="0" w:space="0" w:color="auto"/>
            <w:left w:val="none" w:sz="0" w:space="0" w:color="auto"/>
            <w:bottom w:val="none" w:sz="0" w:space="0" w:color="auto"/>
            <w:right w:val="none" w:sz="0" w:space="0" w:color="auto"/>
          </w:divBdr>
        </w:div>
      </w:divsChild>
    </w:div>
    <w:div w:id="875049097">
      <w:marLeft w:val="0"/>
      <w:marRight w:val="0"/>
      <w:marTop w:val="0"/>
      <w:marBottom w:val="0"/>
      <w:divBdr>
        <w:top w:val="none" w:sz="0" w:space="0" w:color="auto"/>
        <w:left w:val="none" w:sz="0" w:space="0" w:color="auto"/>
        <w:bottom w:val="none" w:sz="0" w:space="0" w:color="auto"/>
        <w:right w:val="none" w:sz="0" w:space="0" w:color="auto"/>
      </w:divBdr>
      <w:divsChild>
        <w:div w:id="834304707">
          <w:marLeft w:val="0"/>
          <w:marRight w:val="0"/>
          <w:marTop w:val="600"/>
          <w:marBottom w:val="0"/>
          <w:divBdr>
            <w:top w:val="none" w:sz="0" w:space="0" w:color="auto"/>
            <w:left w:val="none" w:sz="0" w:space="0" w:color="auto"/>
            <w:bottom w:val="none" w:sz="0" w:space="0" w:color="auto"/>
            <w:right w:val="none" w:sz="0" w:space="0" w:color="auto"/>
          </w:divBdr>
        </w:div>
        <w:div w:id="1030496277">
          <w:marLeft w:val="0"/>
          <w:marRight w:val="0"/>
          <w:marTop w:val="0"/>
          <w:marBottom w:val="0"/>
          <w:divBdr>
            <w:top w:val="none" w:sz="0" w:space="0" w:color="auto"/>
            <w:left w:val="none" w:sz="0" w:space="0" w:color="auto"/>
            <w:bottom w:val="none" w:sz="0" w:space="0" w:color="auto"/>
            <w:right w:val="none" w:sz="0" w:space="0" w:color="auto"/>
          </w:divBdr>
          <w:divsChild>
            <w:div w:id="1056857238">
              <w:marLeft w:val="547"/>
              <w:marRight w:val="0"/>
              <w:marTop w:val="0"/>
              <w:marBottom w:val="0"/>
              <w:divBdr>
                <w:top w:val="none" w:sz="0" w:space="0" w:color="auto"/>
                <w:left w:val="none" w:sz="0" w:space="0" w:color="auto"/>
                <w:bottom w:val="none" w:sz="0" w:space="0" w:color="auto"/>
                <w:right w:val="none" w:sz="0" w:space="0" w:color="auto"/>
              </w:divBdr>
            </w:div>
            <w:div w:id="2122410432">
              <w:marLeft w:val="547"/>
              <w:marRight w:val="0"/>
              <w:marTop w:val="0"/>
              <w:marBottom w:val="0"/>
              <w:divBdr>
                <w:top w:val="none" w:sz="0" w:space="0" w:color="auto"/>
                <w:left w:val="none" w:sz="0" w:space="0" w:color="auto"/>
                <w:bottom w:val="none" w:sz="0" w:space="0" w:color="auto"/>
                <w:right w:val="none" w:sz="0" w:space="0" w:color="auto"/>
              </w:divBdr>
            </w:div>
            <w:div w:id="567114870">
              <w:marLeft w:val="547"/>
              <w:marRight w:val="0"/>
              <w:marTop w:val="0"/>
              <w:marBottom w:val="0"/>
              <w:divBdr>
                <w:top w:val="none" w:sz="0" w:space="0" w:color="auto"/>
                <w:left w:val="none" w:sz="0" w:space="0" w:color="auto"/>
                <w:bottom w:val="none" w:sz="0" w:space="0" w:color="auto"/>
                <w:right w:val="none" w:sz="0" w:space="0" w:color="auto"/>
              </w:divBdr>
            </w:div>
            <w:div w:id="2053772939">
              <w:marLeft w:val="547"/>
              <w:marRight w:val="0"/>
              <w:marTop w:val="0"/>
              <w:marBottom w:val="0"/>
              <w:divBdr>
                <w:top w:val="none" w:sz="0" w:space="0" w:color="auto"/>
                <w:left w:val="none" w:sz="0" w:space="0" w:color="auto"/>
                <w:bottom w:val="none" w:sz="0" w:space="0" w:color="auto"/>
                <w:right w:val="none" w:sz="0" w:space="0" w:color="auto"/>
              </w:divBdr>
            </w:div>
            <w:div w:id="1480881406">
              <w:marLeft w:val="547"/>
              <w:marRight w:val="0"/>
              <w:marTop w:val="0"/>
              <w:marBottom w:val="0"/>
              <w:divBdr>
                <w:top w:val="none" w:sz="0" w:space="0" w:color="auto"/>
                <w:left w:val="none" w:sz="0" w:space="0" w:color="auto"/>
                <w:bottom w:val="none" w:sz="0" w:space="0" w:color="auto"/>
                <w:right w:val="none" w:sz="0" w:space="0" w:color="auto"/>
              </w:divBdr>
            </w:div>
            <w:div w:id="1729837082">
              <w:marLeft w:val="547"/>
              <w:marRight w:val="0"/>
              <w:marTop w:val="0"/>
              <w:marBottom w:val="0"/>
              <w:divBdr>
                <w:top w:val="none" w:sz="0" w:space="0" w:color="auto"/>
                <w:left w:val="none" w:sz="0" w:space="0" w:color="auto"/>
                <w:bottom w:val="none" w:sz="0" w:space="0" w:color="auto"/>
                <w:right w:val="none" w:sz="0" w:space="0" w:color="auto"/>
              </w:divBdr>
            </w:div>
            <w:div w:id="1345127911">
              <w:marLeft w:val="547"/>
              <w:marRight w:val="0"/>
              <w:marTop w:val="0"/>
              <w:marBottom w:val="0"/>
              <w:divBdr>
                <w:top w:val="none" w:sz="0" w:space="0" w:color="auto"/>
                <w:left w:val="none" w:sz="0" w:space="0" w:color="auto"/>
                <w:bottom w:val="none" w:sz="0" w:space="0" w:color="auto"/>
                <w:right w:val="none" w:sz="0" w:space="0" w:color="auto"/>
              </w:divBdr>
            </w:div>
            <w:div w:id="2041472688">
              <w:marLeft w:val="547"/>
              <w:marRight w:val="0"/>
              <w:marTop w:val="0"/>
              <w:marBottom w:val="0"/>
              <w:divBdr>
                <w:top w:val="none" w:sz="0" w:space="0" w:color="auto"/>
                <w:left w:val="none" w:sz="0" w:space="0" w:color="auto"/>
                <w:bottom w:val="none" w:sz="0" w:space="0" w:color="auto"/>
                <w:right w:val="none" w:sz="0" w:space="0" w:color="auto"/>
              </w:divBdr>
            </w:div>
            <w:div w:id="539978035">
              <w:marLeft w:val="547"/>
              <w:marRight w:val="0"/>
              <w:marTop w:val="0"/>
              <w:marBottom w:val="0"/>
              <w:divBdr>
                <w:top w:val="none" w:sz="0" w:space="0" w:color="auto"/>
                <w:left w:val="none" w:sz="0" w:space="0" w:color="auto"/>
                <w:bottom w:val="none" w:sz="0" w:space="0" w:color="auto"/>
                <w:right w:val="none" w:sz="0" w:space="0" w:color="auto"/>
              </w:divBdr>
            </w:div>
            <w:div w:id="1896309562">
              <w:marLeft w:val="547"/>
              <w:marRight w:val="0"/>
              <w:marTop w:val="0"/>
              <w:marBottom w:val="0"/>
              <w:divBdr>
                <w:top w:val="none" w:sz="0" w:space="0" w:color="auto"/>
                <w:left w:val="none" w:sz="0" w:space="0" w:color="auto"/>
                <w:bottom w:val="none" w:sz="0" w:space="0" w:color="auto"/>
                <w:right w:val="none" w:sz="0" w:space="0" w:color="auto"/>
              </w:divBdr>
            </w:div>
            <w:div w:id="1620138849">
              <w:marLeft w:val="547"/>
              <w:marRight w:val="0"/>
              <w:marTop w:val="0"/>
              <w:marBottom w:val="0"/>
              <w:divBdr>
                <w:top w:val="none" w:sz="0" w:space="0" w:color="auto"/>
                <w:left w:val="none" w:sz="0" w:space="0" w:color="auto"/>
                <w:bottom w:val="none" w:sz="0" w:space="0" w:color="auto"/>
                <w:right w:val="none" w:sz="0" w:space="0" w:color="auto"/>
              </w:divBdr>
            </w:div>
            <w:div w:id="774329194">
              <w:marLeft w:val="547"/>
              <w:marRight w:val="0"/>
              <w:marTop w:val="0"/>
              <w:marBottom w:val="0"/>
              <w:divBdr>
                <w:top w:val="none" w:sz="0" w:space="0" w:color="auto"/>
                <w:left w:val="none" w:sz="0" w:space="0" w:color="auto"/>
                <w:bottom w:val="none" w:sz="0" w:space="0" w:color="auto"/>
                <w:right w:val="none" w:sz="0" w:space="0" w:color="auto"/>
              </w:divBdr>
            </w:div>
          </w:divsChild>
        </w:div>
        <w:div w:id="1388530174">
          <w:marLeft w:val="0"/>
          <w:marRight w:val="0"/>
          <w:marTop w:val="0"/>
          <w:marBottom w:val="600"/>
          <w:divBdr>
            <w:top w:val="none" w:sz="0" w:space="0" w:color="auto"/>
            <w:left w:val="none" w:sz="0" w:space="0" w:color="auto"/>
            <w:bottom w:val="none" w:sz="0" w:space="0" w:color="auto"/>
            <w:right w:val="none" w:sz="0" w:space="0" w:color="auto"/>
          </w:divBdr>
        </w:div>
      </w:divsChild>
    </w:div>
    <w:div w:id="886064027">
      <w:marLeft w:val="0"/>
      <w:marRight w:val="0"/>
      <w:marTop w:val="0"/>
      <w:marBottom w:val="0"/>
      <w:divBdr>
        <w:top w:val="none" w:sz="0" w:space="0" w:color="auto"/>
        <w:left w:val="none" w:sz="0" w:space="0" w:color="auto"/>
        <w:bottom w:val="none" w:sz="0" w:space="0" w:color="auto"/>
        <w:right w:val="none" w:sz="0" w:space="0" w:color="auto"/>
      </w:divBdr>
      <w:divsChild>
        <w:div w:id="1474983023">
          <w:marLeft w:val="0"/>
          <w:marRight w:val="0"/>
          <w:marTop w:val="600"/>
          <w:marBottom w:val="0"/>
          <w:divBdr>
            <w:top w:val="none" w:sz="0" w:space="0" w:color="auto"/>
            <w:left w:val="none" w:sz="0" w:space="0" w:color="auto"/>
            <w:bottom w:val="none" w:sz="0" w:space="0" w:color="auto"/>
            <w:right w:val="none" w:sz="0" w:space="0" w:color="auto"/>
          </w:divBdr>
        </w:div>
        <w:div w:id="2118719411">
          <w:marLeft w:val="0"/>
          <w:marRight w:val="0"/>
          <w:marTop w:val="0"/>
          <w:marBottom w:val="0"/>
          <w:divBdr>
            <w:top w:val="none" w:sz="0" w:space="0" w:color="auto"/>
            <w:left w:val="none" w:sz="0" w:space="0" w:color="auto"/>
            <w:bottom w:val="none" w:sz="0" w:space="0" w:color="auto"/>
            <w:right w:val="none" w:sz="0" w:space="0" w:color="auto"/>
          </w:divBdr>
        </w:div>
        <w:div w:id="856697787">
          <w:marLeft w:val="0"/>
          <w:marRight w:val="0"/>
          <w:marTop w:val="0"/>
          <w:marBottom w:val="600"/>
          <w:divBdr>
            <w:top w:val="none" w:sz="0" w:space="0" w:color="auto"/>
            <w:left w:val="none" w:sz="0" w:space="0" w:color="auto"/>
            <w:bottom w:val="none" w:sz="0" w:space="0" w:color="auto"/>
            <w:right w:val="none" w:sz="0" w:space="0" w:color="auto"/>
          </w:divBdr>
        </w:div>
      </w:divsChild>
    </w:div>
    <w:div w:id="931007884">
      <w:marLeft w:val="0"/>
      <w:marRight w:val="0"/>
      <w:marTop w:val="0"/>
      <w:marBottom w:val="0"/>
      <w:divBdr>
        <w:top w:val="none" w:sz="0" w:space="0" w:color="auto"/>
        <w:left w:val="none" w:sz="0" w:space="0" w:color="auto"/>
        <w:bottom w:val="none" w:sz="0" w:space="0" w:color="auto"/>
        <w:right w:val="none" w:sz="0" w:space="0" w:color="auto"/>
      </w:divBdr>
      <w:divsChild>
        <w:div w:id="50152117">
          <w:marLeft w:val="0"/>
          <w:marRight w:val="0"/>
          <w:marTop w:val="600"/>
          <w:marBottom w:val="0"/>
          <w:divBdr>
            <w:top w:val="none" w:sz="0" w:space="0" w:color="auto"/>
            <w:left w:val="none" w:sz="0" w:space="0" w:color="auto"/>
            <w:bottom w:val="none" w:sz="0" w:space="0" w:color="auto"/>
            <w:right w:val="none" w:sz="0" w:space="0" w:color="auto"/>
          </w:divBdr>
        </w:div>
        <w:div w:id="1700741711">
          <w:marLeft w:val="0"/>
          <w:marRight w:val="0"/>
          <w:marTop w:val="0"/>
          <w:marBottom w:val="0"/>
          <w:divBdr>
            <w:top w:val="none" w:sz="0" w:space="0" w:color="auto"/>
            <w:left w:val="none" w:sz="0" w:space="0" w:color="auto"/>
            <w:bottom w:val="none" w:sz="0" w:space="0" w:color="auto"/>
            <w:right w:val="none" w:sz="0" w:space="0" w:color="auto"/>
          </w:divBdr>
        </w:div>
        <w:div w:id="1561595603">
          <w:marLeft w:val="0"/>
          <w:marRight w:val="0"/>
          <w:marTop w:val="0"/>
          <w:marBottom w:val="600"/>
          <w:divBdr>
            <w:top w:val="none" w:sz="0" w:space="0" w:color="auto"/>
            <w:left w:val="none" w:sz="0" w:space="0" w:color="auto"/>
            <w:bottom w:val="none" w:sz="0" w:space="0" w:color="auto"/>
            <w:right w:val="none" w:sz="0" w:space="0" w:color="auto"/>
          </w:divBdr>
        </w:div>
      </w:divsChild>
    </w:div>
    <w:div w:id="958221902">
      <w:marLeft w:val="0"/>
      <w:marRight w:val="0"/>
      <w:marTop w:val="0"/>
      <w:marBottom w:val="0"/>
      <w:divBdr>
        <w:top w:val="none" w:sz="0" w:space="0" w:color="auto"/>
        <w:left w:val="none" w:sz="0" w:space="0" w:color="auto"/>
        <w:bottom w:val="none" w:sz="0" w:space="0" w:color="auto"/>
        <w:right w:val="none" w:sz="0" w:space="0" w:color="auto"/>
      </w:divBdr>
      <w:divsChild>
        <w:div w:id="1728912863">
          <w:marLeft w:val="0"/>
          <w:marRight w:val="0"/>
          <w:marTop w:val="600"/>
          <w:marBottom w:val="0"/>
          <w:divBdr>
            <w:top w:val="none" w:sz="0" w:space="0" w:color="auto"/>
            <w:left w:val="none" w:sz="0" w:space="0" w:color="auto"/>
            <w:bottom w:val="none" w:sz="0" w:space="0" w:color="auto"/>
            <w:right w:val="none" w:sz="0" w:space="0" w:color="auto"/>
          </w:divBdr>
        </w:div>
        <w:div w:id="469834258">
          <w:marLeft w:val="0"/>
          <w:marRight w:val="0"/>
          <w:marTop w:val="0"/>
          <w:marBottom w:val="0"/>
          <w:divBdr>
            <w:top w:val="none" w:sz="0" w:space="0" w:color="auto"/>
            <w:left w:val="none" w:sz="0" w:space="0" w:color="auto"/>
            <w:bottom w:val="none" w:sz="0" w:space="0" w:color="auto"/>
            <w:right w:val="none" w:sz="0" w:space="0" w:color="auto"/>
          </w:divBdr>
        </w:div>
        <w:div w:id="598827894">
          <w:marLeft w:val="0"/>
          <w:marRight w:val="0"/>
          <w:marTop w:val="0"/>
          <w:marBottom w:val="600"/>
          <w:divBdr>
            <w:top w:val="none" w:sz="0" w:space="0" w:color="auto"/>
            <w:left w:val="none" w:sz="0" w:space="0" w:color="auto"/>
            <w:bottom w:val="none" w:sz="0" w:space="0" w:color="auto"/>
            <w:right w:val="none" w:sz="0" w:space="0" w:color="auto"/>
          </w:divBdr>
        </w:div>
      </w:divsChild>
    </w:div>
    <w:div w:id="984774608">
      <w:marLeft w:val="0"/>
      <w:marRight w:val="0"/>
      <w:marTop w:val="0"/>
      <w:marBottom w:val="0"/>
      <w:divBdr>
        <w:top w:val="none" w:sz="0" w:space="0" w:color="auto"/>
        <w:left w:val="none" w:sz="0" w:space="0" w:color="auto"/>
        <w:bottom w:val="none" w:sz="0" w:space="0" w:color="auto"/>
        <w:right w:val="none" w:sz="0" w:space="0" w:color="auto"/>
      </w:divBdr>
      <w:divsChild>
        <w:div w:id="1710573332">
          <w:marLeft w:val="0"/>
          <w:marRight w:val="0"/>
          <w:marTop w:val="60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sChild>
            <w:div w:id="1297174952">
              <w:marLeft w:val="0"/>
              <w:marRight w:val="0"/>
              <w:marTop w:val="0"/>
              <w:marBottom w:val="0"/>
              <w:divBdr>
                <w:top w:val="none" w:sz="0" w:space="0" w:color="auto"/>
                <w:left w:val="none" w:sz="0" w:space="0" w:color="auto"/>
                <w:bottom w:val="none" w:sz="0" w:space="0" w:color="auto"/>
                <w:right w:val="none" w:sz="0" w:space="0" w:color="auto"/>
              </w:divBdr>
              <w:divsChild>
                <w:div w:id="1917325145">
                  <w:marLeft w:val="0"/>
                  <w:marRight w:val="0"/>
                  <w:marTop w:val="0"/>
                  <w:marBottom w:val="0"/>
                  <w:divBdr>
                    <w:top w:val="none" w:sz="0" w:space="0" w:color="auto"/>
                    <w:left w:val="none" w:sz="0" w:space="0" w:color="auto"/>
                    <w:bottom w:val="none" w:sz="0" w:space="0" w:color="auto"/>
                    <w:right w:val="none" w:sz="0" w:space="0" w:color="auto"/>
                  </w:divBdr>
                </w:div>
              </w:divsChild>
            </w:div>
            <w:div w:id="1056780924">
              <w:marLeft w:val="0"/>
              <w:marRight w:val="0"/>
              <w:marTop w:val="0"/>
              <w:marBottom w:val="0"/>
              <w:divBdr>
                <w:top w:val="none" w:sz="0" w:space="0" w:color="auto"/>
                <w:left w:val="none" w:sz="0" w:space="0" w:color="auto"/>
                <w:bottom w:val="none" w:sz="0" w:space="0" w:color="auto"/>
                <w:right w:val="none" w:sz="0" w:space="0" w:color="auto"/>
              </w:divBdr>
              <w:divsChild>
                <w:div w:id="1171988147">
                  <w:marLeft w:val="0"/>
                  <w:marRight w:val="0"/>
                  <w:marTop w:val="0"/>
                  <w:marBottom w:val="0"/>
                  <w:divBdr>
                    <w:top w:val="none" w:sz="0" w:space="0" w:color="auto"/>
                    <w:left w:val="none" w:sz="0" w:space="0" w:color="auto"/>
                    <w:bottom w:val="none" w:sz="0" w:space="0" w:color="auto"/>
                    <w:right w:val="none" w:sz="0" w:space="0" w:color="auto"/>
                  </w:divBdr>
                </w:div>
              </w:divsChild>
            </w:div>
            <w:div w:id="1963222152">
              <w:marLeft w:val="0"/>
              <w:marRight w:val="0"/>
              <w:marTop w:val="0"/>
              <w:marBottom w:val="0"/>
              <w:divBdr>
                <w:top w:val="none" w:sz="0" w:space="0" w:color="auto"/>
                <w:left w:val="none" w:sz="0" w:space="0" w:color="auto"/>
                <w:bottom w:val="none" w:sz="0" w:space="0" w:color="auto"/>
                <w:right w:val="none" w:sz="0" w:space="0" w:color="auto"/>
              </w:divBdr>
              <w:divsChild>
                <w:div w:id="1500849284">
                  <w:marLeft w:val="0"/>
                  <w:marRight w:val="0"/>
                  <w:marTop w:val="0"/>
                  <w:marBottom w:val="0"/>
                  <w:divBdr>
                    <w:top w:val="none" w:sz="0" w:space="0" w:color="auto"/>
                    <w:left w:val="none" w:sz="0" w:space="0" w:color="auto"/>
                    <w:bottom w:val="none" w:sz="0" w:space="0" w:color="auto"/>
                    <w:right w:val="none" w:sz="0" w:space="0" w:color="auto"/>
                  </w:divBdr>
                </w:div>
              </w:divsChild>
            </w:div>
            <w:div w:id="1695225180">
              <w:marLeft w:val="0"/>
              <w:marRight w:val="0"/>
              <w:marTop w:val="0"/>
              <w:marBottom w:val="0"/>
              <w:divBdr>
                <w:top w:val="none" w:sz="0" w:space="0" w:color="auto"/>
                <w:left w:val="none" w:sz="0" w:space="0" w:color="auto"/>
                <w:bottom w:val="none" w:sz="0" w:space="0" w:color="auto"/>
                <w:right w:val="none" w:sz="0" w:space="0" w:color="auto"/>
              </w:divBdr>
              <w:divsChild>
                <w:div w:id="1368290141">
                  <w:marLeft w:val="0"/>
                  <w:marRight w:val="0"/>
                  <w:marTop w:val="0"/>
                  <w:marBottom w:val="0"/>
                  <w:divBdr>
                    <w:top w:val="none" w:sz="0" w:space="0" w:color="auto"/>
                    <w:left w:val="none" w:sz="0" w:space="0" w:color="auto"/>
                    <w:bottom w:val="none" w:sz="0" w:space="0" w:color="auto"/>
                    <w:right w:val="none" w:sz="0" w:space="0" w:color="auto"/>
                  </w:divBdr>
                </w:div>
              </w:divsChild>
            </w:div>
            <w:div w:id="1198542062">
              <w:marLeft w:val="0"/>
              <w:marRight w:val="0"/>
              <w:marTop w:val="0"/>
              <w:marBottom w:val="0"/>
              <w:divBdr>
                <w:top w:val="none" w:sz="0" w:space="0" w:color="auto"/>
                <w:left w:val="none" w:sz="0" w:space="0" w:color="auto"/>
                <w:bottom w:val="none" w:sz="0" w:space="0" w:color="auto"/>
                <w:right w:val="none" w:sz="0" w:space="0" w:color="auto"/>
              </w:divBdr>
              <w:divsChild>
                <w:div w:id="1953198940">
                  <w:marLeft w:val="0"/>
                  <w:marRight w:val="0"/>
                  <w:marTop w:val="0"/>
                  <w:marBottom w:val="0"/>
                  <w:divBdr>
                    <w:top w:val="none" w:sz="0" w:space="0" w:color="auto"/>
                    <w:left w:val="none" w:sz="0" w:space="0" w:color="auto"/>
                    <w:bottom w:val="none" w:sz="0" w:space="0" w:color="auto"/>
                    <w:right w:val="none" w:sz="0" w:space="0" w:color="auto"/>
                  </w:divBdr>
                </w:div>
              </w:divsChild>
            </w:div>
            <w:div w:id="1948657994">
              <w:marLeft w:val="0"/>
              <w:marRight w:val="0"/>
              <w:marTop w:val="0"/>
              <w:marBottom w:val="0"/>
              <w:divBdr>
                <w:top w:val="none" w:sz="0" w:space="0" w:color="auto"/>
                <w:left w:val="none" w:sz="0" w:space="0" w:color="auto"/>
                <w:bottom w:val="none" w:sz="0" w:space="0" w:color="auto"/>
                <w:right w:val="none" w:sz="0" w:space="0" w:color="auto"/>
              </w:divBdr>
              <w:divsChild>
                <w:div w:id="1542206404">
                  <w:marLeft w:val="0"/>
                  <w:marRight w:val="0"/>
                  <w:marTop w:val="0"/>
                  <w:marBottom w:val="0"/>
                  <w:divBdr>
                    <w:top w:val="none" w:sz="0" w:space="0" w:color="auto"/>
                    <w:left w:val="none" w:sz="0" w:space="0" w:color="auto"/>
                    <w:bottom w:val="none" w:sz="0" w:space="0" w:color="auto"/>
                    <w:right w:val="none" w:sz="0" w:space="0" w:color="auto"/>
                  </w:divBdr>
                </w:div>
              </w:divsChild>
            </w:div>
            <w:div w:id="685786694">
              <w:marLeft w:val="0"/>
              <w:marRight w:val="0"/>
              <w:marTop w:val="0"/>
              <w:marBottom w:val="0"/>
              <w:divBdr>
                <w:top w:val="none" w:sz="0" w:space="0" w:color="auto"/>
                <w:left w:val="none" w:sz="0" w:space="0" w:color="auto"/>
                <w:bottom w:val="none" w:sz="0" w:space="0" w:color="auto"/>
                <w:right w:val="none" w:sz="0" w:space="0" w:color="auto"/>
              </w:divBdr>
              <w:divsChild>
                <w:div w:id="167988360">
                  <w:marLeft w:val="0"/>
                  <w:marRight w:val="0"/>
                  <w:marTop w:val="0"/>
                  <w:marBottom w:val="0"/>
                  <w:divBdr>
                    <w:top w:val="none" w:sz="0" w:space="0" w:color="auto"/>
                    <w:left w:val="none" w:sz="0" w:space="0" w:color="auto"/>
                    <w:bottom w:val="none" w:sz="0" w:space="0" w:color="auto"/>
                    <w:right w:val="none" w:sz="0" w:space="0" w:color="auto"/>
                  </w:divBdr>
                </w:div>
              </w:divsChild>
            </w:div>
            <w:div w:id="1898054230">
              <w:marLeft w:val="0"/>
              <w:marRight w:val="0"/>
              <w:marTop w:val="0"/>
              <w:marBottom w:val="0"/>
              <w:divBdr>
                <w:top w:val="none" w:sz="0" w:space="0" w:color="auto"/>
                <w:left w:val="none" w:sz="0" w:space="0" w:color="auto"/>
                <w:bottom w:val="none" w:sz="0" w:space="0" w:color="auto"/>
                <w:right w:val="none" w:sz="0" w:space="0" w:color="auto"/>
              </w:divBdr>
              <w:divsChild>
                <w:div w:id="2064064677">
                  <w:marLeft w:val="0"/>
                  <w:marRight w:val="0"/>
                  <w:marTop w:val="0"/>
                  <w:marBottom w:val="0"/>
                  <w:divBdr>
                    <w:top w:val="none" w:sz="0" w:space="0" w:color="auto"/>
                    <w:left w:val="none" w:sz="0" w:space="0" w:color="auto"/>
                    <w:bottom w:val="none" w:sz="0" w:space="0" w:color="auto"/>
                    <w:right w:val="none" w:sz="0" w:space="0" w:color="auto"/>
                  </w:divBdr>
                </w:div>
              </w:divsChild>
            </w:div>
            <w:div w:id="1987666497">
              <w:marLeft w:val="0"/>
              <w:marRight w:val="0"/>
              <w:marTop w:val="0"/>
              <w:marBottom w:val="0"/>
              <w:divBdr>
                <w:top w:val="none" w:sz="0" w:space="0" w:color="auto"/>
                <w:left w:val="none" w:sz="0" w:space="0" w:color="auto"/>
                <w:bottom w:val="none" w:sz="0" w:space="0" w:color="auto"/>
                <w:right w:val="none" w:sz="0" w:space="0" w:color="auto"/>
              </w:divBdr>
              <w:divsChild>
                <w:div w:id="577518879">
                  <w:marLeft w:val="0"/>
                  <w:marRight w:val="0"/>
                  <w:marTop w:val="0"/>
                  <w:marBottom w:val="0"/>
                  <w:divBdr>
                    <w:top w:val="none" w:sz="0" w:space="0" w:color="auto"/>
                    <w:left w:val="none" w:sz="0" w:space="0" w:color="auto"/>
                    <w:bottom w:val="none" w:sz="0" w:space="0" w:color="auto"/>
                    <w:right w:val="none" w:sz="0" w:space="0" w:color="auto"/>
                  </w:divBdr>
                </w:div>
              </w:divsChild>
            </w:div>
            <w:div w:id="170532206">
              <w:marLeft w:val="0"/>
              <w:marRight w:val="0"/>
              <w:marTop w:val="0"/>
              <w:marBottom w:val="0"/>
              <w:divBdr>
                <w:top w:val="none" w:sz="0" w:space="0" w:color="auto"/>
                <w:left w:val="none" w:sz="0" w:space="0" w:color="auto"/>
                <w:bottom w:val="none" w:sz="0" w:space="0" w:color="auto"/>
                <w:right w:val="none" w:sz="0" w:space="0" w:color="auto"/>
              </w:divBdr>
              <w:divsChild>
                <w:div w:id="18620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4774">
          <w:marLeft w:val="0"/>
          <w:marRight w:val="0"/>
          <w:marTop w:val="0"/>
          <w:marBottom w:val="600"/>
          <w:divBdr>
            <w:top w:val="none" w:sz="0" w:space="0" w:color="auto"/>
            <w:left w:val="none" w:sz="0" w:space="0" w:color="auto"/>
            <w:bottom w:val="none" w:sz="0" w:space="0" w:color="auto"/>
            <w:right w:val="none" w:sz="0" w:space="0" w:color="auto"/>
          </w:divBdr>
        </w:div>
      </w:divsChild>
    </w:div>
    <w:div w:id="997342495">
      <w:marLeft w:val="0"/>
      <w:marRight w:val="0"/>
      <w:marTop w:val="0"/>
      <w:marBottom w:val="0"/>
      <w:divBdr>
        <w:top w:val="none" w:sz="0" w:space="0" w:color="auto"/>
        <w:left w:val="none" w:sz="0" w:space="0" w:color="auto"/>
        <w:bottom w:val="none" w:sz="0" w:space="0" w:color="auto"/>
        <w:right w:val="none" w:sz="0" w:space="0" w:color="auto"/>
      </w:divBdr>
      <w:divsChild>
        <w:div w:id="761683760">
          <w:marLeft w:val="0"/>
          <w:marRight w:val="0"/>
          <w:marTop w:val="600"/>
          <w:marBottom w:val="0"/>
          <w:divBdr>
            <w:top w:val="none" w:sz="0" w:space="0" w:color="auto"/>
            <w:left w:val="none" w:sz="0" w:space="0" w:color="auto"/>
            <w:bottom w:val="none" w:sz="0" w:space="0" w:color="auto"/>
            <w:right w:val="none" w:sz="0" w:space="0" w:color="auto"/>
          </w:divBdr>
        </w:div>
        <w:div w:id="1448162785">
          <w:marLeft w:val="0"/>
          <w:marRight w:val="0"/>
          <w:marTop w:val="0"/>
          <w:marBottom w:val="0"/>
          <w:divBdr>
            <w:top w:val="none" w:sz="0" w:space="0" w:color="auto"/>
            <w:left w:val="none" w:sz="0" w:space="0" w:color="auto"/>
            <w:bottom w:val="none" w:sz="0" w:space="0" w:color="auto"/>
            <w:right w:val="none" w:sz="0" w:space="0" w:color="auto"/>
          </w:divBdr>
        </w:div>
        <w:div w:id="406273440">
          <w:marLeft w:val="0"/>
          <w:marRight w:val="0"/>
          <w:marTop w:val="0"/>
          <w:marBottom w:val="600"/>
          <w:divBdr>
            <w:top w:val="none" w:sz="0" w:space="0" w:color="auto"/>
            <w:left w:val="none" w:sz="0" w:space="0" w:color="auto"/>
            <w:bottom w:val="none" w:sz="0" w:space="0" w:color="auto"/>
            <w:right w:val="none" w:sz="0" w:space="0" w:color="auto"/>
          </w:divBdr>
        </w:div>
      </w:divsChild>
    </w:div>
    <w:div w:id="1006136015">
      <w:marLeft w:val="0"/>
      <w:marRight w:val="0"/>
      <w:marTop w:val="0"/>
      <w:marBottom w:val="0"/>
      <w:divBdr>
        <w:top w:val="none" w:sz="0" w:space="0" w:color="auto"/>
        <w:left w:val="none" w:sz="0" w:space="0" w:color="auto"/>
        <w:bottom w:val="none" w:sz="0" w:space="0" w:color="auto"/>
        <w:right w:val="none" w:sz="0" w:space="0" w:color="auto"/>
      </w:divBdr>
      <w:divsChild>
        <w:div w:id="70587382">
          <w:marLeft w:val="0"/>
          <w:marRight w:val="0"/>
          <w:marTop w:val="600"/>
          <w:marBottom w:val="0"/>
          <w:divBdr>
            <w:top w:val="none" w:sz="0" w:space="0" w:color="auto"/>
            <w:left w:val="none" w:sz="0" w:space="0" w:color="auto"/>
            <w:bottom w:val="none" w:sz="0" w:space="0" w:color="auto"/>
            <w:right w:val="none" w:sz="0" w:space="0" w:color="auto"/>
          </w:divBdr>
        </w:div>
        <w:div w:id="1147475125">
          <w:marLeft w:val="0"/>
          <w:marRight w:val="0"/>
          <w:marTop w:val="0"/>
          <w:marBottom w:val="0"/>
          <w:divBdr>
            <w:top w:val="none" w:sz="0" w:space="0" w:color="auto"/>
            <w:left w:val="none" w:sz="0" w:space="0" w:color="auto"/>
            <w:bottom w:val="none" w:sz="0" w:space="0" w:color="auto"/>
            <w:right w:val="none" w:sz="0" w:space="0" w:color="auto"/>
          </w:divBdr>
          <w:divsChild>
            <w:div w:id="1140809826">
              <w:marLeft w:val="547"/>
              <w:marRight w:val="0"/>
              <w:marTop w:val="0"/>
              <w:marBottom w:val="0"/>
              <w:divBdr>
                <w:top w:val="none" w:sz="0" w:space="0" w:color="auto"/>
                <w:left w:val="none" w:sz="0" w:space="0" w:color="auto"/>
                <w:bottom w:val="none" w:sz="0" w:space="0" w:color="auto"/>
                <w:right w:val="none" w:sz="0" w:space="0" w:color="auto"/>
              </w:divBdr>
            </w:div>
            <w:div w:id="889802349">
              <w:marLeft w:val="547"/>
              <w:marRight w:val="0"/>
              <w:marTop w:val="0"/>
              <w:marBottom w:val="0"/>
              <w:divBdr>
                <w:top w:val="none" w:sz="0" w:space="0" w:color="auto"/>
                <w:left w:val="none" w:sz="0" w:space="0" w:color="auto"/>
                <w:bottom w:val="none" w:sz="0" w:space="0" w:color="auto"/>
                <w:right w:val="none" w:sz="0" w:space="0" w:color="auto"/>
              </w:divBdr>
            </w:div>
            <w:div w:id="1290011360">
              <w:marLeft w:val="547"/>
              <w:marRight w:val="0"/>
              <w:marTop w:val="0"/>
              <w:marBottom w:val="0"/>
              <w:divBdr>
                <w:top w:val="none" w:sz="0" w:space="0" w:color="auto"/>
                <w:left w:val="none" w:sz="0" w:space="0" w:color="auto"/>
                <w:bottom w:val="none" w:sz="0" w:space="0" w:color="auto"/>
                <w:right w:val="none" w:sz="0" w:space="0" w:color="auto"/>
              </w:divBdr>
            </w:div>
          </w:divsChild>
        </w:div>
        <w:div w:id="1989630634">
          <w:marLeft w:val="0"/>
          <w:marRight w:val="0"/>
          <w:marTop w:val="0"/>
          <w:marBottom w:val="600"/>
          <w:divBdr>
            <w:top w:val="none" w:sz="0" w:space="0" w:color="auto"/>
            <w:left w:val="none" w:sz="0" w:space="0" w:color="auto"/>
            <w:bottom w:val="none" w:sz="0" w:space="0" w:color="auto"/>
            <w:right w:val="none" w:sz="0" w:space="0" w:color="auto"/>
          </w:divBdr>
        </w:div>
      </w:divsChild>
    </w:div>
    <w:div w:id="1011026960">
      <w:marLeft w:val="0"/>
      <w:marRight w:val="0"/>
      <w:marTop w:val="0"/>
      <w:marBottom w:val="0"/>
      <w:divBdr>
        <w:top w:val="none" w:sz="0" w:space="0" w:color="auto"/>
        <w:left w:val="none" w:sz="0" w:space="0" w:color="auto"/>
        <w:bottom w:val="none" w:sz="0" w:space="0" w:color="auto"/>
        <w:right w:val="none" w:sz="0" w:space="0" w:color="auto"/>
      </w:divBdr>
      <w:divsChild>
        <w:div w:id="158431198">
          <w:marLeft w:val="0"/>
          <w:marRight w:val="0"/>
          <w:marTop w:val="600"/>
          <w:marBottom w:val="0"/>
          <w:divBdr>
            <w:top w:val="none" w:sz="0" w:space="0" w:color="auto"/>
            <w:left w:val="none" w:sz="0" w:space="0" w:color="auto"/>
            <w:bottom w:val="none" w:sz="0" w:space="0" w:color="auto"/>
            <w:right w:val="none" w:sz="0" w:space="0" w:color="auto"/>
          </w:divBdr>
        </w:div>
        <w:div w:id="957372364">
          <w:marLeft w:val="0"/>
          <w:marRight w:val="0"/>
          <w:marTop w:val="0"/>
          <w:marBottom w:val="0"/>
          <w:divBdr>
            <w:top w:val="none" w:sz="0" w:space="0" w:color="auto"/>
            <w:left w:val="none" w:sz="0" w:space="0" w:color="auto"/>
            <w:bottom w:val="none" w:sz="0" w:space="0" w:color="auto"/>
            <w:right w:val="none" w:sz="0" w:space="0" w:color="auto"/>
          </w:divBdr>
        </w:div>
        <w:div w:id="1323123388">
          <w:marLeft w:val="0"/>
          <w:marRight w:val="0"/>
          <w:marTop w:val="0"/>
          <w:marBottom w:val="600"/>
          <w:divBdr>
            <w:top w:val="none" w:sz="0" w:space="0" w:color="auto"/>
            <w:left w:val="none" w:sz="0" w:space="0" w:color="auto"/>
            <w:bottom w:val="none" w:sz="0" w:space="0" w:color="auto"/>
            <w:right w:val="none" w:sz="0" w:space="0" w:color="auto"/>
          </w:divBdr>
        </w:div>
      </w:divsChild>
    </w:div>
    <w:div w:id="1011420481">
      <w:marLeft w:val="0"/>
      <w:marRight w:val="0"/>
      <w:marTop w:val="0"/>
      <w:marBottom w:val="0"/>
      <w:divBdr>
        <w:top w:val="none" w:sz="0" w:space="0" w:color="auto"/>
        <w:left w:val="none" w:sz="0" w:space="0" w:color="auto"/>
        <w:bottom w:val="none" w:sz="0" w:space="0" w:color="auto"/>
        <w:right w:val="none" w:sz="0" w:space="0" w:color="auto"/>
      </w:divBdr>
      <w:divsChild>
        <w:div w:id="792359459">
          <w:marLeft w:val="0"/>
          <w:marRight w:val="0"/>
          <w:marTop w:val="600"/>
          <w:marBottom w:val="0"/>
          <w:divBdr>
            <w:top w:val="none" w:sz="0" w:space="0" w:color="auto"/>
            <w:left w:val="none" w:sz="0" w:space="0" w:color="auto"/>
            <w:bottom w:val="none" w:sz="0" w:space="0" w:color="auto"/>
            <w:right w:val="none" w:sz="0" w:space="0" w:color="auto"/>
          </w:divBdr>
        </w:div>
        <w:div w:id="239992840">
          <w:marLeft w:val="0"/>
          <w:marRight w:val="0"/>
          <w:marTop w:val="0"/>
          <w:marBottom w:val="0"/>
          <w:divBdr>
            <w:top w:val="none" w:sz="0" w:space="0" w:color="auto"/>
            <w:left w:val="none" w:sz="0" w:space="0" w:color="auto"/>
            <w:bottom w:val="none" w:sz="0" w:space="0" w:color="auto"/>
            <w:right w:val="none" w:sz="0" w:space="0" w:color="auto"/>
          </w:divBdr>
          <w:divsChild>
            <w:div w:id="1299992383">
              <w:marLeft w:val="0"/>
              <w:marRight w:val="0"/>
              <w:marTop w:val="0"/>
              <w:marBottom w:val="0"/>
              <w:divBdr>
                <w:top w:val="none" w:sz="0" w:space="0" w:color="auto"/>
                <w:left w:val="none" w:sz="0" w:space="0" w:color="auto"/>
                <w:bottom w:val="none" w:sz="0" w:space="0" w:color="auto"/>
                <w:right w:val="none" w:sz="0" w:space="0" w:color="auto"/>
              </w:divBdr>
              <w:divsChild>
                <w:div w:id="1573001713">
                  <w:marLeft w:val="0"/>
                  <w:marRight w:val="0"/>
                  <w:marTop w:val="0"/>
                  <w:marBottom w:val="0"/>
                  <w:divBdr>
                    <w:top w:val="none" w:sz="0" w:space="0" w:color="auto"/>
                    <w:left w:val="none" w:sz="0" w:space="0" w:color="auto"/>
                    <w:bottom w:val="none" w:sz="0" w:space="0" w:color="auto"/>
                    <w:right w:val="none" w:sz="0" w:space="0" w:color="auto"/>
                  </w:divBdr>
                </w:div>
              </w:divsChild>
            </w:div>
            <w:div w:id="2123647205">
              <w:marLeft w:val="0"/>
              <w:marRight w:val="0"/>
              <w:marTop w:val="0"/>
              <w:marBottom w:val="0"/>
              <w:divBdr>
                <w:top w:val="none" w:sz="0" w:space="0" w:color="auto"/>
                <w:left w:val="none" w:sz="0" w:space="0" w:color="auto"/>
                <w:bottom w:val="none" w:sz="0" w:space="0" w:color="auto"/>
                <w:right w:val="none" w:sz="0" w:space="0" w:color="auto"/>
              </w:divBdr>
              <w:divsChild>
                <w:div w:id="1410662840">
                  <w:marLeft w:val="0"/>
                  <w:marRight w:val="0"/>
                  <w:marTop w:val="0"/>
                  <w:marBottom w:val="0"/>
                  <w:divBdr>
                    <w:top w:val="none" w:sz="0" w:space="0" w:color="auto"/>
                    <w:left w:val="none" w:sz="0" w:space="0" w:color="auto"/>
                    <w:bottom w:val="none" w:sz="0" w:space="0" w:color="auto"/>
                    <w:right w:val="none" w:sz="0" w:space="0" w:color="auto"/>
                  </w:divBdr>
                </w:div>
              </w:divsChild>
            </w:div>
            <w:div w:id="1710298742">
              <w:marLeft w:val="0"/>
              <w:marRight w:val="0"/>
              <w:marTop w:val="0"/>
              <w:marBottom w:val="0"/>
              <w:divBdr>
                <w:top w:val="none" w:sz="0" w:space="0" w:color="auto"/>
                <w:left w:val="none" w:sz="0" w:space="0" w:color="auto"/>
                <w:bottom w:val="none" w:sz="0" w:space="0" w:color="auto"/>
                <w:right w:val="none" w:sz="0" w:space="0" w:color="auto"/>
              </w:divBdr>
              <w:divsChild>
                <w:div w:id="621569477">
                  <w:marLeft w:val="0"/>
                  <w:marRight w:val="0"/>
                  <w:marTop w:val="0"/>
                  <w:marBottom w:val="0"/>
                  <w:divBdr>
                    <w:top w:val="none" w:sz="0" w:space="0" w:color="auto"/>
                    <w:left w:val="none" w:sz="0" w:space="0" w:color="auto"/>
                    <w:bottom w:val="none" w:sz="0" w:space="0" w:color="auto"/>
                    <w:right w:val="none" w:sz="0" w:space="0" w:color="auto"/>
                  </w:divBdr>
                </w:div>
              </w:divsChild>
            </w:div>
            <w:div w:id="555970553">
              <w:marLeft w:val="0"/>
              <w:marRight w:val="0"/>
              <w:marTop w:val="0"/>
              <w:marBottom w:val="0"/>
              <w:divBdr>
                <w:top w:val="none" w:sz="0" w:space="0" w:color="auto"/>
                <w:left w:val="none" w:sz="0" w:space="0" w:color="auto"/>
                <w:bottom w:val="none" w:sz="0" w:space="0" w:color="auto"/>
                <w:right w:val="none" w:sz="0" w:space="0" w:color="auto"/>
              </w:divBdr>
              <w:divsChild>
                <w:div w:id="1039860230">
                  <w:marLeft w:val="0"/>
                  <w:marRight w:val="0"/>
                  <w:marTop w:val="0"/>
                  <w:marBottom w:val="0"/>
                  <w:divBdr>
                    <w:top w:val="none" w:sz="0" w:space="0" w:color="auto"/>
                    <w:left w:val="none" w:sz="0" w:space="0" w:color="auto"/>
                    <w:bottom w:val="none" w:sz="0" w:space="0" w:color="auto"/>
                    <w:right w:val="none" w:sz="0" w:space="0" w:color="auto"/>
                  </w:divBdr>
                </w:div>
              </w:divsChild>
            </w:div>
            <w:div w:id="464852787">
              <w:marLeft w:val="0"/>
              <w:marRight w:val="0"/>
              <w:marTop w:val="0"/>
              <w:marBottom w:val="0"/>
              <w:divBdr>
                <w:top w:val="none" w:sz="0" w:space="0" w:color="auto"/>
                <w:left w:val="none" w:sz="0" w:space="0" w:color="auto"/>
                <w:bottom w:val="none" w:sz="0" w:space="0" w:color="auto"/>
                <w:right w:val="none" w:sz="0" w:space="0" w:color="auto"/>
              </w:divBdr>
              <w:divsChild>
                <w:div w:id="1130710292">
                  <w:marLeft w:val="0"/>
                  <w:marRight w:val="0"/>
                  <w:marTop w:val="0"/>
                  <w:marBottom w:val="0"/>
                  <w:divBdr>
                    <w:top w:val="none" w:sz="0" w:space="0" w:color="auto"/>
                    <w:left w:val="none" w:sz="0" w:space="0" w:color="auto"/>
                    <w:bottom w:val="none" w:sz="0" w:space="0" w:color="auto"/>
                    <w:right w:val="none" w:sz="0" w:space="0" w:color="auto"/>
                  </w:divBdr>
                </w:div>
              </w:divsChild>
            </w:div>
            <w:div w:id="1220483680">
              <w:marLeft w:val="0"/>
              <w:marRight w:val="0"/>
              <w:marTop w:val="0"/>
              <w:marBottom w:val="0"/>
              <w:divBdr>
                <w:top w:val="none" w:sz="0" w:space="0" w:color="auto"/>
                <w:left w:val="none" w:sz="0" w:space="0" w:color="auto"/>
                <w:bottom w:val="none" w:sz="0" w:space="0" w:color="auto"/>
                <w:right w:val="none" w:sz="0" w:space="0" w:color="auto"/>
              </w:divBdr>
              <w:divsChild>
                <w:div w:id="2086535587">
                  <w:marLeft w:val="0"/>
                  <w:marRight w:val="0"/>
                  <w:marTop w:val="0"/>
                  <w:marBottom w:val="0"/>
                  <w:divBdr>
                    <w:top w:val="none" w:sz="0" w:space="0" w:color="auto"/>
                    <w:left w:val="none" w:sz="0" w:space="0" w:color="auto"/>
                    <w:bottom w:val="none" w:sz="0" w:space="0" w:color="auto"/>
                    <w:right w:val="none" w:sz="0" w:space="0" w:color="auto"/>
                  </w:divBdr>
                </w:div>
              </w:divsChild>
            </w:div>
            <w:div w:id="1420712049">
              <w:marLeft w:val="0"/>
              <w:marRight w:val="0"/>
              <w:marTop w:val="0"/>
              <w:marBottom w:val="0"/>
              <w:divBdr>
                <w:top w:val="none" w:sz="0" w:space="0" w:color="auto"/>
                <w:left w:val="none" w:sz="0" w:space="0" w:color="auto"/>
                <w:bottom w:val="none" w:sz="0" w:space="0" w:color="auto"/>
                <w:right w:val="none" w:sz="0" w:space="0" w:color="auto"/>
              </w:divBdr>
              <w:divsChild>
                <w:div w:id="1934391940">
                  <w:marLeft w:val="0"/>
                  <w:marRight w:val="0"/>
                  <w:marTop w:val="0"/>
                  <w:marBottom w:val="0"/>
                  <w:divBdr>
                    <w:top w:val="none" w:sz="0" w:space="0" w:color="auto"/>
                    <w:left w:val="none" w:sz="0" w:space="0" w:color="auto"/>
                    <w:bottom w:val="none" w:sz="0" w:space="0" w:color="auto"/>
                    <w:right w:val="none" w:sz="0" w:space="0" w:color="auto"/>
                  </w:divBdr>
                </w:div>
              </w:divsChild>
            </w:div>
            <w:div w:id="138423997">
              <w:marLeft w:val="0"/>
              <w:marRight w:val="0"/>
              <w:marTop w:val="0"/>
              <w:marBottom w:val="0"/>
              <w:divBdr>
                <w:top w:val="none" w:sz="0" w:space="0" w:color="auto"/>
                <w:left w:val="none" w:sz="0" w:space="0" w:color="auto"/>
                <w:bottom w:val="none" w:sz="0" w:space="0" w:color="auto"/>
                <w:right w:val="none" w:sz="0" w:space="0" w:color="auto"/>
              </w:divBdr>
              <w:divsChild>
                <w:div w:id="388773325">
                  <w:marLeft w:val="0"/>
                  <w:marRight w:val="0"/>
                  <w:marTop w:val="0"/>
                  <w:marBottom w:val="0"/>
                  <w:divBdr>
                    <w:top w:val="none" w:sz="0" w:space="0" w:color="auto"/>
                    <w:left w:val="none" w:sz="0" w:space="0" w:color="auto"/>
                    <w:bottom w:val="none" w:sz="0" w:space="0" w:color="auto"/>
                    <w:right w:val="none" w:sz="0" w:space="0" w:color="auto"/>
                  </w:divBdr>
                </w:div>
              </w:divsChild>
            </w:div>
            <w:div w:id="288317812">
              <w:marLeft w:val="0"/>
              <w:marRight w:val="0"/>
              <w:marTop w:val="0"/>
              <w:marBottom w:val="0"/>
              <w:divBdr>
                <w:top w:val="none" w:sz="0" w:space="0" w:color="auto"/>
                <w:left w:val="none" w:sz="0" w:space="0" w:color="auto"/>
                <w:bottom w:val="none" w:sz="0" w:space="0" w:color="auto"/>
                <w:right w:val="none" w:sz="0" w:space="0" w:color="auto"/>
              </w:divBdr>
              <w:divsChild>
                <w:div w:id="210196580">
                  <w:marLeft w:val="0"/>
                  <w:marRight w:val="0"/>
                  <w:marTop w:val="0"/>
                  <w:marBottom w:val="0"/>
                  <w:divBdr>
                    <w:top w:val="none" w:sz="0" w:space="0" w:color="auto"/>
                    <w:left w:val="none" w:sz="0" w:space="0" w:color="auto"/>
                    <w:bottom w:val="none" w:sz="0" w:space="0" w:color="auto"/>
                    <w:right w:val="none" w:sz="0" w:space="0" w:color="auto"/>
                  </w:divBdr>
                </w:div>
              </w:divsChild>
            </w:div>
            <w:div w:id="49309512">
              <w:marLeft w:val="0"/>
              <w:marRight w:val="0"/>
              <w:marTop w:val="0"/>
              <w:marBottom w:val="0"/>
              <w:divBdr>
                <w:top w:val="none" w:sz="0" w:space="0" w:color="auto"/>
                <w:left w:val="none" w:sz="0" w:space="0" w:color="auto"/>
                <w:bottom w:val="none" w:sz="0" w:space="0" w:color="auto"/>
                <w:right w:val="none" w:sz="0" w:space="0" w:color="auto"/>
              </w:divBdr>
              <w:divsChild>
                <w:div w:id="14160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4447">
          <w:marLeft w:val="0"/>
          <w:marRight w:val="0"/>
          <w:marTop w:val="0"/>
          <w:marBottom w:val="600"/>
          <w:divBdr>
            <w:top w:val="none" w:sz="0" w:space="0" w:color="auto"/>
            <w:left w:val="none" w:sz="0" w:space="0" w:color="auto"/>
            <w:bottom w:val="none" w:sz="0" w:space="0" w:color="auto"/>
            <w:right w:val="none" w:sz="0" w:space="0" w:color="auto"/>
          </w:divBdr>
        </w:div>
      </w:divsChild>
    </w:div>
    <w:div w:id="1012533212">
      <w:marLeft w:val="0"/>
      <w:marRight w:val="0"/>
      <w:marTop w:val="0"/>
      <w:marBottom w:val="0"/>
      <w:divBdr>
        <w:top w:val="none" w:sz="0" w:space="0" w:color="auto"/>
        <w:left w:val="none" w:sz="0" w:space="0" w:color="auto"/>
        <w:bottom w:val="none" w:sz="0" w:space="0" w:color="auto"/>
        <w:right w:val="none" w:sz="0" w:space="0" w:color="auto"/>
      </w:divBdr>
      <w:divsChild>
        <w:div w:id="134566063">
          <w:marLeft w:val="0"/>
          <w:marRight w:val="0"/>
          <w:marTop w:val="600"/>
          <w:marBottom w:val="0"/>
          <w:divBdr>
            <w:top w:val="none" w:sz="0" w:space="0" w:color="auto"/>
            <w:left w:val="none" w:sz="0" w:space="0" w:color="auto"/>
            <w:bottom w:val="none" w:sz="0" w:space="0" w:color="auto"/>
            <w:right w:val="none" w:sz="0" w:space="0" w:color="auto"/>
          </w:divBdr>
        </w:div>
        <w:div w:id="1214925594">
          <w:marLeft w:val="0"/>
          <w:marRight w:val="0"/>
          <w:marTop w:val="0"/>
          <w:marBottom w:val="0"/>
          <w:divBdr>
            <w:top w:val="none" w:sz="0" w:space="0" w:color="auto"/>
            <w:left w:val="none" w:sz="0" w:space="0" w:color="auto"/>
            <w:bottom w:val="none" w:sz="0" w:space="0" w:color="auto"/>
            <w:right w:val="none" w:sz="0" w:space="0" w:color="auto"/>
          </w:divBdr>
          <w:divsChild>
            <w:div w:id="1902716187">
              <w:marLeft w:val="547"/>
              <w:marRight w:val="0"/>
              <w:marTop w:val="0"/>
              <w:marBottom w:val="0"/>
              <w:divBdr>
                <w:top w:val="none" w:sz="0" w:space="0" w:color="auto"/>
                <w:left w:val="none" w:sz="0" w:space="0" w:color="auto"/>
                <w:bottom w:val="none" w:sz="0" w:space="0" w:color="auto"/>
                <w:right w:val="none" w:sz="0" w:space="0" w:color="auto"/>
              </w:divBdr>
            </w:div>
            <w:div w:id="165290850">
              <w:marLeft w:val="547"/>
              <w:marRight w:val="0"/>
              <w:marTop w:val="0"/>
              <w:marBottom w:val="0"/>
              <w:divBdr>
                <w:top w:val="none" w:sz="0" w:space="0" w:color="auto"/>
                <w:left w:val="none" w:sz="0" w:space="0" w:color="auto"/>
                <w:bottom w:val="none" w:sz="0" w:space="0" w:color="auto"/>
                <w:right w:val="none" w:sz="0" w:space="0" w:color="auto"/>
              </w:divBdr>
            </w:div>
            <w:div w:id="1979607350">
              <w:marLeft w:val="547"/>
              <w:marRight w:val="0"/>
              <w:marTop w:val="0"/>
              <w:marBottom w:val="0"/>
              <w:divBdr>
                <w:top w:val="none" w:sz="0" w:space="0" w:color="auto"/>
                <w:left w:val="none" w:sz="0" w:space="0" w:color="auto"/>
                <w:bottom w:val="none" w:sz="0" w:space="0" w:color="auto"/>
                <w:right w:val="none" w:sz="0" w:space="0" w:color="auto"/>
              </w:divBdr>
            </w:div>
            <w:div w:id="1772965143">
              <w:marLeft w:val="547"/>
              <w:marRight w:val="0"/>
              <w:marTop w:val="0"/>
              <w:marBottom w:val="0"/>
              <w:divBdr>
                <w:top w:val="none" w:sz="0" w:space="0" w:color="auto"/>
                <w:left w:val="none" w:sz="0" w:space="0" w:color="auto"/>
                <w:bottom w:val="none" w:sz="0" w:space="0" w:color="auto"/>
                <w:right w:val="none" w:sz="0" w:space="0" w:color="auto"/>
              </w:divBdr>
            </w:div>
            <w:div w:id="317346493">
              <w:marLeft w:val="547"/>
              <w:marRight w:val="0"/>
              <w:marTop w:val="0"/>
              <w:marBottom w:val="0"/>
              <w:divBdr>
                <w:top w:val="none" w:sz="0" w:space="0" w:color="auto"/>
                <w:left w:val="none" w:sz="0" w:space="0" w:color="auto"/>
                <w:bottom w:val="none" w:sz="0" w:space="0" w:color="auto"/>
                <w:right w:val="none" w:sz="0" w:space="0" w:color="auto"/>
              </w:divBdr>
            </w:div>
          </w:divsChild>
        </w:div>
        <w:div w:id="1108891442">
          <w:marLeft w:val="0"/>
          <w:marRight w:val="0"/>
          <w:marTop w:val="0"/>
          <w:marBottom w:val="600"/>
          <w:divBdr>
            <w:top w:val="none" w:sz="0" w:space="0" w:color="auto"/>
            <w:left w:val="none" w:sz="0" w:space="0" w:color="auto"/>
            <w:bottom w:val="none" w:sz="0" w:space="0" w:color="auto"/>
            <w:right w:val="none" w:sz="0" w:space="0" w:color="auto"/>
          </w:divBdr>
        </w:div>
      </w:divsChild>
    </w:div>
    <w:div w:id="1018626758">
      <w:marLeft w:val="0"/>
      <w:marRight w:val="0"/>
      <w:marTop w:val="0"/>
      <w:marBottom w:val="0"/>
      <w:divBdr>
        <w:top w:val="none" w:sz="0" w:space="0" w:color="auto"/>
        <w:left w:val="none" w:sz="0" w:space="0" w:color="auto"/>
        <w:bottom w:val="none" w:sz="0" w:space="0" w:color="auto"/>
        <w:right w:val="none" w:sz="0" w:space="0" w:color="auto"/>
      </w:divBdr>
      <w:divsChild>
        <w:div w:id="1172915923">
          <w:marLeft w:val="0"/>
          <w:marRight w:val="0"/>
          <w:marTop w:val="600"/>
          <w:marBottom w:val="0"/>
          <w:divBdr>
            <w:top w:val="none" w:sz="0" w:space="0" w:color="auto"/>
            <w:left w:val="none" w:sz="0" w:space="0" w:color="auto"/>
            <w:bottom w:val="none" w:sz="0" w:space="0" w:color="auto"/>
            <w:right w:val="none" w:sz="0" w:space="0" w:color="auto"/>
          </w:divBdr>
        </w:div>
        <w:div w:id="860049028">
          <w:marLeft w:val="0"/>
          <w:marRight w:val="0"/>
          <w:marTop w:val="0"/>
          <w:marBottom w:val="0"/>
          <w:divBdr>
            <w:top w:val="none" w:sz="0" w:space="0" w:color="auto"/>
            <w:left w:val="none" w:sz="0" w:space="0" w:color="auto"/>
            <w:bottom w:val="none" w:sz="0" w:space="0" w:color="auto"/>
            <w:right w:val="none" w:sz="0" w:space="0" w:color="auto"/>
          </w:divBdr>
        </w:div>
        <w:div w:id="1008871361">
          <w:marLeft w:val="0"/>
          <w:marRight w:val="0"/>
          <w:marTop w:val="0"/>
          <w:marBottom w:val="600"/>
          <w:divBdr>
            <w:top w:val="none" w:sz="0" w:space="0" w:color="auto"/>
            <w:left w:val="none" w:sz="0" w:space="0" w:color="auto"/>
            <w:bottom w:val="none" w:sz="0" w:space="0" w:color="auto"/>
            <w:right w:val="none" w:sz="0" w:space="0" w:color="auto"/>
          </w:divBdr>
        </w:div>
      </w:divsChild>
    </w:div>
    <w:div w:id="1028220498">
      <w:marLeft w:val="0"/>
      <w:marRight w:val="0"/>
      <w:marTop w:val="0"/>
      <w:marBottom w:val="0"/>
      <w:divBdr>
        <w:top w:val="none" w:sz="0" w:space="0" w:color="auto"/>
        <w:left w:val="none" w:sz="0" w:space="0" w:color="auto"/>
        <w:bottom w:val="none" w:sz="0" w:space="0" w:color="auto"/>
        <w:right w:val="none" w:sz="0" w:space="0" w:color="auto"/>
      </w:divBdr>
      <w:divsChild>
        <w:div w:id="229734557">
          <w:marLeft w:val="0"/>
          <w:marRight w:val="0"/>
          <w:marTop w:val="600"/>
          <w:marBottom w:val="0"/>
          <w:divBdr>
            <w:top w:val="none" w:sz="0" w:space="0" w:color="auto"/>
            <w:left w:val="none" w:sz="0" w:space="0" w:color="auto"/>
            <w:bottom w:val="none" w:sz="0" w:space="0" w:color="auto"/>
            <w:right w:val="none" w:sz="0" w:space="0" w:color="auto"/>
          </w:divBdr>
        </w:div>
        <w:div w:id="1077285227">
          <w:marLeft w:val="0"/>
          <w:marRight w:val="0"/>
          <w:marTop w:val="0"/>
          <w:marBottom w:val="0"/>
          <w:divBdr>
            <w:top w:val="none" w:sz="0" w:space="0" w:color="auto"/>
            <w:left w:val="none" w:sz="0" w:space="0" w:color="auto"/>
            <w:bottom w:val="none" w:sz="0" w:space="0" w:color="auto"/>
            <w:right w:val="none" w:sz="0" w:space="0" w:color="auto"/>
          </w:divBdr>
        </w:div>
        <w:div w:id="870924734">
          <w:marLeft w:val="0"/>
          <w:marRight w:val="0"/>
          <w:marTop w:val="0"/>
          <w:marBottom w:val="600"/>
          <w:divBdr>
            <w:top w:val="none" w:sz="0" w:space="0" w:color="auto"/>
            <w:left w:val="none" w:sz="0" w:space="0" w:color="auto"/>
            <w:bottom w:val="none" w:sz="0" w:space="0" w:color="auto"/>
            <w:right w:val="none" w:sz="0" w:space="0" w:color="auto"/>
          </w:divBdr>
        </w:div>
      </w:divsChild>
    </w:div>
    <w:div w:id="1037510187">
      <w:marLeft w:val="0"/>
      <w:marRight w:val="0"/>
      <w:marTop w:val="0"/>
      <w:marBottom w:val="0"/>
      <w:divBdr>
        <w:top w:val="none" w:sz="0" w:space="0" w:color="auto"/>
        <w:left w:val="none" w:sz="0" w:space="0" w:color="auto"/>
        <w:bottom w:val="none" w:sz="0" w:space="0" w:color="auto"/>
        <w:right w:val="none" w:sz="0" w:space="0" w:color="auto"/>
      </w:divBdr>
      <w:divsChild>
        <w:div w:id="932205661">
          <w:marLeft w:val="0"/>
          <w:marRight w:val="0"/>
          <w:marTop w:val="600"/>
          <w:marBottom w:val="0"/>
          <w:divBdr>
            <w:top w:val="none" w:sz="0" w:space="0" w:color="auto"/>
            <w:left w:val="none" w:sz="0" w:space="0" w:color="auto"/>
            <w:bottom w:val="none" w:sz="0" w:space="0" w:color="auto"/>
            <w:right w:val="none" w:sz="0" w:space="0" w:color="auto"/>
          </w:divBdr>
        </w:div>
        <w:div w:id="280302714">
          <w:marLeft w:val="0"/>
          <w:marRight w:val="0"/>
          <w:marTop w:val="0"/>
          <w:marBottom w:val="0"/>
          <w:divBdr>
            <w:top w:val="none" w:sz="0" w:space="0" w:color="auto"/>
            <w:left w:val="none" w:sz="0" w:space="0" w:color="auto"/>
            <w:bottom w:val="none" w:sz="0" w:space="0" w:color="auto"/>
            <w:right w:val="none" w:sz="0" w:space="0" w:color="auto"/>
          </w:divBdr>
        </w:div>
        <w:div w:id="130252627">
          <w:marLeft w:val="0"/>
          <w:marRight w:val="0"/>
          <w:marTop w:val="0"/>
          <w:marBottom w:val="600"/>
          <w:divBdr>
            <w:top w:val="none" w:sz="0" w:space="0" w:color="auto"/>
            <w:left w:val="none" w:sz="0" w:space="0" w:color="auto"/>
            <w:bottom w:val="none" w:sz="0" w:space="0" w:color="auto"/>
            <w:right w:val="none" w:sz="0" w:space="0" w:color="auto"/>
          </w:divBdr>
        </w:div>
      </w:divsChild>
    </w:div>
    <w:div w:id="1052653590">
      <w:marLeft w:val="0"/>
      <w:marRight w:val="0"/>
      <w:marTop w:val="0"/>
      <w:marBottom w:val="0"/>
      <w:divBdr>
        <w:top w:val="none" w:sz="0" w:space="0" w:color="auto"/>
        <w:left w:val="none" w:sz="0" w:space="0" w:color="auto"/>
        <w:bottom w:val="none" w:sz="0" w:space="0" w:color="auto"/>
        <w:right w:val="none" w:sz="0" w:space="0" w:color="auto"/>
      </w:divBdr>
      <w:divsChild>
        <w:div w:id="794328449">
          <w:marLeft w:val="0"/>
          <w:marRight w:val="0"/>
          <w:marTop w:val="600"/>
          <w:marBottom w:val="0"/>
          <w:divBdr>
            <w:top w:val="none" w:sz="0" w:space="0" w:color="auto"/>
            <w:left w:val="none" w:sz="0" w:space="0" w:color="auto"/>
            <w:bottom w:val="none" w:sz="0" w:space="0" w:color="auto"/>
            <w:right w:val="none" w:sz="0" w:space="0" w:color="auto"/>
          </w:divBdr>
        </w:div>
        <w:div w:id="876817997">
          <w:marLeft w:val="0"/>
          <w:marRight w:val="0"/>
          <w:marTop w:val="0"/>
          <w:marBottom w:val="0"/>
          <w:divBdr>
            <w:top w:val="none" w:sz="0" w:space="0" w:color="auto"/>
            <w:left w:val="none" w:sz="0" w:space="0" w:color="auto"/>
            <w:bottom w:val="none" w:sz="0" w:space="0" w:color="auto"/>
            <w:right w:val="none" w:sz="0" w:space="0" w:color="auto"/>
          </w:divBdr>
          <w:divsChild>
            <w:div w:id="1598169136">
              <w:marLeft w:val="0"/>
              <w:marRight w:val="0"/>
              <w:marTop w:val="0"/>
              <w:marBottom w:val="0"/>
              <w:divBdr>
                <w:top w:val="none" w:sz="0" w:space="0" w:color="auto"/>
                <w:left w:val="none" w:sz="0" w:space="0" w:color="auto"/>
                <w:bottom w:val="none" w:sz="0" w:space="0" w:color="auto"/>
                <w:right w:val="none" w:sz="0" w:space="0" w:color="auto"/>
              </w:divBdr>
              <w:divsChild>
                <w:div w:id="1729986124">
                  <w:marLeft w:val="0"/>
                  <w:marRight w:val="0"/>
                  <w:marTop w:val="0"/>
                  <w:marBottom w:val="0"/>
                  <w:divBdr>
                    <w:top w:val="none" w:sz="0" w:space="0" w:color="auto"/>
                    <w:left w:val="none" w:sz="0" w:space="0" w:color="auto"/>
                    <w:bottom w:val="none" w:sz="0" w:space="0" w:color="auto"/>
                    <w:right w:val="none" w:sz="0" w:space="0" w:color="auto"/>
                  </w:divBdr>
                </w:div>
              </w:divsChild>
            </w:div>
            <w:div w:id="683633611">
              <w:marLeft w:val="0"/>
              <w:marRight w:val="0"/>
              <w:marTop w:val="0"/>
              <w:marBottom w:val="0"/>
              <w:divBdr>
                <w:top w:val="none" w:sz="0" w:space="0" w:color="auto"/>
                <w:left w:val="none" w:sz="0" w:space="0" w:color="auto"/>
                <w:bottom w:val="none" w:sz="0" w:space="0" w:color="auto"/>
                <w:right w:val="none" w:sz="0" w:space="0" w:color="auto"/>
              </w:divBdr>
              <w:divsChild>
                <w:div w:id="1549417103">
                  <w:marLeft w:val="0"/>
                  <w:marRight w:val="0"/>
                  <w:marTop w:val="0"/>
                  <w:marBottom w:val="0"/>
                  <w:divBdr>
                    <w:top w:val="none" w:sz="0" w:space="0" w:color="auto"/>
                    <w:left w:val="none" w:sz="0" w:space="0" w:color="auto"/>
                    <w:bottom w:val="none" w:sz="0" w:space="0" w:color="auto"/>
                    <w:right w:val="none" w:sz="0" w:space="0" w:color="auto"/>
                  </w:divBdr>
                </w:div>
              </w:divsChild>
            </w:div>
            <w:div w:id="1384603054">
              <w:marLeft w:val="0"/>
              <w:marRight w:val="0"/>
              <w:marTop w:val="0"/>
              <w:marBottom w:val="0"/>
              <w:divBdr>
                <w:top w:val="none" w:sz="0" w:space="0" w:color="auto"/>
                <w:left w:val="none" w:sz="0" w:space="0" w:color="auto"/>
                <w:bottom w:val="none" w:sz="0" w:space="0" w:color="auto"/>
                <w:right w:val="none" w:sz="0" w:space="0" w:color="auto"/>
              </w:divBdr>
              <w:divsChild>
                <w:div w:id="16111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304">
          <w:marLeft w:val="0"/>
          <w:marRight w:val="0"/>
          <w:marTop w:val="0"/>
          <w:marBottom w:val="600"/>
          <w:divBdr>
            <w:top w:val="none" w:sz="0" w:space="0" w:color="auto"/>
            <w:left w:val="none" w:sz="0" w:space="0" w:color="auto"/>
            <w:bottom w:val="none" w:sz="0" w:space="0" w:color="auto"/>
            <w:right w:val="none" w:sz="0" w:space="0" w:color="auto"/>
          </w:divBdr>
        </w:div>
      </w:divsChild>
    </w:div>
    <w:div w:id="1061945393">
      <w:marLeft w:val="0"/>
      <w:marRight w:val="0"/>
      <w:marTop w:val="0"/>
      <w:marBottom w:val="0"/>
      <w:divBdr>
        <w:top w:val="none" w:sz="0" w:space="0" w:color="auto"/>
        <w:left w:val="none" w:sz="0" w:space="0" w:color="auto"/>
        <w:bottom w:val="none" w:sz="0" w:space="0" w:color="auto"/>
        <w:right w:val="none" w:sz="0" w:space="0" w:color="auto"/>
      </w:divBdr>
      <w:divsChild>
        <w:div w:id="298149859">
          <w:marLeft w:val="0"/>
          <w:marRight w:val="0"/>
          <w:marTop w:val="600"/>
          <w:marBottom w:val="0"/>
          <w:divBdr>
            <w:top w:val="none" w:sz="0" w:space="0" w:color="auto"/>
            <w:left w:val="none" w:sz="0" w:space="0" w:color="auto"/>
            <w:bottom w:val="none" w:sz="0" w:space="0" w:color="auto"/>
            <w:right w:val="none" w:sz="0" w:space="0" w:color="auto"/>
          </w:divBdr>
        </w:div>
        <w:div w:id="503252861">
          <w:marLeft w:val="0"/>
          <w:marRight w:val="0"/>
          <w:marTop w:val="0"/>
          <w:marBottom w:val="0"/>
          <w:divBdr>
            <w:top w:val="none" w:sz="0" w:space="0" w:color="auto"/>
            <w:left w:val="none" w:sz="0" w:space="0" w:color="auto"/>
            <w:bottom w:val="none" w:sz="0" w:space="0" w:color="auto"/>
            <w:right w:val="none" w:sz="0" w:space="0" w:color="auto"/>
          </w:divBdr>
        </w:div>
        <w:div w:id="1270619977">
          <w:marLeft w:val="0"/>
          <w:marRight w:val="0"/>
          <w:marTop w:val="0"/>
          <w:marBottom w:val="600"/>
          <w:divBdr>
            <w:top w:val="none" w:sz="0" w:space="0" w:color="auto"/>
            <w:left w:val="none" w:sz="0" w:space="0" w:color="auto"/>
            <w:bottom w:val="none" w:sz="0" w:space="0" w:color="auto"/>
            <w:right w:val="none" w:sz="0" w:space="0" w:color="auto"/>
          </w:divBdr>
        </w:div>
      </w:divsChild>
    </w:div>
    <w:div w:id="1070159035">
      <w:marLeft w:val="0"/>
      <w:marRight w:val="0"/>
      <w:marTop w:val="0"/>
      <w:marBottom w:val="0"/>
      <w:divBdr>
        <w:top w:val="none" w:sz="0" w:space="0" w:color="auto"/>
        <w:left w:val="none" w:sz="0" w:space="0" w:color="auto"/>
        <w:bottom w:val="none" w:sz="0" w:space="0" w:color="auto"/>
        <w:right w:val="none" w:sz="0" w:space="0" w:color="auto"/>
      </w:divBdr>
      <w:divsChild>
        <w:div w:id="477189184">
          <w:marLeft w:val="0"/>
          <w:marRight w:val="0"/>
          <w:marTop w:val="600"/>
          <w:marBottom w:val="0"/>
          <w:divBdr>
            <w:top w:val="none" w:sz="0" w:space="0" w:color="auto"/>
            <w:left w:val="none" w:sz="0" w:space="0" w:color="auto"/>
            <w:bottom w:val="none" w:sz="0" w:space="0" w:color="auto"/>
            <w:right w:val="none" w:sz="0" w:space="0" w:color="auto"/>
          </w:divBdr>
        </w:div>
        <w:div w:id="1399282933">
          <w:marLeft w:val="0"/>
          <w:marRight w:val="0"/>
          <w:marTop w:val="0"/>
          <w:marBottom w:val="0"/>
          <w:divBdr>
            <w:top w:val="none" w:sz="0" w:space="0" w:color="auto"/>
            <w:left w:val="none" w:sz="0" w:space="0" w:color="auto"/>
            <w:bottom w:val="none" w:sz="0" w:space="0" w:color="auto"/>
            <w:right w:val="none" w:sz="0" w:space="0" w:color="auto"/>
          </w:divBdr>
        </w:div>
        <w:div w:id="1117944235">
          <w:marLeft w:val="0"/>
          <w:marRight w:val="0"/>
          <w:marTop w:val="0"/>
          <w:marBottom w:val="600"/>
          <w:divBdr>
            <w:top w:val="none" w:sz="0" w:space="0" w:color="auto"/>
            <w:left w:val="none" w:sz="0" w:space="0" w:color="auto"/>
            <w:bottom w:val="none" w:sz="0" w:space="0" w:color="auto"/>
            <w:right w:val="none" w:sz="0" w:space="0" w:color="auto"/>
          </w:divBdr>
        </w:div>
      </w:divsChild>
    </w:div>
    <w:div w:id="1075394588">
      <w:marLeft w:val="0"/>
      <w:marRight w:val="0"/>
      <w:marTop w:val="0"/>
      <w:marBottom w:val="0"/>
      <w:divBdr>
        <w:top w:val="none" w:sz="0" w:space="0" w:color="auto"/>
        <w:left w:val="none" w:sz="0" w:space="0" w:color="auto"/>
        <w:bottom w:val="none" w:sz="0" w:space="0" w:color="auto"/>
        <w:right w:val="none" w:sz="0" w:space="0" w:color="auto"/>
      </w:divBdr>
      <w:divsChild>
        <w:div w:id="1906181676">
          <w:marLeft w:val="0"/>
          <w:marRight w:val="0"/>
          <w:marTop w:val="600"/>
          <w:marBottom w:val="0"/>
          <w:divBdr>
            <w:top w:val="none" w:sz="0" w:space="0" w:color="auto"/>
            <w:left w:val="none" w:sz="0" w:space="0" w:color="auto"/>
            <w:bottom w:val="none" w:sz="0" w:space="0" w:color="auto"/>
            <w:right w:val="none" w:sz="0" w:space="0" w:color="auto"/>
          </w:divBdr>
        </w:div>
        <w:div w:id="1246695182">
          <w:marLeft w:val="0"/>
          <w:marRight w:val="0"/>
          <w:marTop w:val="0"/>
          <w:marBottom w:val="0"/>
          <w:divBdr>
            <w:top w:val="none" w:sz="0" w:space="0" w:color="auto"/>
            <w:left w:val="none" w:sz="0" w:space="0" w:color="auto"/>
            <w:bottom w:val="none" w:sz="0" w:space="0" w:color="auto"/>
            <w:right w:val="none" w:sz="0" w:space="0" w:color="auto"/>
          </w:divBdr>
        </w:div>
        <w:div w:id="357661549">
          <w:marLeft w:val="0"/>
          <w:marRight w:val="0"/>
          <w:marTop w:val="0"/>
          <w:marBottom w:val="600"/>
          <w:divBdr>
            <w:top w:val="none" w:sz="0" w:space="0" w:color="auto"/>
            <w:left w:val="none" w:sz="0" w:space="0" w:color="auto"/>
            <w:bottom w:val="none" w:sz="0" w:space="0" w:color="auto"/>
            <w:right w:val="none" w:sz="0" w:space="0" w:color="auto"/>
          </w:divBdr>
        </w:div>
      </w:divsChild>
    </w:div>
    <w:div w:id="1078478570">
      <w:marLeft w:val="0"/>
      <w:marRight w:val="0"/>
      <w:marTop w:val="0"/>
      <w:marBottom w:val="0"/>
      <w:divBdr>
        <w:top w:val="none" w:sz="0" w:space="0" w:color="auto"/>
        <w:left w:val="none" w:sz="0" w:space="0" w:color="auto"/>
        <w:bottom w:val="none" w:sz="0" w:space="0" w:color="auto"/>
        <w:right w:val="none" w:sz="0" w:space="0" w:color="auto"/>
      </w:divBdr>
      <w:divsChild>
        <w:div w:id="1974863892">
          <w:marLeft w:val="0"/>
          <w:marRight w:val="0"/>
          <w:marTop w:val="600"/>
          <w:marBottom w:val="0"/>
          <w:divBdr>
            <w:top w:val="none" w:sz="0" w:space="0" w:color="auto"/>
            <w:left w:val="none" w:sz="0" w:space="0" w:color="auto"/>
            <w:bottom w:val="none" w:sz="0" w:space="0" w:color="auto"/>
            <w:right w:val="none" w:sz="0" w:space="0" w:color="auto"/>
          </w:divBdr>
        </w:div>
        <w:div w:id="1952515311">
          <w:marLeft w:val="0"/>
          <w:marRight w:val="0"/>
          <w:marTop w:val="0"/>
          <w:marBottom w:val="0"/>
          <w:divBdr>
            <w:top w:val="none" w:sz="0" w:space="0" w:color="auto"/>
            <w:left w:val="none" w:sz="0" w:space="0" w:color="auto"/>
            <w:bottom w:val="none" w:sz="0" w:space="0" w:color="auto"/>
            <w:right w:val="none" w:sz="0" w:space="0" w:color="auto"/>
          </w:divBdr>
        </w:div>
        <w:div w:id="1116607851">
          <w:marLeft w:val="0"/>
          <w:marRight w:val="0"/>
          <w:marTop w:val="0"/>
          <w:marBottom w:val="600"/>
          <w:divBdr>
            <w:top w:val="none" w:sz="0" w:space="0" w:color="auto"/>
            <w:left w:val="none" w:sz="0" w:space="0" w:color="auto"/>
            <w:bottom w:val="none" w:sz="0" w:space="0" w:color="auto"/>
            <w:right w:val="none" w:sz="0" w:space="0" w:color="auto"/>
          </w:divBdr>
        </w:div>
      </w:divsChild>
    </w:div>
    <w:div w:id="1086537583">
      <w:marLeft w:val="0"/>
      <w:marRight w:val="0"/>
      <w:marTop w:val="0"/>
      <w:marBottom w:val="0"/>
      <w:divBdr>
        <w:top w:val="none" w:sz="0" w:space="0" w:color="auto"/>
        <w:left w:val="none" w:sz="0" w:space="0" w:color="auto"/>
        <w:bottom w:val="none" w:sz="0" w:space="0" w:color="auto"/>
        <w:right w:val="none" w:sz="0" w:space="0" w:color="auto"/>
      </w:divBdr>
      <w:divsChild>
        <w:div w:id="878014012">
          <w:marLeft w:val="0"/>
          <w:marRight w:val="0"/>
          <w:marTop w:val="600"/>
          <w:marBottom w:val="0"/>
          <w:divBdr>
            <w:top w:val="none" w:sz="0" w:space="0" w:color="auto"/>
            <w:left w:val="none" w:sz="0" w:space="0" w:color="auto"/>
            <w:bottom w:val="none" w:sz="0" w:space="0" w:color="auto"/>
            <w:right w:val="none" w:sz="0" w:space="0" w:color="auto"/>
          </w:divBdr>
        </w:div>
        <w:div w:id="164367494">
          <w:marLeft w:val="0"/>
          <w:marRight w:val="0"/>
          <w:marTop w:val="0"/>
          <w:marBottom w:val="0"/>
          <w:divBdr>
            <w:top w:val="none" w:sz="0" w:space="0" w:color="auto"/>
            <w:left w:val="none" w:sz="0" w:space="0" w:color="auto"/>
            <w:bottom w:val="none" w:sz="0" w:space="0" w:color="auto"/>
            <w:right w:val="none" w:sz="0" w:space="0" w:color="auto"/>
          </w:divBdr>
        </w:div>
        <w:div w:id="205608230">
          <w:marLeft w:val="0"/>
          <w:marRight w:val="0"/>
          <w:marTop w:val="0"/>
          <w:marBottom w:val="600"/>
          <w:divBdr>
            <w:top w:val="none" w:sz="0" w:space="0" w:color="auto"/>
            <w:left w:val="none" w:sz="0" w:space="0" w:color="auto"/>
            <w:bottom w:val="none" w:sz="0" w:space="0" w:color="auto"/>
            <w:right w:val="none" w:sz="0" w:space="0" w:color="auto"/>
          </w:divBdr>
        </w:div>
      </w:divsChild>
    </w:div>
    <w:div w:id="1115561125">
      <w:marLeft w:val="0"/>
      <w:marRight w:val="0"/>
      <w:marTop w:val="0"/>
      <w:marBottom w:val="0"/>
      <w:divBdr>
        <w:top w:val="none" w:sz="0" w:space="0" w:color="auto"/>
        <w:left w:val="none" w:sz="0" w:space="0" w:color="auto"/>
        <w:bottom w:val="none" w:sz="0" w:space="0" w:color="auto"/>
        <w:right w:val="none" w:sz="0" w:space="0" w:color="auto"/>
      </w:divBdr>
      <w:divsChild>
        <w:div w:id="799759533">
          <w:marLeft w:val="0"/>
          <w:marRight w:val="0"/>
          <w:marTop w:val="600"/>
          <w:marBottom w:val="0"/>
          <w:divBdr>
            <w:top w:val="none" w:sz="0" w:space="0" w:color="auto"/>
            <w:left w:val="none" w:sz="0" w:space="0" w:color="auto"/>
            <w:bottom w:val="none" w:sz="0" w:space="0" w:color="auto"/>
            <w:right w:val="none" w:sz="0" w:space="0" w:color="auto"/>
          </w:divBdr>
        </w:div>
        <w:div w:id="140116611">
          <w:marLeft w:val="0"/>
          <w:marRight w:val="0"/>
          <w:marTop w:val="0"/>
          <w:marBottom w:val="0"/>
          <w:divBdr>
            <w:top w:val="none" w:sz="0" w:space="0" w:color="auto"/>
            <w:left w:val="none" w:sz="0" w:space="0" w:color="auto"/>
            <w:bottom w:val="none" w:sz="0" w:space="0" w:color="auto"/>
            <w:right w:val="none" w:sz="0" w:space="0" w:color="auto"/>
          </w:divBdr>
        </w:div>
        <w:div w:id="1862938342">
          <w:marLeft w:val="0"/>
          <w:marRight w:val="0"/>
          <w:marTop w:val="0"/>
          <w:marBottom w:val="600"/>
          <w:divBdr>
            <w:top w:val="none" w:sz="0" w:space="0" w:color="auto"/>
            <w:left w:val="none" w:sz="0" w:space="0" w:color="auto"/>
            <w:bottom w:val="none" w:sz="0" w:space="0" w:color="auto"/>
            <w:right w:val="none" w:sz="0" w:space="0" w:color="auto"/>
          </w:divBdr>
        </w:div>
      </w:divsChild>
    </w:div>
    <w:div w:id="1117486510">
      <w:marLeft w:val="0"/>
      <w:marRight w:val="0"/>
      <w:marTop w:val="0"/>
      <w:marBottom w:val="0"/>
      <w:divBdr>
        <w:top w:val="none" w:sz="0" w:space="0" w:color="auto"/>
        <w:left w:val="none" w:sz="0" w:space="0" w:color="auto"/>
        <w:bottom w:val="none" w:sz="0" w:space="0" w:color="auto"/>
        <w:right w:val="none" w:sz="0" w:space="0" w:color="auto"/>
      </w:divBdr>
      <w:divsChild>
        <w:div w:id="2056153830">
          <w:marLeft w:val="0"/>
          <w:marRight w:val="0"/>
          <w:marTop w:val="600"/>
          <w:marBottom w:val="0"/>
          <w:divBdr>
            <w:top w:val="none" w:sz="0" w:space="0" w:color="auto"/>
            <w:left w:val="none" w:sz="0" w:space="0" w:color="auto"/>
            <w:bottom w:val="none" w:sz="0" w:space="0" w:color="auto"/>
            <w:right w:val="none" w:sz="0" w:space="0" w:color="auto"/>
          </w:divBdr>
        </w:div>
        <w:div w:id="407653441">
          <w:marLeft w:val="0"/>
          <w:marRight w:val="0"/>
          <w:marTop w:val="0"/>
          <w:marBottom w:val="0"/>
          <w:divBdr>
            <w:top w:val="none" w:sz="0" w:space="0" w:color="auto"/>
            <w:left w:val="none" w:sz="0" w:space="0" w:color="auto"/>
            <w:bottom w:val="none" w:sz="0" w:space="0" w:color="auto"/>
            <w:right w:val="none" w:sz="0" w:space="0" w:color="auto"/>
          </w:divBdr>
        </w:div>
        <w:div w:id="1792170139">
          <w:marLeft w:val="0"/>
          <w:marRight w:val="0"/>
          <w:marTop w:val="0"/>
          <w:marBottom w:val="600"/>
          <w:divBdr>
            <w:top w:val="none" w:sz="0" w:space="0" w:color="auto"/>
            <w:left w:val="none" w:sz="0" w:space="0" w:color="auto"/>
            <w:bottom w:val="none" w:sz="0" w:space="0" w:color="auto"/>
            <w:right w:val="none" w:sz="0" w:space="0" w:color="auto"/>
          </w:divBdr>
        </w:div>
      </w:divsChild>
    </w:div>
    <w:div w:id="1164662613">
      <w:marLeft w:val="0"/>
      <w:marRight w:val="0"/>
      <w:marTop w:val="0"/>
      <w:marBottom w:val="0"/>
      <w:divBdr>
        <w:top w:val="none" w:sz="0" w:space="0" w:color="auto"/>
        <w:left w:val="none" w:sz="0" w:space="0" w:color="auto"/>
        <w:bottom w:val="none" w:sz="0" w:space="0" w:color="auto"/>
        <w:right w:val="none" w:sz="0" w:space="0" w:color="auto"/>
      </w:divBdr>
      <w:divsChild>
        <w:div w:id="1858737925">
          <w:marLeft w:val="0"/>
          <w:marRight w:val="0"/>
          <w:marTop w:val="600"/>
          <w:marBottom w:val="0"/>
          <w:divBdr>
            <w:top w:val="none" w:sz="0" w:space="0" w:color="auto"/>
            <w:left w:val="none" w:sz="0" w:space="0" w:color="auto"/>
            <w:bottom w:val="none" w:sz="0" w:space="0" w:color="auto"/>
            <w:right w:val="none" w:sz="0" w:space="0" w:color="auto"/>
          </w:divBdr>
        </w:div>
        <w:div w:id="1201362568">
          <w:marLeft w:val="0"/>
          <w:marRight w:val="0"/>
          <w:marTop w:val="0"/>
          <w:marBottom w:val="0"/>
          <w:divBdr>
            <w:top w:val="none" w:sz="0" w:space="0" w:color="auto"/>
            <w:left w:val="none" w:sz="0" w:space="0" w:color="auto"/>
            <w:bottom w:val="none" w:sz="0" w:space="0" w:color="auto"/>
            <w:right w:val="none" w:sz="0" w:space="0" w:color="auto"/>
          </w:divBdr>
        </w:div>
        <w:div w:id="1049457951">
          <w:marLeft w:val="0"/>
          <w:marRight w:val="0"/>
          <w:marTop w:val="0"/>
          <w:marBottom w:val="600"/>
          <w:divBdr>
            <w:top w:val="none" w:sz="0" w:space="0" w:color="auto"/>
            <w:left w:val="none" w:sz="0" w:space="0" w:color="auto"/>
            <w:bottom w:val="none" w:sz="0" w:space="0" w:color="auto"/>
            <w:right w:val="none" w:sz="0" w:space="0" w:color="auto"/>
          </w:divBdr>
        </w:div>
      </w:divsChild>
    </w:div>
    <w:div w:id="1176845493">
      <w:marLeft w:val="0"/>
      <w:marRight w:val="0"/>
      <w:marTop w:val="0"/>
      <w:marBottom w:val="0"/>
      <w:divBdr>
        <w:top w:val="none" w:sz="0" w:space="0" w:color="auto"/>
        <w:left w:val="none" w:sz="0" w:space="0" w:color="auto"/>
        <w:bottom w:val="none" w:sz="0" w:space="0" w:color="auto"/>
        <w:right w:val="none" w:sz="0" w:space="0" w:color="auto"/>
      </w:divBdr>
      <w:divsChild>
        <w:div w:id="1497695112">
          <w:marLeft w:val="0"/>
          <w:marRight w:val="0"/>
          <w:marTop w:val="600"/>
          <w:marBottom w:val="0"/>
          <w:divBdr>
            <w:top w:val="none" w:sz="0" w:space="0" w:color="auto"/>
            <w:left w:val="none" w:sz="0" w:space="0" w:color="auto"/>
            <w:bottom w:val="none" w:sz="0" w:space="0" w:color="auto"/>
            <w:right w:val="none" w:sz="0" w:space="0" w:color="auto"/>
          </w:divBdr>
        </w:div>
        <w:div w:id="1706296546">
          <w:marLeft w:val="0"/>
          <w:marRight w:val="0"/>
          <w:marTop w:val="0"/>
          <w:marBottom w:val="0"/>
          <w:divBdr>
            <w:top w:val="none" w:sz="0" w:space="0" w:color="auto"/>
            <w:left w:val="none" w:sz="0" w:space="0" w:color="auto"/>
            <w:bottom w:val="none" w:sz="0" w:space="0" w:color="auto"/>
            <w:right w:val="none" w:sz="0" w:space="0" w:color="auto"/>
          </w:divBdr>
          <w:divsChild>
            <w:div w:id="812648201">
              <w:marLeft w:val="0"/>
              <w:marRight w:val="0"/>
              <w:marTop w:val="0"/>
              <w:marBottom w:val="0"/>
              <w:divBdr>
                <w:top w:val="none" w:sz="0" w:space="0" w:color="auto"/>
                <w:left w:val="none" w:sz="0" w:space="0" w:color="auto"/>
                <w:bottom w:val="none" w:sz="0" w:space="0" w:color="auto"/>
                <w:right w:val="none" w:sz="0" w:space="0" w:color="auto"/>
              </w:divBdr>
              <w:divsChild>
                <w:div w:id="297884990">
                  <w:marLeft w:val="0"/>
                  <w:marRight w:val="0"/>
                  <w:marTop w:val="0"/>
                  <w:marBottom w:val="0"/>
                  <w:divBdr>
                    <w:top w:val="none" w:sz="0" w:space="0" w:color="auto"/>
                    <w:left w:val="none" w:sz="0" w:space="0" w:color="auto"/>
                    <w:bottom w:val="none" w:sz="0" w:space="0" w:color="auto"/>
                    <w:right w:val="none" w:sz="0" w:space="0" w:color="auto"/>
                  </w:divBdr>
                </w:div>
              </w:divsChild>
            </w:div>
            <w:div w:id="1109279599">
              <w:marLeft w:val="0"/>
              <w:marRight w:val="0"/>
              <w:marTop w:val="0"/>
              <w:marBottom w:val="0"/>
              <w:divBdr>
                <w:top w:val="none" w:sz="0" w:space="0" w:color="auto"/>
                <w:left w:val="none" w:sz="0" w:space="0" w:color="auto"/>
                <w:bottom w:val="none" w:sz="0" w:space="0" w:color="auto"/>
                <w:right w:val="none" w:sz="0" w:space="0" w:color="auto"/>
              </w:divBdr>
              <w:divsChild>
                <w:div w:id="1817575466">
                  <w:marLeft w:val="0"/>
                  <w:marRight w:val="0"/>
                  <w:marTop w:val="0"/>
                  <w:marBottom w:val="0"/>
                  <w:divBdr>
                    <w:top w:val="none" w:sz="0" w:space="0" w:color="auto"/>
                    <w:left w:val="none" w:sz="0" w:space="0" w:color="auto"/>
                    <w:bottom w:val="none" w:sz="0" w:space="0" w:color="auto"/>
                    <w:right w:val="none" w:sz="0" w:space="0" w:color="auto"/>
                  </w:divBdr>
                </w:div>
              </w:divsChild>
            </w:div>
            <w:div w:id="249583723">
              <w:marLeft w:val="0"/>
              <w:marRight w:val="0"/>
              <w:marTop w:val="0"/>
              <w:marBottom w:val="0"/>
              <w:divBdr>
                <w:top w:val="none" w:sz="0" w:space="0" w:color="auto"/>
                <w:left w:val="none" w:sz="0" w:space="0" w:color="auto"/>
                <w:bottom w:val="none" w:sz="0" w:space="0" w:color="auto"/>
                <w:right w:val="none" w:sz="0" w:space="0" w:color="auto"/>
              </w:divBdr>
              <w:divsChild>
                <w:div w:id="228000835">
                  <w:marLeft w:val="0"/>
                  <w:marRight w:val="0"/>
                  <w:marTop w:val="0"/>
                  <w:marBottom w:val="0"/>
                  <w:divBdr>
                    <w:top w:val="none" w:sz="0" w:space="0" w:color="auto"/>
                    <w:left w:val="none" w:sz="0" w:space="0" w:color="auto"/>
                    <w:bottom w:val="none" w:sz="0" w:space="0" w:color="auto"/>
                    <w:right w:val="none" w:sz="0" w:space="0" w:color="auto"/>
                  </w:divBdr>
                </w:div>
              </w:divsChild>
            </w:div>
            <w:div w:id="1024210388">
              <w:marLeft w:val="0"/>
              <w:marRight w:val="0"/>
              <w:marTop w:val="0"/>
              <w:marBottom w:val="0"/>
              <w:divBdr>
                <w:top w:val="none" w:sz="0" w:space="0" w:color="auto"/>
                <w:left w:val="none" w:sz="0" w:space="0" w:color="auto"/>
                <w:bottom w:val="none" w:sz="0" w:space="0" w:color="auto"/>
                <w:right w:val="none" w:sz="0" w:space="0" w:color="auto"/>
              </w:divBdr>
              <w:divsChild>
                <w:div w:id="792015647">
                  <w:marLeft w:val="0"/>
                  <w:marRight w:val="0"/>
                  <w:marTop w:val="0"/>
                  <w:marBottom w:val="0"/>
                  <w:divBdr>
                    <w:top w:val="none" w:sz="0" w:space="0" w:color="auto"/>
                    <w:left w:val="none" w:sz="0" w:space="0" w:color="auto"/>
                    <w:bottom w:val="none" w:sz="0" w:space="0" w:color="auto"/>
                    <w:right w:val="none" w:sz="0" w:space="0" w:color="auto"/>
                  </w:divBdr>
                </w:div>
              </w:divsChild>
            </w:div>
            <w:div w:id="1280376971">
              <w:marLeft w:val="0"/>
              <w:marRight w:val="0"/>
              <w:marTop w:val="0"/>
              <w:marBottom w:val="0"/>
              <w:divBdr>
                <w:top w:val="none" w:sz="0" w:space="0" w:color="auto"/>
                <w:left w:val="none" w:sz="0" w:space="0" w:color="auto"/>
                <w:bottom w:val="none" w:sz="0" w:space="0" w:color="auto"/>
                <w:right w:val="none" w:sz="0" w:space="0" w:color="auto"/>
              </w:divBdr>
              <w:divsChild>
                <w:div w:id="455032114">
                  <w:marLeft w:val="0"/>
                  <w:marRight w:val="0"/>
                  <w:marTop w:val="0"/>
                  <w:marBottom w:val="0"/>
                  <w:divBdr>
                    <w:top w:val="none" w:sz="0" w:space="0" w:color="auto"/>
                    <w:left w:val="none" w:sz="0" w:space="0" w:color="auto"/>
                    <w:bottom w:val="none" w:sz="0" w:space="0" w:color="auto"/>
                    <w:right w:val="none" w:sz="0" w:space="0" w:color="auto"/>
                  </w:divBdr>
                </w:div>
              </w:divsChild>
            </w:div>
            <w:div w:id="347607796">
              <w:marLeft w:val="0"/>
              <w:marRight w:val="0"/>
              <w:marTop w:val="0"/>
              <w:marBottom w:val="0"/>
              <w:divBdr>
                <w:top w:val="none" w:sz="0" w:space="0" w:color="auto"/>
                <w:left w:val="none" w:sz="0" w:space="0" w:color="auto"/>
                <w:bottom w:val="none" w:sz="0" w:space="0" w:color="auto"/>
                <w:right w:val="none" w:sz="0" w:space="0" w:color="auto"/>
              </w:divBdr>
              <w:divsChild>
                <w:div w:id="1856185057">
                  <w:marLeft w:val="0"/>
                  <w:marRight w:val="0"/>
                  <w:marTop w:val="0"/>
                  <w:marBottom w:val="0"/>
                  <w:divBdr>
                    <w:top w:val="none" w:sz="0" w:space="0" w:color="auto"/>
                    <w:left w:val="none" w:sz="0" w:space="0" w:color="auto"/>
                    <w:bottom w:val="none" w:sz="0" w:space="0" w:color="auto"/>
                    <w:right w:val="none" w:sz="0" w:space="0" w:color="auto"/>
                  </w:divBdr>
                </w:div>
              </w:divsChild>
            </w:div>
            <w:div w:id="1670905955">
              <w:marLeft w:val="0"/>
              <w:marRight w:val="0"/>
              <w:marTop w:val="0"/>
              <w:marBottom w:val="0"/>
              <w:divBdr>
                <w:top w:val="none" w:sz="0" w:space="0" w:color="auto"/>
                <w:left w:val="none" w:sz="0" w:space="0" w:color="auto"/>
                <w:bottom w:val="none" w:sz="0" w:space="0" w:color="auto"/>
                <w:right w:val="none" w:sz="0" w:space="0" w:color="auto"/>
              </w:divBdr>
              <w:divsChild>
                <w:div w:id="552427199">
                  <w:marLeft w:val="0"/>
                  <w:marRight w:val="0"/>
                  <w:marTop w:val="0"/>
                  <w:marBottom w:val="0"/>
                  <w:divBdr>
                    <w:top w:val="none" w:sz="0" w:space="0" w:color="auto"/>
                    <w:left w:val="none" w:sz="0" w:space="0" w:color="auto"/>
                    <w:bottom w:val="none" w:sz="0" w:space="0" w:color="auto"/>
                    <w:right w:val="none" w:sz="0" w:space="0" w:color="auto"/>
                  </w:divBdr>
                </w:div>
              </w:divsChild>
            </w:div>
            <w:div w:id="581450571">
              <w:marLeft w:val="0"/>
              <w:marRight w:val="0"/>
              <w:marTop w:val="0"/>
              <w:marBottom w:val="0"/>
              <w:divBdr>
                <w:top w:val="none" w:sz="0" w:space="0" w:color="auto"/>
                <w:left w:val="none" w:sz="0" w:space="0" w:color="auto"/>
                <w:bottom w:val="none" w:sz="0" w:space="0" w:color="auto"/>
                <w:right w:val="none" w:sz="0" w:space="0" w:color="auto"/>
              </w:divBdr>
              <w:divsChild>
                <w:div w:id="1573466747">
                  <w:marLeft w:val="0"/>
                  <w:marRight w:val="0"/>
                  <w:marTop w:val="0"/>
                  <w:marBottom w:val="0"/>
                  <w:divBdr>
                    <w:top w:val="none" w:sz="0" w:space="0" w:color="auto"/>
                    <w:left w:val="none" w:sz="0" w:space="0" w:color="auto"/>
                    <w:bottom w:val="none" w:sz="0" w:space="0" w:color="auto"/>
                    <w:right w:val="none" w:sz="0" w:space="0" w:color="auto"/>
                  </w:divBdr>
                </w:div>
              </w:divsChild>
            </w:div>
            <w:div w:id="1505897728">
              <w:marLeft w:val="0"/>
              <w:marRight w:val="0"/>
              <w:marTop w:val="0"/>
              <w:marBottom w:val="0"/>
              <w:divBdr>
                <w:top w:val="none" w:sz="0" w:space="0" w:color="auto"/>
                <w:left w:val="none" w:sz="0" w:space="0" w:color="auto"/>
                <w:bottom w:val="none" w:sz="0" w:space="0" w:color="auto"/>
                <w:right w:val="none" w:sz="0" w:space="0" w:color="auto"/>
              </w:divBdr>
              <w:divsChild>
                <w:div w:id="1376389219">
                  <w:marLeft w:val="0"/>
                  <w:marRight w:val="0"/>
                  <w:marTop w:val="0"/>
                  <w:marBottom w:val="0"/>
                  <w:divBdr>
                    <w:top w:val="none" w:sz="0" w:space="0" w:color="auto"/>
                    <w:left w:val="none" w:sz="0" w:space="0" w:color="auto"/>
                    <w:bottom w:val="none" w:sz="0" w:space="0" w:color="auto"/>
                    <w:right w:val="none" w:sz="0" w:space="0" w:color="auto"/>
                  </w:divBdr>
                </w:div>
              </w:divsChild>
            </w:div>
            <w:div w:id="44372367">
              <w:marLeft w:val="0"/>
              <w:marRight w:val="0"/>
              <w:marTop w:val="0"/>
              <w:marBottom w:val="0"/>
              <w:divBdr>
                <w:top w:val="none" w:sz="0" w:space="0" w:color="auto"/>
                <w:left w:val="none" w:sz="0" w:space="0" w:color="auto"/>
                <w:bottom w:val="none" w:sz="0" w:space="0" w:color="auto"/>
                <w:right w:val="none" w:sz="0" w:space="0" w:color="auto"/>
              </w:divBdr>
              <w:divsChild>
                <w:div w:id="1955213085">
                  <w:marLeft w:val="0"/>
                  <w:marRight w:val="0"/>
                  <w:marTop w:val="0"/>
                  <w:marBottom w:val="0"/>
                  <w:divBdr>
                    <w:top w:val="none" w:sz="0" w:space="0" w:color="auto"/>
                    <w:left w:val="none" w:sz="0" w:space="0" w:color="auto"/>
                    <w:bottom w:val="none" w:sz="0" w:space="0" w:color="auto"/>
                    <w:right w:val="none" w:sz="0" w:space="0" w:color="auto"/>
                  </w:divBdr>
                </w:div>
              </w:divsChild>
            </w:div>
            <w:div w:id="1378041212">
              <w:marLeft w:val="0"/>
              <w:marRight w:val="0"/>
              <w:marTop w:val="0"/>
              <w:marBottom w:val="0"/>
              <w:divBdr>
                <w:top w:val="none" w:sz="0" w:space="0" w:color="auto"/>
                <w:left w:val="none" w:sz="0" w:space="0" w:color="auto"/>
                <w:bottom w:val="none" w:sz="0" w:space="0" w:color="auto"/>
                <w:right w:val="none" w:sz="0" w:space="0" w:color="auto"/>
              </w:divBdr>
              <w:divsChild>
                <w:div w:id="601376411">
                  <w:marLeft w:val="0"/>
                  <w:marRight w:val="0"/>
                  <w:marTop w:val="0"/>
                  <w:marBottom w:val="0"/>
                  <w:divBdr>
                    <w:top w:val="none" w:sz="0" w:space="0" w:color="auto"/>
                    <w:left w:val="none" w:sz="0" w:space="0" w:color="auto"/>
                    <w:bottom w:val="none" w:sz="0" w:space="0" w:color="auto"/>
                    <w:right w:val="none" w:sz="0" w:space="0" w:color="auto"/>
                  </w:divBdr>
                </w:div>
              </w:divsChild>
            </w:div>
            <w:div w:id="569582221">
              <w:marLeft w:val="0"/>
              <w:marRight w:val="0"/>
              <w:marTop w:val="0"/>
              <w:marBottom w:val="0"/>
              <w:divBdr>
                <w:top w:val="none" w:sz="0" w:space="0" w:color="auto"/>
                <w:left w:val="none" w:sz="0" w:space="0" w:color="auto"/>
                <w:bottom w:val="none" w:sz="0" w:space="0" w:color="auto"/>
                <w:right w:val="none" w:sz="0" w:space="0" w:color="auto"/>
              </w:divBdr>
              <w:divsChild>
                <w:div w:id="1585147826">
                  <w:marLeft w:val="0"/>
                  <w:marRight w:val="0"/>
                  <w:marTop w:val="0"/>
                  <w:marBottom w:val="0"/>
                  <w:divBdr>
                    <w:top w:val="none" w:sz="0" w:space="0" w:color="auto"/>
                    <w:left w:val="none" w:sz="0" w:space="0" w:color="auto"/>
                    <w:bottom w:val="none" w:sz="0" w:space="0" w:color="auto"/>
                    <w:right w:val="none" w:sz="0" w:space="0" w:color="auto"/>
                  </w:divBdr>
                </w:div>
              </w:divsChild>
            </w:div>
            <w:div w:id="2016958835">
              <w:marLeft w:val="0"/>
              <w:marRight w:val="0"/>
              <w:marTop w:val="0"/>
              <w:marBottom w:val="0"/>
              <w:divBdr>
                <w:top w:val="none" w:sz="0" w:space="0" w:color="auto"/>
                <w:left w:val="none" w:sz="0" w:space="0" w:color="auto"/>
                <w:bottom w:val="none" w:sz="0" w:space="0" w:color="auto"/>
                <w:right w:val="none" w:sz="0" w:space="0" w:color="auto"/>
              </w:divBdr>
              <w:divsChild>
                <w:div w:id="531577913">
                  <w:marLeft w:val="0"/>
                  <w:marRight w:val="0"/>
                  <w:marTop w:val="0"/>
                  <w:marBottom w:val="0"/>
                  <w:divBdr>
                    <w:top w:val="none" w:sz="0" w:space="0" w:color="auto"/>
                    <w:left w:val="none" w:sz="0" w:space="0" w:color="auto"/>
                    <w:bottom w:val="none" w:sz="0" w:space="0" w:color="auto"/>
                    <w:right w:val="none" w:sz="0" w:space="0" w:color="auto"/>
                  </w:divBdr>
                </w:div>
              </w:divsChild>
            </w:div>
            <w:div w:id="1372455853">
              <w:marLeft w:val="0"/>
              <w:marRight w:val="0"/>
              <w:marTop w:val="0"/>
              <w:marBottom w:val="0"/>
              <w:divBdr>
                <w:top w:val="none" w:sz="0" w:space="0" w:color="auto"/>
                <w:left w:val="none" w:sz="0" w:space="0" w:color="auto"/>
                <w:bottom w:val="none" w:sz="0" w:space="0" w:color="auto"/>
                <w:right w:val="none" w:sz="0" w:space="0" w:color="auto"/>
              </w:divBdr>
              <w:divsChild>
                <w:div w:id="1214462382">
                  <w:marLeft w:val="0"/>
                  <w:marRight w:val="0"/>
                  <w:marTop w:val="0"/>
                  <w:marBottom w:val="0"/>
                  <w:divBdr>
                    <w:top w:val="none" w:sz="0" w:space="0" w:color="auto"/>
                    <w:left w:val="none" w:sz="0" w:space="0" w:color="auto"/>
                    <w:bottom w:val="none" w:sz="0" w:space="0" w:color="auto"/>
                    <w:right w:val="none" w:sz="0" w:space="0" w:color="auto"/>
                  </w:divBdr>
                </w:div>
              </w:divsChild>
            </w:div>
            <w:div w:id="1802112901">
              <w:marLeft w:val="0"/>
              <w:marRight w:val="0"/>
              <w:marTop w:val="0"/>
              <w:marBottom w:val="0"/>
              <w:divBdr>
                <w:top w:val="none" w:sz="0" w:space="0" w:color="auto"/>
                <w:left w:val="none" w:sz="0" w:space="0" w:color="auto"/>
                <w:bottom w:val="none" w:sz="0" w:space="0" w:color="auto"/>
                <w:right w:val="none" w:sz="0" w:space="0" w:color="auto"/>
              </w:divBdr>
              <w:divsChild>
                <w:div w:id="2048485349">
                  <w:marLeft w:val="0"/>
                  <w:marRight w:val="0"/>
                  <w:marTop w:val="0"/>
                  <w:marBottom w:val="0"/>
                  <w:divBdr>
                    <w:top w:val="none" w:sz="0" w:space="0" w:color="auto"/>
                    <w:left w:val="none" w:sz="0" w:space="0" w:color="auto"/>
                    <w:bottom w:val="none" w:sz="0" w:space="0" w:color="auto"/>
                    <w:right w:val="none" w:sz="0" w:space="0" w:color="auto"/>
                  </w:divBdr>
                </w:div>
              </w:divsChild>
            </w:div>
            <w:div w:id="87431677">
              <w:marLeft w:val="0"/>
              <w:marRight w:val="0"/>
              <w:marTop w:val="0"/>
              <w:marBottom w:val="0"/>
              <w:divBdr>
                <w:top w:val="none" w:sz="0" w:space="0" w:color="auto"/>
                <w:left w:val="none" w:sz="0" w:space="0" w:color="auto"/>
                <w:bottom w:val="none" w:sz="0" w:space="0" w:color="auto"/>
                <w:right w:val="none" w:sz="0" w:space="0" w:color="auto"/>
              </w:divBdr>
              <w:divsChild>
                <w:div w:id="1945073476">
                  <w:marLeft w:val="0"/>
                  <w:marRight w:val="0"/>
                  <w:marTop w:val="0"/>
                  <w:marBottom w:val="0"/>
                  <w:divBdr>
                    <w:top w:val="none" w:sz="0" w:space="0" w:color="auto"/>
                    <w:left w:val="none" w:sz="0" w:space="0" w:color="auto"/>
                    <w:bottom w:val="none" w:sz="0" w:space="0" w:color="auto"/>
                    <w:right w:val="none" w:sz="0" w:space="0" w:color="auto"/>
                  </w:divBdr>
                </w:div>
              </w:divsChild>
            </w:div>
            <w:div w:id="1372151088">
              <w:marLeft w:val="0"/>
              <w:marRight w:val="0"/>
              <w:marTop w:val="0"/>
              <w:marBottom w:val="0"/>
              <w:divBdr>
                <w:top w:val="none" w:sz="0" w:space="0" w:color="auto"/>
                <w:left w:val="none" w:sz="0" w:space="0" w:color="auto"/>
                <w:bottom w:val="none" w:sz="0" w:space="0" w:color="auto"/>
                <w:right w:val="none" w:sz="0" w:space="0" w:color="auto"/>
              </w:divBdr>
              <w:divsChild>
                <w:div w:id="356466598">
                  <w:marLeft w:val="0"/>
                  <w:marRight w:val="0"/>
                  <w:marTop w:val="0"/>
                  <w:marBottom w:val="0"/>
                  <w:divBdr>
                    <w:top w:val="none" w:sz="0" w:space="0" w:color="auto"/>
                    <w:left w:val="none" w:sz="0" w:space="0" w:color="auto"/>
                    <w:bottom w:val="none" w:sz="0" w:space="0" w:color="auto"/>
                    <w:right w:val="none" w:sz="0" w:space="0" w:color="auto"/>
                  </w:divBdr>
                </w:div>
              </w:divsChild>
            </w:div>
            <w:div w:id="501119450">
              <w:marLeft w:val="0"/>
              <w:marRight w:val="0"/>
              <w:marTop w:val="0"/>
              <w:marBottom w:val="0"/>
              <w:divBdr>
                <w:top w:val="none" w:sz="0" w:space="0" w:color="auto"/>
                <w:left w:val="none" w:sz="0" w:space="0" w:color="auto"/>
                <w:bottom w:val="none" w:sz="0" w:space="0" w:color="auto"/>
                <w:right w:val="none" w:sz="0" w:space="0" w:color="auto"/>
              </w:divBdr>
              <w:divsChild>
                <w:div w:id="235671787">
                  <w:marLeft w:val="0"/>
                  <w:marRight w:val="0"/>
                  <w:marTop w:val="0"/>
                  <w:marBottom w:val="0"/>
                  <w:divBdr>
                    <w:top w:val="none" w:sz="0" w:space="0" w:color="auto"/>
                    <w:left w:val="none" w:sz="0" w:space="0" w:color="auto"/>
                    <w:bottom w:val="none" w:sz="0" w:space="0" w:color="auto"/>
                    <w:right w:val="none" w:sz="0" w:space="0" w:color="auto"/>
                  </w:divBdr>
                </w:div>
              </w:divsChild>
            </w:div>
            <w:div w:id="1208645560">
              <w:marLeft w:val="0"/>
              <w:marRight w:val="0"/>
              <w:marTop w:val="0"/>
              <w:marBottom w:val="0"/>
              <w:divBdr>
                <w:top w:val="none" w:sz="0" w:space="0" w:color="auto"/>
                <w:left w:val="none" w:sz="0" w:space="0" w:color="auto"/>
                <w:bottom w:val="none" w:sz="0" w:space="0" w:color="auto"/>
                <w:right w:val="none" w:sz="0" w:space="0" w:color="auto"/>
              </w:divBdr>
              <w:divsChild>
                <w:div w:id="1139809801">
                  <w:marLeft w:val="0"/>
                  <w:marRight w:val="0"/>
                  <w:marTop w:val="0"/>
                  <w:marBottom w:val="0"/>
                  <w:divBdr>
                    <w:top w:val="none" w:sz="0" w:space="0" w:color="auto"/>
                    <w:left w:val="none" w:sz="0" w:space="0" w:color="auto"/>
                    <w:bottom w:val="none" w:sz="0" w:space="0" w:color="auto"/>
                    <w:right w:val="none" w:sz="0" w:space="0" w:color="auto"/>
                  </w:divBdr>
                </w:div>
              </w:divsChild>
            </w:div>
            <w:div w:id="625889394">
              <w:marLeft w:val="0"/>
              <w:marRight w:val="0"/>
              <w:marTop w:val="0"/>
              <w:marBottom w:val="0"/>
              <w:divBdr>
                <w:top w:val="none" w:sz="0" w:space="0" w:color="auto"/>
                <w:left w:val="none" w:sz="0" w:space="0" w:color="auto"/>
                <w:bottom w:val="none" w:sz="0" w:space="0" w:color="auto"/>
                <w:right w:val="none" w:sz="0" w:space="0" w:color="auto"/>
              </w:divBdr>
              <w:divsChild>
                <w:div w:id="1766145476">
                  <w:marLeft w:val="0"/>
                  <w:marRight w:val="0"/>
                  <w:marTop w:val="0"/>
                  <w:marBottom w:val="0"/>
                  <w:divBdr>
                    <w:top w:val="none" w:sz="0" w:space="0" w:color="auto"/>
                    <w:left w:val="none" w:sz="0" w:space="0" w:color="auto"/>
                    <w:bottom w:val="none" w:sz="0" w:space="0" w:color="auto"/>
                    <w:right w:val="none" w:sz="0" w:space="0" w:color="auto"/>
                  </w:divBdr>
                </w:div>
              </w:divsChild>
            </w:div>
            <w:div w:id="693655349">
              <w:marLeft w:val="0"/>
              <w:marRight w:val="0"/>
              <w:marTop w:val="0"/>
              <w:marBottom w:val="0"/>
              <w:divBdr>
                <w:top w:val="none" w:sz="0" w:space="0" w:color="auto"/>
                <w:left w:val="none" w:sz="0" w:space="0" w:color="auto"/>
                <w:bottom w:val="none" w:sz="0" w:space="0" w:color="auto"/>
                <w:right w:val="none" w:sz="0" w:space="0" w:color="auto"/>
              </w:divBdr>
              <w:divsChild>
                <w:div w:id="1202400911">
                  <w:marLeft w:val="0"/>
                  <w:marRight w:val="0"/>
                  <w:marTop w:val="0"/>
                  <w:marBottom w:val="0"/>
                  <w:divBdr>
                    <w:top w:val="none" w:sz="0" w:space="0" w:color="auto"/>
                    <w:left w:val="none" w:sz="0" w:space="0" w:color="auto"/>
                    <w:bottom w:val="none" w:sz="0" w:space="0" w:color="auto"/>
                    <w:right w:val="none" w:sz="0" w:space="0" w:color="auto"/>
                  </w:divBdr>
                </w:div>
              </w:divsChild>
            </w:div>
            <w:div w:id="2037151370">
              <w:marLeft w:val="0"/>
              <w:marRight w:val="0"/>
              <w:marTop w:val="0"/>
              <w:marBottom w:val="0"/>
              <w:divBdr>
                <w:top w:val="none" w:sz="0" w:space="0" w:color="auto"/>
                <w:left w:val="none" w:sz="0" w:space="0" w:color="auto"/>
                <w:bottom w:val="none" w:sz="0" w:space="0" w:color="auto"/>
                <w:right w:val="none" w:sz="0" w:space="0" w:color="auto"/>
              </w:divBdr>
              <w:divsChild>
                <w:div w:id="590433011">
                  <w:marLeft w:val="0"/>
                  <w:marRight w:val="0"/>
                  <w:marTop w:val="0"/>
                  <w:marBottom w:val="0"/>
                  <w:divBdr>
                    <w:top w:val="none" w:sz="0" w:space="0" w:color="auto"/>
                    <w:left w:val="none" w:sz="0" w:space="0" w:color="auto"/>
                    <w:bottom w:val="none" w:sz="0" w:space="0" w:color="auto"/>
                    <w:right w:val="none" w:sz="0" w:space="0" w:color="auto"/>
                  </w:divBdr>
                </w:div>
              </w:divsChild>
            </w:div>
            <w:div w:id="1414475241">
              <w:marLeft w:val="0"/>
              <w:marRight w:val="0"/>
              <w:marTop w:val="0"/>
              <w:marBottom w:val="0"/>
              <w:divBdr>
                <w:top w:val="none" w:sz="0" w:space="0" w:color="auto"/>
                <w:left w:val="none" w:sz="0" w:space="0" w:color="auto"/>
                <w:bottom w:val="none" w:sz="0" w:space="0" w:color="auto"/>
                <w:right w:val="none" w:sz="0" w:space="0" w:color="auto"/>
              </w:divBdr>
              <w:divsChild>
                <w:div w:id="619805937">
                  <w:marLeft w:val="0"/>
                  <w:marRight w:val="0"/>
                  <w:marTop w:val="0"/>
                  <w:marBottom w:val="0"/>
                  <w:divBdr>
                    <w:top w:val="none" w:sz="0" w:space="0" w:color="auto"/>
                    <w:left w:val="none" w:sz="0" w:space="0" w:color="auto"/>
                    <w:bottom w:val="none" w:sz="0" w:space="0" w:color="auto"/>
                    <w:right w:val="none" w:sz="0" w:space="0" w:color="auto"/>
                  </w:divBdr>
                </w:div>
              </w:divsChild>
            </w:div>
            <w:div w:id="779489252">
              <w:marLeft w:val="0"/>
              <w:marRight w:val="0"/>
              <w:marTop w:val="0"/>
              <w:marBottom w:val="0"/>
              <w:divBdr>
                <w:top w:val="none" w:sz="0" w:space="0" w:color="auto"/>
                <w:left w:val="none" w:sz="0" w:space="0" w:color="auto"/>
                <w:bottom w:val="none" w:sz="0" w:space="0" w:color="auto"/>
                <w:right w:val="none" w:sz="0" w:space="0" w:color="auto"/>
              </w:divBdr>
              <w:divsChild>
                <w:div w:id="1739280227">
                  <w:marLeft w:val="0"/>
                  <w:marRight w:val="0"/>
                  <w:marTop w:val="0"/>
                  <w:marBottom w:val="0"/>
                  <w:divBdr>
                    <w:top w:val="none" w:sz="0" w:space="0" w:color="auto"/>
                    <w:left w:val="none" w:sz="0" w:space="0" w:color="auto"/>
                    <w:bottom w:val="none" w:sz="0" w:space="0" w:color="auto"/>
                    <w:right w:val="none" w:sz="0" w:space="0" w:color="auto"/>
                  </w:divBdr>
                </w:div>
              </w:divsChild>
            </w:div>
            <w:div w:id="382411632">
              <w:marLeft w:val="0"/>
              <w:marRight w:val="0"/>
              <w:marTop w:val="0"/>
              <w:marBottom w:val="0"/>
              <w:divBdr>
                <w:top w:val="none" w:sz="0" w:space="0" w:color="auto"/>
                <w:left w:val="none" w:sz="0" w:space="0" w:color="auto"/>
                <w:bottom w:val="none" w:sz="0" w:space="0" w:color="auto"/>
                <w:right w:val="none" w:sz="0" w:space="0" w:color="auto"/>
              </w:divBdr>
              <w:divsChild>
                <w:div w:id="605311719">
                  <w:marLeft w:val="0"/>
                  <w:marRight w:val="0"/>
                  <w:marTop w:val="0"/>
                  <w:marBottom w:val="0"/>
                  <w:divBdr>
                    <w:top w:val="none" w:sz="0" w:space="0" w:color="auto"/>
                    <w:left w:val="none" w:sz="0" w:space="0" w:color="auto"/>
                    <w:bottom w:val="none" w:sz="0" w:space="0" w:color="auto"/>
                    <w:right w:val="none" w:sz="0" w:space="0" w:color="auto"/>
                  </w:divBdr>
                </w:div>
              </w:divsChild>
            </w:div>
            <w:div w:id="1055465838">
              <w:marLeft w:val="0"/>
              <w:marRight w:val="0"/>
              <w:marTop w:val="0"/>
              <w:marBottom w:val="0"/>
              <w:divBdr>
                <w:top w:val="none" w:sz="0" w:space="0" w:color="auto"/>
                <w:left w:val="none" w:sz="0" w:space="0" w:color="auto"/>
                <w:bottom w:val="none" w:sz="0" w:space="0" w:color="auto"/>
                <w:right w:val="none" w:sz="0" w:space="0" w:color="auto"/>
              </w:divBdr>
              <w:divsChild>
                <w:div w:id="566383700">
                  <w:marLeft w:val="0"/>
                  <w:marRight w:val="0"/>
                  <w:marTop w:val="0"/>
                  <w:marBottom w:val="0"/>
                  <w:divBdr>
                    <w:top w:val="none" w:sz="0" w:space="0" w:color="auto"/>
                    <w:left w:val="none" w:sz="0" w:space="0" w:color="auto"/>
                    <w:bottom w:val="none" w:sz="0" w:space="0" w:color="auto"/>
                    <w:right w:val="none" w:sz="0" w:space="0" w:color="auto"/>
                  </w:divBdr>
                </w:div>
              </w:divsChild>
            </w:div>
            <w:div w:id="294408427">
              <w:marLeft w:val="0"/>
              <w:marRight w:val="0"/>
              <w:marTop w:val="0"/>
              <w:marBottom w:val="0"/>
              <w:divBdr>
                <w:top w:val="none" w:sz="0" w:space="0" w:color="auto"/>
                <w:left w:val="none" w:sz="0" w:space="0" w:color="auto"/>
                <w:bottom w:val="none" w:sz="0" w:space="0" w:color="auto"/>
                <w:right w:val="none" w:sz="0" w:space="0" w:color="auto"/>
              </w:divBdr>
              <w:divsChild>
                <w:div w:id="2042586189">
                  <w:marLeft w:val="0"/>
                  <w:marRight w:val="0"/>
                  <w:marTop w:val="0"/>
                  <w:marBottom w:val="0"/>
                  <w:divBdr>
                    <w:top w:val="none" w:sz="0" w:space="0" w:color="auto"/>
                    <w:left w:val="none" w:sz="0" w:space="0" w:color="auto"/>
                    <w:bottom w:val="none" w:sz="0" w:space="0" w:color="auto"/>
                    <w:right w:val="none" w:sz="0" w:space="0" w:color="auto"/>
                  </w:divBdr>
                </w:div>
              </w:divsChild>
            </w:div>
            <w:div w:id="1631133387">
              <w:marLeft w:val="0"/>
              <w:marRight w:val="0"/>
              <w:marTop w:val="0"/>
              <w:marBottom w:val="0"/>
              <w:divBdr>
                <w:top w:val="none" w:sz="0" w:space="0" w:color="auto"/>
                <w:left w:val="none" w:sz="0" w:space="0" w:color="auto"/>
                <w:bottom w:val="none" w:sz="0" w:space="0" w:color="auto"/>
                <w:right w:val="none" w:sz="0" w:space="0" w:color="auto"/>
              </w:divBdr>
              <w:divsChild>
                <w:div w:id="1930502362">
                  <w:marLeft w:val="0"/>
                  <w:marRight w:val="0"/>
                  <w:marTop w:val="0"/>
                  <w:marBottom w:val="0"/>
                  <w:divBdr>
                    <w:top w:val="none" w:sz="0" w:space="0" w:color="auto"/>
                    <w:left w:val="none" w:sz="0" w:space="0" w:color="auto"/>
                    <w:bottom w:val="none" w:sz="0" w:space="0" w:color="auto"/>
                    <w:right w:val="none" w:sz="0" w:space="0" w:color="auto"/>
                  </w:divBdr>
                </w:div>
              </w:divsChild>
            </w:div>
            <w:div w:id="90007625">
              <w:marLeft w:val="0"/>
              <w:marRight w:val="0"/>
              <w:marTop w:val="0"/>
              <w:marBottom w:val="0"/>
              <w:divBdr>
                <w:top w:val="none" w:sz="0" w:space="0" w:color="auto"/>
                <w:left w:val="none" w:sz="0" w:space="0" w:color="auto"/>
                <w:bottom w:val="none" w:sz="0" w:space="0" w:color="auto"/>
                <w:right w:val="none" w:sz="0" w:space="0" w:color="auto"/>
              </w:divBdr>
              <w:divsChild>
                <w:div w:id="1852144248">
                  <w:marLeft w:val="0"/>
                  <w:marRight w:val="0"/>
                  <w:marTop w:val="0"/>
                  <w:marBottom w:val="0"/>
                  <w:divBdr>
                    <w:top w:val="none" w:sz="0" w:space="0" w:color="auto"/>
                    <w:left w:val="none" w:sz="0" w:space="0" w:color="auto"/>
                    <w:bottom w:val="none" w:sz="0" w:space="0" w:color="auto"/>
                    <w:right w:val="none" w:sz="0" w:space="0" w:color="auto"/>
                  </w:divBdr>
                </w:div>
              </w:divsChild>
            </w:div>
            <w:div w:id="1323044954">
              <w:marLeft w:val="0"/>
              <w:marRight w:val="0"/>
              <w:marTop w:val="0"/>
              <w:marBottom w:val="0"/>
              <w:divBdr>
                <w:top w:val="none" w:sz="0" w:space="0" w:color="auto"/>
                <w:left w:val="none" w:sz="0" w:space="0" w:color="auto"/>
                <w:bottom w:val="none" w:sz="0" w:space="0" w:color="auto"/>
                <w:right w:val="none" w:sz="0" w:space="0" w:color="auto"/>
              </w:divBdr>
              <w:divsChild>
                <w:div w:id="1746609707">
                  <w:marLeft w:val="0"/>
                  <w:marRight w:val="0"/>
                  <w:marTop w:val="0"/>
                  <w:marBottom w:val="0"/>
                  <w:divBdr>
                    <w:top w:val="none" w:sz="0" w:space="0" w:color="auto"/>
                    <w:left w:val="none" w:sz="0" w:space="0" w:color="auto"/>
                    <w:bottom w:val="none" w:sz="0" w:space="0" w:color="auto"/>
                    <w:right w:val="none" w:sz="0" w:space="0" w:color="auto"/>
                  </w:divBdr>
                </w:div>
              </w:divsChild>
            </w:div>
            <w:div w:id="1264804297">
              <w:marLeft w:val="0"/>
              <w:marRight w:val="0"/>
              <w:marTop w:val="0"/>
              <w:marBottom w:val="0"/>
              <w:divBdr>
                <w:top w:val="none" w:sz="0" w:space="0" w:color="auto"/>
                <w:left w:val="none" w:sz="0" w:space="0" w:color="auto"/>
                <w:bottom w:val="none" w:sz="0" w:space="0" w:color="auto"/>
                <w:right w:val="none" w:sz="0" w:space="0" w:color="auto"/>
              </w:divBdr>
              <w:divsChild>
                <w:div w:id="1821580605">
                  <w:marLeft w:val="0"/>
                  <w:marRight w:val="0"/>
                  <w:marTop w:val="0"/>
                  <w:marBottom w:val="0"/>
                  <w:divBdr>
                    <w:top w:val="none" w:sz="0" w:space="0" w:color="auto"/>
                    <w:left w:val="none" w:sz="0" w:space="0" w:color="auto"/>
                    <w:bottom w:val="none" w:sz="0" w:space="0" w:color="auto"/>
                    <w:right w:val="none" w:sz="0" w:space="0" w:color="auto"/>
                  </w:divBdr>
                </w:div>
              </w:divsChild>
            </w:div>
            <w:div w:id="1720669818">
              <w:marLeft w:val="0"/>
              <w:marRight w:val="0"/>
              <w:marTop w:val="0"/>
              <w:marBottom w:val="0"/>
              <w:divBdr>
                <w:top w:val="none" w:sz="0" w:space="0" w:color="auto"/>
                <w:left w:val="none" w:sz="0" w:space="0" w:color="auto"/>
                <w:bottom w:val="none" w:sz="0" w:space="0" w:color="auto"/>
                <w:right w:val="none" w:sz="0" w:space="0" w:color="auto"/>
              </w:divBdr>
              <w:divsChild>
                <w:div w:id="100808874">
                  <w:marLeft w:val="0"/>
                  <w:marRight w:val="0"/>
                  <w:marTop w:val="0"/>
                  <w:marBottom w:val="0"/>
                  <w:divBdr>
                    <w:top w:val="none" w:sz="0" w:space="0" w:color="auto"/>
                    <w:left w:val="none" w:sz="0" w:space="0" w:color="auto"/>
                    <w:bottom w:val="none" w:sz="0" w:space="0" w:color="auto"/>
                    <w:right w:val="none" w:sz="0" w:space="0" w:color="auto"/>
                  </w:divBdr>
                </w:div>
              </w:divsChild>
            </w:div>
            <w:div w:id="1143039502">
              <w:marLeft w:val="0"/>
              <w:marRight w:val="0"/>
              <w:marTop w:val="0"/>
              <w:marBottom w:val="0"/>
              <w:divBdr>
                <w:top w:val="none" w:sz="0" w:space="0" w:color="auto"/>
                <w:left w:val="none" w:sz="0" w:space="0" w:color="auto"/>
                <w:bottom w:val="none" w:sz="0" w:space="0" w:color="auto"/>
                <w:right w:val="none" w:sz="0" w:space="0" w:color="auto"/>
              </w:divBdr>
              <w:divsChild>
                <w:div w:id="623922313">
                  <w:marLeft w:val="0"/>
                  <w:marRight w:val="0"/>
                  <w:marTop w:val="0"/>
                  <w:marBottom w:val="0"/>
                  <w:divBdr>
                    <w:top w:val="none" w:sz="0" w:space="0" w:color="auto"/>
                    <w:left w:val="none" w:sz="0" w:space="0" w:color="auto"/>
                    <w:bottom w:val="none" w:sz="0" w:space="0" w:color="auto"/>
                    <w:right w:val="none" w:sz="0" w:space="0" w:color="auto"/>
                  </w:divBdr>
                </w:div>
              </w:divsChild>
            </w:div>
            <w:div w:id="865797735">
              <w:marLeft w:val="0"/>
              <w:marRight w:val="0"/>
              <w:marTop w:val="0"/>
              <w:marBottom w:val="0"/>
              <w:divBdr>
                <w:top w:val="none" w:sz="0" w:space="0" w:color="auto"/>
                <w:left w:val="none" w:sz="0" w:space="0" w:color="auto"/>
                <w:bottom w:val="none" w:sz="0" w:space="0" w:color="auto"/>
                <w:right w:val="none" w:sz="0" w:space="0" w:color="auto"/>
              </w:divBdr>
              <w:divsChild>
                <w:div w:id="1476291493">
                  <w:marLeft w:val="0"/>
                  <w:marRight w:val="0"/>
                  <w:marTop w:val="0"/>
                  <w:marBottom w:val="0"/>
                  <w:divBdr>
                    <w:top w:val="none" w:sz="0" w:space="0" w:color="auto"/>
                    <w:left w:val="none" w:sz="0" w:space="0" w:color="auto"/>
                    <w:bottom w:val="none" w:sz="0" w:space="0" w:color="auto"/>
                    <w:right w:val="none" w:sz="0" w:space="0" w:color="auto"/>
                  </w:divBdr>
                </w:div>
              </w:divsChild>
            </w:div>
            <w:div w:id="1905213950">
              <w:marLeft w:val="0"/>
              <w:marRight w:val="0"/>
              <w:marTop w:val="0"/>
              <w:marBottom w:val="0"/>
              <w:divBdr>
                <w:top w:val="none" w:sz="0" w:space="0" w:color="auto"/>
                <w:left w:val="none" w:sz="0" w:space="0" w:color="auto"/>
                <w:bottom w:val="none" w:sz="0" w:space="0" w:color="auto"/>
                <w:right w:val="none" w:sz="0" w:space="0" w:color="auto"/>
              </w:divBdr>
              <w:divsChild>
                <w:div w:id="525950665">
                  <w:marLeft w:val="0"/>
                  <w:marRight w:val="0"/>
                  <w:marTop w:val="0"/>
                  <w:marBottom w:val="0"/>
                  <w:divBdr>
                    <w:top w:val="none" w:sz="0" w:space="0" w:color="auto"/>
                    <w:left w:val="none" w:sz="0" w:space="0" w:color="auto"/>
                    <w:bottom w:val="none" w:sz="0" w:space="0" w:color="auto"/>
                    <w:right w:val="none" w:sz="0" w:space="0" w:color="auto"/>
                  </w:divBdr>
                </w:div>
              </w:divsChild>
            </w:div>
            <w:div w:id="1338845309">
              <w:marLeft w:val="0"/>
              <w:marRight w:val="0"/>
              <w:marTop w:val="0"/>
              <w:marBottom w:val="0"/>
              <w:divBdr>
                <w:top w:val="none" w:sz="0" w:space="0" w:color="auto"/>
                <w:left w:val="none" w:sz="0" w:space="0" w:color="auto"/>
                <w:bottom w:val="none" w:sz="0" w:space="0" w:color="auto"/>
                <w:right w:val="none" w:sz="0" w:space="0" w:color="auto"/>
              </w:divBdr>
              <w:divsChild>
                <w:div w:id="1198933142">
                  <w:marLeft w:val="0"/>
                  <w:marRight w:val="0"/>
                  <w:marTop w:val="0"/>
                  <w:marBottom w:val="0"/>
                  <w:divBdr>
                    <w:top w:val="none" w:sz="0" w:space="0" w:color="auto"/>
                    <w:left w:val="none" w:sz="0" w:space="0" w:color="auto"/>
                    <w:bottom w:val="none" w:sz="0" w:space="0" w:color="auto"/>
                    <w:right w:val="none" w:sz="0" w:space="0" w:color="auto"/>
                  </w:divBdr>
                </w:div>
              </w:divsChild>
            </w:div>
            <w:div w:id="224341753">
              <w:marLeft w:val="0"/>
              <w:marRight w:val="0"/>
              <w:marTop w:val="0"/>
              <w:marBottom w:val="0"/>
              <w:divBdr>
                <w:top w:val="none" w:sz="0" w:space="0" w:color="auto"/>
                <w:left w:val="none" w:sz="0" w:space="0" w:color="auto"/>
                <w:bottom w:val="none" w:sz="0" w:space="0" w:color="auto"/>
                <w:right w:val="none" w:sz="0" w:space="0" w:color="auto"/>
              </w:divBdr>
              <w:divsChild>
                <w:div w:id="1610627567">
                  <w:marLeft w:val="0"/>
                  <w:marRight w:val="0"/>
                  <w:marTop w:val="0"/>
                  <w:marBottom w:val="0"/>
                  <w:divBdr>
                    <w:top w:val="none" w:sz="0" w:space="0" w:color="auto"/>
                    <w:left w:val="none" w:sz="0" w:space="0" w:color="auto"/>
                    <w:bottom w:val="none" w:sz="0" w:space="0" w:color="auto"/>
                    <w:right w:val="none" w:sz="0" w:space="0" w:color="auto"/>
                  </w:divBdr>
                </w:div>
              </w:divsChild>
            </w:div>
            <w:div w:id="778715589">
              <w:marLeft w:val="0"/>
              <w:marRight w:val="0"/>
              <w:marTop w:val="0"/>
              <w:marBottom w:val="0"/>
              <w:divBdr>
                <w:top w:val="none" w:sz="0" w:space="0" w:color="auto"/>
                <w:left w:val="none" w:sz="0" w:space="0" w:color="auto"/>
                <w:bottom w:val="none" w:sz="0" w:space="0" w:color="auto"/>
                <w:right w:val="none" w:sz="0" w:space="0" w:color="auto"/>
              </w:divBdr>
              <w:divsChild>
                <w:div w:id="330062645">
                  <w:marLeft w:val="0"/>
                  <w:marRight w:val="0"/>
                  <w:marTop w:val="0"/>
                  <w:marBottom w:val="0"/>
                  <w:divBdr>
                    <w:top w:val="none" w:sz="0" w:space="0" w:color="auto"/>
                    <w:left w:val="none" w:sz="0" w:space="0" w:color="auto"/>
                    <w:bottom w:val="none" w:sz="0" w:space="0" w:color="auto"/>
                    <w:right w:val="none" w:sz="0" w:space="0" w:color="auto"/>
                  </w:divBdr>
                </w:div>
              </w:divsChild>
            </w:div>
            <w:div w:id="1434207248">
              <w:marLeft w:val="0"/>
              <w:marRight w:val="0"/>
              <w:marTop w:val="0"/>
              <w:marBottom w:val="0"/>
              <w:divBdr>
                <w:top w:val="none" w:sz="0" w:space="0" w:color="auto"/>
                <w:left w:val="none" w:sz="0" w:space="0" w:color="auto"/>
                <w:bottom w:val="none" w:sz="0" w:space="0" w:color="auto"/>
                <w:right w:val="none" w:sz="0" w:space="0" w:color="auto"/>
              </w:divBdr>
              <w:divsChild>
                <w:div w:id="1293947954">
                  <w:marLeft w:val="0"/>
                  <w:marRight w:val="0"/>
                  <w:marTop w:val="0"/>
                  <w:marBottom w:val="0"/>
                  <w:divBdr>
                    <w:top w:val="none" w:sz="0" w:space="0" w:color="auto"/>
                    <w:left w:val="none" w:sz="0" w:space="0" w:color="auto"/>
                    <w:bottom w:val="none" w:sz="0" w:space="0" w:color="auto"/>
                    <w:right w:val="none" w:sz="0" w:space="0" w:color="auto"/>
                  </w:divBdr>
                </w:div>
              </w:divsChild>
            </w:div>
            <w:div w:id="309209788">
              <w:marLeft w:val="0"/>
              <w:marRight w:val="0"/>
              <w:marTop w:val="0"/>
              <w:marBottom w:val="0"/>
              <w:divBdr>
                <w:top w:val="none" w:sz="0" w:space="0" w:color="auto"/>
                <w:left w:val="none" w:sz="0" w:space="0" w:color="auto"/>
                <w:bottom w:val="none" w:sz="0" w:space="0" w:color="auto"/>
                <w:right w:val="none" w:sz="0" w:space="0" w:color="auto"/>
              </w:divBdr>
              <w:divsChild>
                <w:div w:id="921836333">
                  <w:marLeft w:val="0"/>
                  <w:marRight w:val="0"/>
                  <w:marTop w:val="0"/>
                  <w:marBottom w:val="0"/>
                  <w:divBdr>
                    <w:top w:val="none" w:sz="0" w:space="0" w:color="auto"/>
                    <w:left w:val="none" w:sz="0" w:space="0" w:color="auto"/>
                    <w:bottom w:val="none" w:sz="0" w:space="0" w:color="auto"/>
                    <w:right w:val="none" w:sz="0" w:space="0" w:color="auto"/>
                  </w:divBdr>
                </w:div>
              </w:divsChild>
            </w:div>
            <w:div w:id="785930911">
              <w:marLeft w:val="0"/>
              <w:marRight w:val="0"/>
              <w:marTop w:val="0"/>
              <w:marBottom w:val="0"/>
              <w:divBdr>
                <w:top w:val="none" w:sz="0" w:space="0" w:color="auto"/>
                <w:left w:val="none" w:sz="0" w:space="0" w:color="auto"/>
                <w:bottom w:val="none" w:sz="0" w:space="0" w:color="auto"/>
                <w:right w:val="none" w:sz="0" w:space="0" w:color="auto"/>
              </w:divBdr>
              <w:divsChild>
                <w:div w:id="348677372">
                  <w:marLeft w:val="0"/>
                  <w:marRight w:val="0"/>
                  <w:marTop w:val="0"/>
                  <w:marBottom w:val="0"/>
                  <w:divBdr>
                    <w:top w:val="none" w:sz="0" w:space="0" w:color="auto"/>
                    <w:left w:val="none" w:sz="0" w:space="0" w:color="auto"/>
                    <w:bottom w:val="none" w:sz="0" w:space="0" w:color="auto"/>
                    <w:right w:val="none" w:sz="0" w:space="0" w:color="auto"/>
                  </w:divBdr>
                </w:div>
              </w:divsChild>
            </w:div>
            <w:div w:id="357659096">
              <w:marLeft w:val="0"/>
              <w:marRight w:val="0"/>
              <w:marTop w:val="0"/>
              <w:marBottom w:val="0"/>
              <w:divBdr>
                <w:top w:val="none" w:sz="0" w:space="0" w:color="auto"/>
                <w:left w:val="none" w:sz="0" w:space="0" w:color="auto"/>
                <w:bottom w:val="none" w:sz="0" w:space="0" w:color="auto"/>
                <w:right w:val="none" w:sz="0" w:space="0" w:color="auto"/>
              </w:divBdr>
              <w:divsChild>
                <w:div w:id="537742108">
                  <w:marLeft w:val="0"/>
                  <w:marRight w:val="0"/>
                  <w:marTop w:val="0"/>
                  <w:marBottom w:val="0"/>
                  <w:divBdr>
                    <w:top w:val="none" w:sz="0" w:space="0" w:color="auto"/>
                    <w:left w:val="none" w:sz="0" w:space="0" w:color="auto"/>
                    <w:bottom w:val="none" w:sz="0" w:space="0" w:color="auto"/>
                    <w:right w:val="none" w:sz="0" w:space="0" w:color="auto"/>
                  </w:divBdr>
                </w:div>
              </w:divsChild>
            </w:div>
            <w:div w:id="1118598303">
              <w:marLeft w:val="0"/>
              <w:marRight w:val="0"/>
              <w:marTop w:val="0"/>
              <w:marBottom w:val="0"/>
              <w:divBdr>
                <w:top w:val="none" w:sz="0" w:space="0" w:color="auto"/>
                <w:left w:val="none" w:sz="0" w:space="0" w:color="auto"/>
                <w:bottom w:val="none" w:sz="0" w:space="0" w:color="auto"/>
                <w:right w:val="none" w:sz="0" w:space="0" w:color="auto"/>
              </w:divBdr>
              <w:divsChild>
                <w:div w:id="620575239">
                  <w:marLeft w:val="0"/>
                  <w:marRight w:val="0"/>
                  <w:marTop w:val="0"/>
                  <w:marBottom w:val="0"/>
                  <w:divBdr>
                    <w:top w:val="none" w:sz="0" w:space="0" w:color="auto"/>
                    <w:left w:val="none" w:sz="0" w:space="0" w:color="auto"/>
                    <w:bottom w:val="none" w:sz="0" w:space="0" w:color="auto"/>
                    <w:right w:val="none" w:sz="0" w:space="0" w:color="auto"/>
                  </w:divBdr>
                </w:div>
              </w:divsChild>
            </w:div>
            <w:div w:id="734623091">
              <w:marLeft w:val="0"/>
              <w:marRight w:val="0"/>
              <w:marTop w:val="0"/>
              <w:marBottom w:val="0"/>
              <w:divBdr>
                <w:top w:val="none" w:sz="0" w:space="0" w:color="auto"/>
                <w:left w:val="none" w:sz="0" w:space="0" w:color="auto"/>
                <w:bottom w:val="none" w:sz="0" w:space="0" w:color="auto"/>
                <w:right w:val="none" w:sz="0" w:space="0" w:color="auto"/>
              </w:divBdr>
              <w:divsChild>
                <w:div w:id="892303700">
                  <w:marLeft w:val="0"/>
                  <w:marRight w:val="0"/>
                  <w:marTop w:val="0"/>
                  <w:marBottom w:val="0"/>
                  <w:divBdr>
                    <w:top w:val="none" w:sz="0" w:space="0" w:color="auto"/>
                    <w:left w:val="none" w:sz="0" w:space="0" w:color="auto"/>
                    <w:bottom w:val="none" w:sz="0" w:space="0" w:color="auto"/>
                    <w:right w:val="none" w:sz="0" w:space="0" w:color="auto"/>
                  </w:divBdr>
                </w:div>
              </w:divsChild>
            </w:div>
            <w:div w:id="1023702686">
              <w:marLeft w:val="0"/>
              <w:marRight w:val="0"/>
              <w:marTop w:val="0"/>
              <w:marBottom w:val="0"/>
              <w:divBdr>
                <w:top w:val="none" w:sz="0" w:space="0" w:color="auto"/>
                <w:left w:val="none" w:sz="0" w:space="0" w:color="auto"/>
                <w:bottom w:val="none" w:sz="0" w:space="0" w:color="auto"/>
                <w:right w:val="none" w:sz="0" w:space="0" w:color="auto"/>
              </w:divBdr>
              <w:divsChild>
                <w:div w:id="1815755645">
                  <w:marLeft w:val="0"/>
                  <w:marRight w:val="0"/>
                  <w:marTop w:val="0"/>
                  <w:marBottom w:val="0"/>
                  <w:divBdr>
                    <w:top w:val="none" w:sz="0" w:space="0" w:color="auto"/>
                    <w:left w:val="none" w:sz="0" w:space="0" w:color="auto"/>
                    <w:bottom w:val="none" w:sz="0" w:space="0" w:color="auto"/>
                    <w:right w:val="none" w:sz="0" w:space="0" w:color="auto"/>
                  </w:divBdr>
                </w:div>
              </w:divsChild>
            </w:div>
            <w:div w:id="1609581135">
              <w:marLeft w:val="0"/>
              <w:marRight w:val="0"/>
              <w:marTop w:val="0"/>
              <w:marBottom w:val="0"/>
              <w:divBdr>
                <w:top w:val="none" w:sz="0" w:space="0" w:color="auto"/>
                <w:left w:val="none" w:sz="0" w:space="0" w:color="auto"/>
                <w:bottom w:val="none" w:sz="0" w:space="0" w:color="auto"/>
                <w:right w:val="none" w:sz="0" w:space="0" w:color="auto"/>
              </w:divBdr>
              <w:divsChild>
                <w:div w:id="699667213">
                  <w:marLeft w:val="0"/>
                  <w:marRight w:val="0"/>
                  <w:marTop w:val="0"/>
                  <w:marBottom w:val="0"/>
                  <w:divBdr>
                    <w:top w:val="none" w:sz="0" w:space="0" w:color="auto"/>
                    <w:left w:val="none" w:sz="0" w:space="0" w:color="auto"/>
                    <w:bottom w:val="none" w:sz="0" w:space="0" w:color="auto"/>
                    <w:right w:val="none" w:sz="0" w:space="0" w:color="auto"/>
                  </w:divBdr>
                </w:div>
              </w:divsChild>
            </w:div>
            <w:div w:id="300307962">
              <w:marLeft w:val="0"/>
              <w:marRight w:val="0"/>
              <w:marTop w:val="0"/>
              <w:marBottom w:val="0"/>
              <w:divBdr>
                <w:top w:val="none" w:sz="0" w:space="0" w:color="auto"/>
                <w:left w:val="none" w:sz="0" w:space="0" w:color="auto"/>
                <w:bottom w:val="none" w:sz="0" w:space="0" w:color="auto"/>
                <w:right w:val="none" w:sz="0" w:space="0" w:color="auto"/>
              </w:divBdr>
              <w:divsChild>
                <w:div w:id="1755663292">
                  <w:marLeft w:val="0"/>
                  <w:marRight w:val="0"/>
                  <w:marTop w:val="0"/>
                  <w:marBottom w:val="0"/>
                  <w:divBdr>
                    <w:top w:val="none" w:sz="0" w:space="0" w:color="auto"/>
                    <w:left w:val="none" w:sz="0" w:space="0" w:color="auto"/>
                    <w:bottom w:val="none" w:sz="0" w:space="0" w:color="auto"/>
                    <w:right w:val="none" w:sz="0" w:space="0" w:color="auto"/>
                  </w:divBdr>
                </w:div>
              </w:divsChild>
            </w:div>
            <w:div w:id="857951">
              <w:marLeft w:val="0"/>
              <w:marRight w:val="0"/>
              <w:marTop w:val="0"/>
              <w:marBottom w:val="0"/>
              <w:divBdr>
                <w:top w:val="none" w:sz="0" w:space="0" w:color="auto"/>
                <w:left w:val="none" w:sz="0" w:space="0" w:color="auto"/>
                <w:bottom w:val="none" w:sz="0" w:space="0" w:color="auto"/>
                <w:right w:val="none" w:sz="0" w:space="0" w:color="auto"/>
              </w:divBdr>
              <w:divsChild>
                <w:div w:id="2064399261">
                  <w:marLeft w:val="0"/>
                  <w:marRight w:val="0"/>
                  <w:marTop w:val="0"/>
                  <w:marBottom w:val="0"/>
                  <w:divBdr>
                    <w:top w:val="none" w:sz="0" w:space="0" w:color="auto"/>
                    <w:left w:val="none" w:sz="0" w:space="0" w:color="auto"/>
                    <w:bottom w:val="none" w:sz="0" w:space="0" w:color="auto"/>
                    <w:right w:val="none" w:sz="0" w:space="0" w:color="auto"/>
                  </w:divBdr>
                </w:div>
              </w:divsChild>
            </w:div>
            <w:div w:id="1530407973">
              <w:marLeft w:val="0"/>
              <w:marRight w:val="0"/>
              <w:marTop w:val="0"/>
              <w:marBottom w:val="0"/>
              <w:divBdr>
                <w:top w:val="none" w:sz="0" w:space="0" w:color="auto"/>
                <w:left w:val="none" w:sz="0" w:space="0" w:color="auto"/>
                <w:bottom w:val="none" w:sz="0" w:space="0" w:color="auto"/>
                <w:right w:val="none" w:sz="0" w:space="0" w:color="auto"/>
              </w:divBdr>
              <w:divsChild>
                <w:div w:id="846098415">
                  <w:marLeft w:val="0"/>
                  <w:marRight w:val="0"/>
                  <w:marTop w:val="0"/>
                  <w:marBottom w:val="0"/>
                  <w:divBdr>
                    <w:top w:val="none" w:sz="0" w:space="0" w:color="auto"/>
                    <w:left w:val="none" w:sz="0" w:space="0" w:color="auto"/>
                    <w:bottom w:val="none" w:sz="0" w:space="0" w:color="auto"/>
                    <w:right w:val="none" w:sz="0" w:space="0" w:color="auto"/>
                  </w:divBdr>
                </w:div>
              </w:divsChild>
            </w:div>
            <w:div w:id="90469172">
              <w:marLeft w:val="0"/>
              <w:marRight w:val="0"/>
              <w:marTop w:val="0"/>
              <w:marBottom w:val="0"/>
              <w:divBdr>
                <w:top w:val="none" w:sz="0" w:space="0" w:color="auto"/>
                <w:left w:val="none" w:sz="0" w:space="0" w:color="auto"/>
                <w:bottom w:val="none" w:sz="0" w:space="0" w:color="auto"/>
                <w:right w:val="none" w:sz="0" w:space="0" w:color="auto"/>
              </w:divBdr>
              <w:divsChild>
                <w:div w:id="628824409">
                  <w:marLeft w:val="0"/>
                  <w:marRight w:val="0"/>
                  <w:marTop w:val="0"/>
                  <w:marBottom w:val="0"/>
                  <w:divBdr>
                    <w:top w:val="none" w:sz="0" w:space="0" w:color="auto"/>
                    <w:left w:val="none" w:sz="0" w:space="0" w:color="auto"/>
                    <w:bottom w:val="none" w:sz="0" w:space="0" w:color="auto"/>
                    <w:right w:val="none" w:sz="0" w:space="0" w:color="auto"/>
                  </w:divBdr>
                </w:div>
              </w:divsChild>
            </w:div>
            <w:div w:id="1641568668">
              <w:marLeft w:val="0"/>
              <w:marRight w:val="0"/>
              <w:marTop w:val="0"/>
              <w:marBottom w:val="0"/>
              <w:divBdr>
                <w:top w:val="none" w:sz="0" w:space="0" w:color="auto"/>
                <w:left w:val="none" w:sz="0" w:space="0" w:color="auto"/>
                <w:bottom w:val="none" w:sz="0" w:space="0" w:color="auto"/>
                <w:right w:val="none" w:sz="0" w:space="0" w:color="auto"/>
              </w:divBdr>
              <w:divsChild>
                <w:div w:id="1013728173">
                  <w:marLeft w:val="0"/>
                  <w:marRight w:val="0"/>
                  <w:marTop w:val="0"/>
                  <w:marBottom w:val="0"/>
                  <w:divBdr>
                    <w:top w:val="none" w:sz="0" w:space="0" w:color="auto"/>
                    <w:left w:val="none" w:sz="0" w:space="0" w:color="auto"/>
                    <w:bottom w:val="none" w:sz="0" w:space="0" w:color="auto"/>
                    <w:right w:val="none" w:sz="0" w:space="0" w:color="auto"/>
                  </w:divBdr>
                </w:div>
              </w:divsChild>
            </w:div>
            <w:div w:id="589433471">
              <w:marLeft w:val="0"/>
              <w:marRight w:val="0"/>
              <w:marTop w:val="0"/>
              <w:marBottom w:val="0"/>
              <w:divBdr>
                <w:top w:val="none" w:sz="0" w:space="0" w:color="auto"/>
                <w:left w:val="none" w:sz="0" w:space="0" w:color="auto"/>
                <w:bottom w:val="none" w:sz="0" w:space="0" w:color="auto"/>
                <w:right w:val="none" w:sz="0" w:space="0" w:color="auto"/>
              </w:divBdr>
              <w:divsChild>
                <w:div w:id="11990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078">
          <w:marLeft w:val="0"/>
          <w:marRight w:val="0"/>
          <w:marTop w:val="0"/>
          <w:marBottom w:val="600"/>
          <w:divBdr>
            <w:top w:val="none" w:sz="0" w:space="0" w:color="auto"/>
            <w:left w:val="none" w:sz="0" w:space="0" w:color="auto"/>
            <w:bottom w:val="none" w:sz="0" w:space="0" w:color="auto"/>
            <w:right w:val="none" w:sz="0" w:space="0" w:color="auto"/>
          </w:divBdr>
        </w:div>
      </w:divsChild>
    </w:div>
    <w:div w:id="1240140235">
      <w:marLeft w:val="0"/>
      <w:marRight w:val="0"/>
      <w:marTop w:val="0"/>
      <w:marBottom w:val="0"/>
      <w:divBdr>
        <w:top w:val="none" w:sz="0" w:space="0" w:color="auto"/>
        <w:left w:val="none" w:sz="0" w:space="0" w:color="auto"/>
        <w:bottom w:val="none" w:sz="0" w:space="0" w:color="auto"/>
        <w:right w:val="none" w:sz="0" w:space="0" w:color="auto"/>
      </w:divBdr>
      <w:divsChild>
        <w:div w:id="327051861">
          <w:marLeft w:val="0"/>
          <w:marRight w:val="0"/>
          <w:marTop w:val="600"/>
          <w:marBottom w:val="0"/>
          <w:divBdr>
            <w:top w:val="none" w:sz="0" w:space="0" w:color="auto"/>
            <w:left w:val="none" w:sz="0" w:space="0" w:color="auto"/>
            <w:bottom w:val="none" w:sz="0" w:space="0" w:color="auto"/>
            <w:right w:val="none" w:sz="0" w:space="0" w:color="auto"/>
          </w:divBdr>
        </w:div>
        <w:div w:id="1970894637">
          <w:marLeft w:val="0"/>
          <w:marRight w:val="0"/>
          <w:marTop w:val="0"/>
          <w:marBottom w:val="0"/>
          <w:divBdr>
            <w:top w:val="none" w:sz="0" w:space="0" w:color="auto"/>
            <w:left w:val="none" w:sz="0" w:space="0" w:color="auto"/>
            <w:bottom w:val="none" w:sz="0" w:space="0" w:color="auto"/>
            <w:right w:val="none" w:sz="0" w:space="0" w:color="auto"/>
          </w:divBdr>
        </w:div>
        <w:div w:id="855653309">
          <w:marLeft w:val="0"/>
          <w:marRight w:val="0"/>
          <w:marTop w:val="0"/>
          <w:marBottom w:val="600"/>
          <w:divBdr>
            <w:top w:val="none" w:sz="0" w:space="0" w:color="auto"/>
            <w:left w:val="none" w:sz="0" w:space="0" w:color="auto"/>
            <w:bottom w:val="none" w:sz="0" w:space="0" w:color="auto"/>
            <w:right w:val="none" w:sz="0" w:space="0" w:color="auto"/>
          </w:divBdr>
        </w:div>
      </w:divsChild>
    </w:div>
    <w:div w:id="1241207905">
      <w:marLeft w:val="0"/>
      <w:marRight w:val="0"/>
      <w:marTop w:val="0"/>
      <w:marBottom w:val="0"/>
      <w:divBdr>
        <w:top w:val="none" w:sz="0" w:space="0" w:color="auto"/>
        <w:left w:val="none" w:sz="0" w:space="0" w:color="auto"/>
        <w:bottom w:val="none" w:sz="0" w:space="0" w:color="auto"/>
        <w:right w:val="none" w:sz="0" w:space="0" w:color="auto"/>
      </w:divBdr>
      <w:divsChild>
        <w:div w:id="990407334">
          <w:marLeft w:val="0"/>
          <w:marRight w:val="0"/>
          <w:marTop w:val="600"/>
          <w:marBottom w:val="0"/>
          <w:divBdr>
            <w:top w:val="none" w:sz="0" w:space="0" w:color="auto"/>
            <w:left w:val="none" w:sz="0" w:space="0" w:color="auto"/>
            <w:bottom w:val="none" w:sz="0" w:space="0" w:color="auto"/>
            <w:right w:val="none" w:sz="0" w:space="0" w:color="auto"/>
          </w:divBdr>
        </w:div>
        <w:div w:id="390272922">
          <w:marLeft w:val="0"/>
          <w:marRight w:val="0"/>
          <w:marTop w:val="0"/>
          <w:marBottom w:val="0"/>
          <w:divBdr>
            <w:top w:val="none" w:sz="0" w:space="0" w:color="auto"/>
            <w:left w:val="none" w:sz="0" w:space="0" w:color="auto"/>
            <w:bottom w:val="none" w:sz="0" w:space="0" w:color="auto"/>
            <w:right w:val="none" w:sz="0" w:space="0" w:color="auto"/>
          </w:divBdr>
        </w:div>
        <w:div w:id="179051083">
          <w:marLeft w:val="0"/>
          <w:marRight w:val="0"/>
          <w:marTop w:val="0"/>
          <w:marBottom w:val="600"/>
          <w:divBdr>
            <w:top w:val="none" w:sz="0" w:space="0" w:color="auto"/>
            <w:left w:val="none" w:sz="0" w:space="0" w:color="auto"/>
            <w:bottom w:val="none" w:sz="0" w:space="0" w:color="auto"/>
            <w:right w:val="none" w:sz="0" w:space="0" w:color="auto"/>
          </w:divBdr>
        </w:div>
      </w:divsChild>
    </w:div>
    <w:div w:id="1267274383">
      <w:marLeft w:val="0"/>
      <w:marRight w:val="0"/>
      <w:marTop w:val="0"/>
      <w:marBottom w:val="0"/>
      <w:divBdr>
        <w:top w:val="none" w:sz="0" w:space="0" w:color="auto"/>
        <w:left w:val="none" w:sz="0" w:space="0" w:color="auto"/>
        <w:bottom w:val="none" w:sz="0" w:space="0" w:color="auto"/>
        <w:right w:val="none" w:sz="0" w:space="0" w:color="auto"/>
      </w:divBdr>
      <w:divsChild>
        <w:div w:id="1447232216">
          <w:marLeft w:val="0"/>
          <w:marRight w:val="0"/>
          <w:marTop w:val="600"/>
          <w:marBottom w:val="0"/>
          <w:divBdr>
            <w:top w:val="none" w:sz="0" w:space="0" w:color="auto"/>
            <w:left w:val="none" w:sz="0" w:space="0" w:color="auto"/>
            <w:bottom w:val="none" w:sz="0" w:space="0" w:color="auto"/>
            <w:right w:val="none" w:sz="0" w:space="0" w:color="auto"/>
          </w:divBdr>
        </w:div>
        <w:div w:id="716583750">
          <w:marLeft w:val="0"/>
          <w:marRight w:val="0"/>
          <w:marTop w:val="0"/>
          <w:marBottom w:val="0"/>
          <w:divBdr>
            <w:top w:val="none" w:sz="0" w:space="0" w:color="auto"/>
            <w:left w:val="none" w:sz="0" w:space="0" w:color="auto"/>
            <w:bottom w:val="none" w:sz="0" w:space="0" w:color="auto"/>
            <w:right w:val="none" w:sz="0" w:space="0" w:color="auto"/>
          </w:divBdr>
        </w:div>
        <w:div w:id="693964956">
          <w:marLeft w:val="0"/>
          <w:marRight w:val="0"/>
          <w:marTop w:val="0"/>
          <w:marBottom w:val="600"/>
          <w:divBdr>
            <w:top w:val="none" w:sz="0" w:space="0" w:color="auto"/>
            <w:left w:val="none" w:sz="0" w:space="0" w:color="auto"/>
            <w:bottom w:val="none" w:sz="0" w:space="0" w:color="auto"/>
            <w:right w:val="none" w:sz="0" w:space="0" w:color="auto"/>
          </w:divBdr>
        </w:div>
      </w:divsChild>
    </w:div>
    <w:div w:id="1276402885">
      <w:marLeft w:val="0"/>
      <w:marRight w:val="0"/>
      <w:marTop w:val="0"/>
      <w:marBottom w:val="0"/>
      <w:divBdr>
        <w:top w:val="none" w:sz="0" w:space="0" w:color="auto"/>
        <w:left w:val="none" w:sz="0" w:space="0" w:color="auto"/>
        <w:bottom w:val="none" w:sz="0" w:space="0" w:color="auto"/>
        <w:right w:val="none" w:sz="0" w:space="0" w:color="auto"/>
      </w:divBdr>
      <w:divsChild>
        <w:div w:id="1881087945">
          <w:marLeft w:val="0"/>
          <w:marRight w:val="0"/>
          <w:marTop w:val="600"/>
          <w:marBottom w:val="0"/>
          <w:divBdr>
            <w:top w:val="none" w:sz="0" w:space="0" w:color="auto"/>
            <w:left w:val="none" w:sz="0" w:space="0" w:color="auto"/>
            <w:bottom w:val="none" w:sz="0" w:space="0" w:color="auto"/>
            <w:right w:val="none" w:sz="0" w:space="0" w:color="auto"/>
          </w:divBdr>
        </w:div>
        <w:div w:id="1617445126">
          <w:marLeft w:val="0"/>
          <w:marRight w:val="0"/>
          <w:marTop w:val="0"/>
          <w:marBottom w:val="0"/>
          <w:divBdr>
            <w:top w:val="none" w:sz="0" w:space="0" w:color="auto"/>
            <w:left w:val="none" w:sz="0" w:space="0" w:color="auto"/>
            <w:bottom w:val="none" w:sz="0" w:space="0" w:color="auto"/>
            <w:right w:val="none" w:sz="0" w:space="0" w:color="auto"/>
          </w:divBdr>
        </w:div>
        <w:div w:id="699162182">
          <w:marLeft w:val="0"/>
          <w:marRight w:val="0"/>
          <w:marTop w:val="0"/>
          <w:marBottom w:val="600"/>
          <w:divBdr>
            <w:top w:val="none" w:sz="0" w:space="0" w:color="auto"/>
            <w:left w:val="none" w:sz="0" w:space="0" w:color="auto"/>
            <w:bottom w:val="none" w:sz="0" w:space="0" w:color="auto"/>
            <w:right w:val="none" w:sz="0" w:space="0" w:color="auto"/>
          </w:divBdr>
        </w:div>
      </w:divsChild>
    </w:div>
    <w:div w:id="1283877244">
      <w:marLeft w:val="0"/>
      <w:marRight w:val="0"/>
      <w:marTop w:val="0"/>
      <w:marBottom w:val="0"/>
      <w:divBdr>
        <w:top w:val="none" w:sz="0" w:space="0" w:color="auto"/>
        <w:left w:val="none" w:sz="0" w:space="0" w:color="auto"/>
        <w:bottom w:val="none" w:sz="0" w:space="0" w:color="auto"/>
        <w:right w:val="none" w:sz="0" w:space="0" w:color="auto"/>
      </w:divBdr>
      <w:divsChild>
        <w:div w:id="557857378">
          <w:marLeft w:val="0"/>
          <w:marRight w:val="0"/>
          <w:marTop w:val="600"/>
          <w:marBottom w:val="0"/>
          <w:divBdr>
            <w:top w:val="none" w:sz="0" w:space="0" w:color="auto"/>
            <w:left w:val="none" w:sz="0" w:space="0" w:color="auto"/>
            <w:bottom w:val="none" w:sz="0" w:space="0" w:color="auto"/>
            <w:right w:val="none" w:sz="0" w:space="0" w:color="auto"/>
          </w:divBdr>
        </w:div>
        <w:div w:id="1064719265">
          <w:marLeft w:val="0"/>
          <w:marRight w:val="0"/>
          <w:marTop w:val="0"/>
          <w:marBottom w:val="0"/>
          <w:divBdr>
            <w:top w:val="none" w:sz="0" w:space="0" w:color="auto"/>
            <w:left w:val="none" w:sz="0" w:space="0" w:color="auto"/>
            <w:bottom w:val="none" w:sz="0" w:space="0" w:color="auto"/>
            <w:right w:val="none" w:sz="0" w:space="0" w:color="auto"/>
          </w:divBdr>
        </w:div>
        <w:div w:id="2026394115">
          <w:marLeft w:val="0"/>
          <w:marRight w:val="0"/>
          <w:marTop w:val="0"/>
          <w:marBottom w:val="600"/>
          <w:divBdr>
            <w:top w:val="none" w:sz="0" w:space="0" w:color="auto"/>
            <w:left w:val="none" w:sz="0" w:space="0" w:color="auto"/>
            <w:bottom w:val="none" w:sz="0" w:space="0" w:color="auto"/>
            <w:right w:val="none" w:sz="0" w:space="0" w:color="auto"/>
          </w:divBdr>
        </w:div>
      </w:divsChild>
    </w:div>
    <w:div w:id="1284069338">
      <w:marLeft w:val="0"/>
      <w:marRight w:val="0"/>
      <w:marTop w:val="0"/>
      <w:marBottom w:val="0"/>
      <w:divBdr>
        <w:top w:val="none" w:sz="0" w:space="0" w:color="auto"/>
        <w:left w:val="none" w:sz="0" w:space="0" w:color="auto"/>
        <w:bottom w:val="none" w:sz="0" w:space="0" w:color="auto"/>
        <w:right w:val="none" w:sz="0" w:space="0" w:color="auto"/>
      </w:divBdr>
      <w:divsChild>
        <w:div w:id="413014291">
          <w:marLeft w:val="0"/>
          <w:marRight w:val="0"/>
          <w:marTop w:val="600"/>
          <w:marBottom w:val="0"/>
          <w:divBdr>
            <w:top w:val="none" w:sz="0" w:space="0" w:color="auto"/>
            <w:left w:val="none" w:sz="0" w:space="0" w:color="auto"/>
            <w:bottom w:val="none" w:sz="0" w:space="0" w:color="auto"/>
            <w:right w:val="none" w:sz="0" w:space="0" w:color="auto"/>
          </w:divBdr>
        </w:div>
        <w:div w:id="2083284456">
          <w:marLeft w:val="0"/>
          <w:marRight w:val="0"/>
          <w:marTop w:val="0"/>
          <w:marBottom w:val="0"/>
          <w:divBdr>
            <w:top w:val="none" w:sz="0" w:space="0" w:color="auto"/>
            <w:left w:val="none" w:sz="0" w:space="0" w:color="auto"/>
            <w:bottom w:val="none" w:sz="0" w:space="0" w:color="auto"/>
            <w:right w:val="none" w:sz="0" w:space="0" w:color="auto"/>
          </w:divBdr>
        </w:div>
        <w:div w:id="560793873">
          <w:marLeft w:val="0"/>
          <w:marRight w:val="0"/>
          <w:marTop w:val="0"/>
          <w:marBottom w:val="600"/>
          <w:divBdr>
            <w:top w:val="none" w:sz="0" w:space="0" w:color="auto"/>
            <w:left w:val="none" w:sz="0" w:space="0" w:color="auto"/>
            <w:bottom w:val="none" w:sz="0" w:space="0" w:color="auto"/>
            <w:right w:val="none" w:sz="0" w:space="0" w:color="auto"/>
          </w:divBdr>
        </w:div>
      </w:divsChild>
    </w:div>
    <w:div w:id="1287544638">
      <w:marLeft w:val="0"/>
      <w:marRight w:val="0"/>
      <w:marTop w:val="0"/>
      <w:marBottom w:val="0"/>
      <w:divBdr>
        <w:top w:val="none" w:sz="0" w:space="0" w:color="auto"/>
        <w:left w:val="none" w:sz="0" w:space="0" w:color="auto"/>
        <w:bottom w:val="none" w:sz="0" w:space="0" w:color="auto"/>
        <w:right w:val="none" w:sz="0" w:space="0" w:color="auto"/>
      </w:divBdr>
      <w:divsChild>
        <w:div w:id="335426386">
          <w:marLeft w:val="0"/>
          <w:marRight w:val="0"/>
          <w:marTop w:val="600"/>
          <w:marBottom w:val="0"/>
          <w:divBdr>
            <w:top w:val="none" w:sz="0" w:space="0" w:color="auto"/>
            <w:left w:val="none" w:sz="0" w:space="0" w:color="auto"/>
            <w:bottom w:val="none" w:sz="0" w:space="0" w:color="auto"/>
            <w:right w:val="none" w:sz="0" w:space="0" w:color="auto"/>
          </w:divBdr>
        </w:div>
        <w:div w:id="554005431">
          <w:marLeft w:val="0"/>
          <w:marRight w:val="0"/>
          <w:marTop w:val="0"/>
          <w:marBottom w:val="0"/>
          <w:divBdr>
            <w:top w:val="none" w:sz="0" w:space="0" w:color="auto"/>
            <w:left w:val="none" w:sz="0" w:space="0" w:color="auto"/>
            <w:bottom w:val="none" w:sz="0" w:space="0" w:color="auto"/>
            <w:right w:val="none" w:sz="0" w:space="0" w:color="auto"/>
          </w:divBdr>
          <w:divsChild>
            <w:div w:id="1678187639">
              <w:marLeft w:val="547"/>
              <w:marRight w:val="0"/>
              <w:marTop w:val="0"/>
              <w:marBottom w:val="0"/>
              <w:divBdr>
                <w:top w:val="none" w:sz="0" w:space="0" w:color="auto"/>
                <w:left w:val="none" w:sz="0" w:space="0" w:color="auto"/>
                <w:bottom w:val="none" w:sz="0" w:space="0" w:color="auto"/>
                <w:right w:val="none" w:sz="0" w:space="0" w:color="auto"/>
              </w:divBdr>
            </w:div>
            <w:div w:id="232929110">
              <w:marLeft w:val="547"/>
              <w:marRight w:val="0"/>
              <w:marTop w:val="0"/>
              <w:marBottom w:val="0"/>
              <w:divBdr>
                <w:top w:val="none" w:sz="0" w:space="0" w:color="auto"/>
                <w:left w:val="none" w:sz="0" w:space="0" w:color="auto"/>
                <w:bottom w:val="none" w:sz="0" w:space="0" w:color="auto"/>
                <w:right w:val="none" w:sz="0" w:space="0" w:color="auto"/>
              </w:divBdr>
            </w:div>
            <w:div w:id="1808626610">
              <w:marLeft w:val="547"/>
              <w:marRight w:val="0"/>
              <w:marTop w:val="0"/>
              <w:marBottom w:val="0"/>
              <w:divBdr>
                <w:top w:val="none" w:sz="0" w:space="0" w:color="auto"/>
                <w:left w:val="none" w:sz="0" w:space="0" w:color="auto"/>
                <w:bottom w:val="none" w:sz="0" w:space="0" w:color="auto"/>
                <w:right w:val="none" w:sz="0" w:space="0" w:color="auto"/>
              </w:divBdr>
            </w:div>
            <w:div w:id="419714004">
              <w:marLeft w:val="547"/>
              <w:marRight w:val="0"/>
              <w:marTop w:val="0"/>
              <w:marBottom w:val="0"/>
              <w:divBdr>
                <w:top w:val="none" w:sz="0" w:space="0" w:color="auto"/>
                <w:left w:val="none" w:sz="0" w:space="0" w:color="auto"/>
                <w:bottom w:val="none" w:sz="0" w:space="0" w:color="auto"/>
                <w:right w:val="none" w:sz="0" w:space="0" w:color="auto"/>
              </w:divBdr>
            </w:div>
            <w:div w:id="246617567">
              <w:marLeft w:val="547"/>
              <w:marRight w:val="0"/>
              <w:marTop w:val="0"/>
              <w:marBottom w:val="0"/>
              <w:divBdr>
                <w:top w:val="none" w:sz="0" w:space="0" w:color="auto"/>
                <w:left w:val="none" w:sz="0" w:space="0" w:color="auto"/>
                <w:bottom w:val="none" w:sz="0" w:space="0" w:color="auto"/>
                <w:right w:val="none" w:sz="0" w:space="0" w:color="auto"/>
              </w:divBdr>
            </w:div>
          </w:divsChild>
        </w:div>
        <w:div w:id="1864317611">
          <w:marLeft w:val="0"/>
          <w:marRight w:val="0"/>
          <w:marTop w:val="0"/>
          <w:marBottom w:val="600"/>
          <w:divBdr>
            <w:top w:val="none" w:sz="0" w:space="0" w:color="auto"/>
            <w:left w:val="none" w:sz="0" w:space="0" w:color="auto"/>
            <w:bottom w:val="none" w:sz="0" w:space="0" w:color="auto"/>
            <w:right w:val="none" w:sz="0" w:space="0" w:color="auto"/>
          </w:divBdr>
        </w:div>
      </w:divsChild>
    </w:div>
    <w:div w:id="1304770618">
      <w:marLeft w:val="0"/>
      <w:marRight w:val="0"/>
      <w:marTop w:val="0"/>
      <w:marBottom w:val="0"/>
      <w:divBdr>
        <w:top w:val="none" w:sz="0" w:space="0" w:color="auto"/>
        <w:left w:val="none" w:sz="0" w:space="0" w:color="auto"/>
        <w:bottom w:val="none" w:sz="0" w:space="0" w:color="auto"/>
        <w:right w:val="none" w:sz="0" w:space="0" w:color="auto"/>
      </w:divBdr>
      <w:divsChild>
        <w:div w:id="1576934813">
          <w:marLeft w:val="0"/>
          <w:marRight w:val="0"/>
          <w:marTop w:val="600"/>
          <w:marBottom w:val="0"/>
          <w:divBdr>
            <w:top w:val="none" w:sz="0" w:space="0" w:color="auto"/>
            <w:left w:val="none" w:sz="0" w:space="0" w:color="auto"/>
            <w:bottom w:val="none" w:sz="0" w:space="0" w:color="auto"/>
            <w:right w:val="none" w:sz="0" w:space="0" w:color="auto"/>
          </w:divBdr>
        </w:div>
        <w:div w:id="470755526">
          <w:marLeft w:val="0"/>
          <w:marRight w:val="0"/>
          <w:marTop w:val="0"/>
          <w:marBottom w:val="0"/>
          <w:divBdr>
            <w:top w:val="none" w:sz="0" w:space="0" w:color="auto"/>
            <w:left w:val="none" w:sz="0" w:space="0" w:color="auto"/>
            <w:bottom w:val="none" w:sz="0" w:space="0" w:color="auto"/>
            <w:right w:val="none" w:sz="0" w:space="0" w:color="auto"/>
          </w:divBdr>
        </w:div>
        <w:div w:id="987126782">
          <w:marLeft w:val="0"/>
          <w:marRight w:val="0"/>
          <w:marTop w:val="0"/>
          <w:marBottom w:val="600"/>
          <w:divBdr>
            <w:top w:val="none" w:sz="0" w:space="0" w:color="auto"/>
            <w:left w:val="none" w:sz="0" w:space="0" w:color="auto"/>
            <w:bottom w:val="none" w:sz="0" w:space="0" w:color="auto"/>
            <w:right w:val="none" w:sz="0" w:space="0" w:color="auto"/>
          </w:divBdr>
        </w:div>
      </w:divsChild>
    </w:div>
    <w:div w:id="1317225827">
      <w:marLeft w:val="0"/>
      <w:marRight w:val="0"/>
      <w:marTop w:val="0"/>
      <w:marBottom w:val="0"/>
      <w:divBdr>
        <w:top w:val="none" w:sz="0" w:space="0" w:color="auto"/>
        <w:left w:val="none" w:sz="0" w:space="0" w:color="auto"/>
        <w:bottom w:val="none" w:sz="0" w:space="0" w:color="auto"/>
        <w:right w:val="none" w:sz="0" w:space="0" w:color="auto"/>
      </w:divBdr>
      <w:divsChild>
        <w:div w:id="1541043898">
          <w:marLeft w:val="0"/>
          <w:marRight w:val="0"/>
          <w:marTop w:val="600"/>
          <w:marBottom w:val="0"/>
          <w:divBdr>
            <w:top w:val="none" w:sz="0" w:space="0" w:color="auto"/>
            <w:left w:val="none" w:sz="0" w:space="0" w:color="auto"/>
            <w:bottom w:val="none" w:sz="0" w:space="0" w:color="auto"/>
            <w:right w:val="none" w:sz="0" w:space="0" w:color="auto"/>
          </w:divBdr>
        </w:div>
        <w:div w:id="1503352811">
          <w:marLeft w:val="0"/>
          <w:marRight w:val="0"/>
          <w:marTop w:val="0"/>
          <w:marBottom w:val="0"/>
          <w:divBdr>
            <w:top w:val="none" w:sz="0" w:space="0" w:color="auto"/>
            <w:left w:val="none" w:sz="0" w:space="0" w:color="auto"/>
            <w:bottom w:val="none" w:sz="0" w:space="0" w:color="auto"/>
            <w:right w:val="none" w:sz="0" w:space="0" w:color="auto"/>
          </w:divBdr>
        </w:div>
        <w:div w:id="1747339101">
          <w:marLeft w:val="0"/>
          <w:marRight w:val="0"/>
          <w:marTop w:val="0"/>
          <w:marBottom w:val="600"/>
          <w:divBdr>
            <w:top w:val="none" w:sz="0" w:space="0" w:color="auto"/>
            <w:left w:val="none" w:sz="0" w:space="0" w:color="auto"/>
            <w:bottom w:val="none" w:sz="0" w:space="0" w:color="auto"/>
            <w:right w:val="none" w:sz="0" w:space="0" w:color="auto"/>
          </w:divBdr>
        </w:div>
      </w:divsChild>
    </w:div>
    <w:div w:id="1342781029">
      <w:marLeft w:val="0"/>
      <w:marRight w:val="0"/>
      <w:marTop w:val="0"/>
      <w:marBottom w:val="0"/>
      <w:divBdr>
        <w:top w:val="none" w:sz="0" w:space="0" w:color="auto"/>
        <w:left w:val="none" w:sz="0" w:space="0" w:color="auto"/>
        <w:bottom w:val="none" w:sz="0" w:space="0" w:color="auto"/>
        <w:right w:val="none" w:sz="0" w:space="0" w:color="auto"/>
      </w:divBdr>
      <w:divsChild>
        <w:div w:id="450369898">
          <w:marLeft w:val="0"/>
          <w:marRight w:val="0"/>
          <w:marTop w:val="600"/>
          <w:marBottom w:val="0"/>
          <w:divBdr>
            <w:top w:val="none" w:sz="0" w:space="0" w:color="auto"/>
            <w:left w:val="none" w:sz="0" w:space="0" w:color="auto"/>
            <w:bottom w:val="none" w:sz="0" w:space="0" w:color="auto"/>
            <w:right w:val="none" w:sz="0" w:space="0" w:color="auto"/>
          </w:divBdr>
        </w:div>
        <w:div w:id="575436813">
          <w:marLeft w:val="0"/>
          <w:marRight w:val="0"/>
          <w:marTop w:val="0"/>
          <w:marBottom w:val="0"/>
          <w:divBdr>
            <w:top w:val="none" w:sz="0" w:space="0" w:color="auto"/>
            <w:left w:val="none" w:sz="0" w:space="0" w:color="auto"/>
            <w:bottom w:val="none" w:sz="0" w:space="0" w:color="auto"/>
            <w:right w:val="none" w:sz="0" w:space="0" w:color="auto"/>
          </w:divBdr>
        </w:div>
        <w:div w:id="745105884">
          <w:marLeft w:val="0"/>
          <w:marRight w:val="0"/>
          <w:marTop w:val="0"/>
          <w:marBottom w:val="600"/>
          <w:divBdr>
            <w:top w:val="none" w:sz="0" w:space="0" w:color="auto"/>
            <w:left w:val="none" w:sz="0" w:space="0" w:color="auto"/>
            <w:bottom w:val="none" w:sz="0" w:space="0" w:color="auto"/>
            <w:right w:val="none" w:sz="0" w:space="0" w:color="auto"/>
          </w:divBdr>
        </w:div>
      </w:divsChild>
    </w:div>
    <w:div w:id="1352024633">
      <w:marLeft w:val="0"/>
      <w:marRight w:val="0"/>
      <w:marTop w:val="0"/>
      <w:marBottom w:val="0"/>
      <w:divBdr>
        <w:top w:val="none" w:sz="0" w:space="0" w:color="auto"/>
        <w:left w:val="none" w:sz="0" w:space="0" w:color="auto"/>
        <w:bottom w:val="none" w:sz="0" w:space="0" w:color="auto"/>
        <w:right w:val="none" w:sz="0" w:space="0" w:color="auto"/>
      </w:divBdr>
      <w:divsChild>
        <w:div w:id="1120879709">
          <w:marLeft w:val="0"/>
          <w:marRight w:val="0"/>
          <w:marTop w:val="600"/>
          <w:marBottom w:val="0"/>
          <w:divBdr>
            <w:top w:val="none" w:sz="0" w:space="0" w:color="auto"/>
            <w:left w:val="none" w:sz="0" w:space="0" w:color="auto"/>
            <w:bottom w:val="none" w:sz="0" w:space="0" w:color="auto"/>
            <w:right w:val="none" w:sz="0" w:space="0" w:color="auto"/>
          </w:divBdr>
        </w:div>
        <w:div w:id="1349024270">
          <w:marLeft w:val="0"/>
          <w:marRight w:val="0"/>
          <w:marTop w:val="0"/>
          <w:marBottom w:val="0"/>
          <w:divBdr>
            <w:top w:val="none" w:sz="0" w:space="0" w:color="auto"/>
            <w:left w:val="none" w:sz="0" w:space="0" w:color="auto"/>
            <w:bottom w:val="none" w:sz="0" w:space="0" w:color="auto"/>
            <w:right w:val="none" w:sz="0" w:space="0" w:color="auto"/>
          </w:divBdr>
        </w:div>
        <w:div w:id="271206107">
          <w:marLeft w:val="0"/>
          <w:marRight w:val="0"/>
          <w:marTop w:val="0"/>
          <w:marBottom w:val="600"/>
          <w:divBdr>
            <w:top w:val="none" w:sz="0" w:space="0" w:color="auto"/>
            <w:left w:val="none" w:sz="0" w:space="0" w:color="auto"/>
            <w:bottom w:val="none" w:sz="0" w:space="0" w:color="auto"/>
            <w:right w:val="none" w:sz="0" w:space="0" w:color="auto"/>
          </w:divBdr>
        </w:div>
      </w:divsChild>
    </w:div>
    <w:div w:id="1362363631">
      <w:marLeft w:val="0"/>
      <w:marRight w:val="0"/>
      <w:marTop w:val="0"/>
      <w:marBottom w:val="0"/>
      <w:divBdr>
        <w:top w:val="none" w:sz="0" w:space="0" w:color="auto"/>
        <w:left w:val="none" w:sz="0" w:space="0" w:color="auto"/>
        <w:bottom w:val="none" w:sz="0" w:space="0" w:color="auto"/>
        <w:right w:val="none" w:sz="0" w:space="0" w:color="auto"/>
      </w:divBdr>
      <w:divsChild>
        <w:div w:id="1811745635">
          <w:marLeft w:val="0"/>
          <w:marRight w:val="0"/>
          <w:marTop w:val="288"/>
          <w:marBottom w:val="0"/>
          <w:divBdr>
            <w:top w:val="none" w:sz="0" w:space="0" w:color="auto"/>
            <w:left w:val="none" w:sz="0" w:space="0" w:color="auto"/>
            <w:bottom w:val="none" w:sz="0" w:space="0" w:color="auto"/>
            <w:right w:val="none" w:sz="0" w:space="0" w:color="auto"/>
          </w:divBdr>
        </w:div>
        <w:div w:id="1719891144">
          <w:marLeft w:val="0"/>
          <w:marRight w:val="0"/>
          <w:marTop w:val="0"/>
          <w:marBottom w:val="0"/>
          <w:divBdr>
            <w:top w:val="none" w:sz="0" w:space="0" w:color="auto"/>
            <w:left w:val="none" w:sz="0" w:space="0" w:color="auto"/>
            <w:bottom w:val="none" w:sz="0" w:space="0" w:color="auto"/>
            <w:right w:val="none" w:sz="0" w:space="0" w:color="auto"/>
          </w:divBdr>
        </w:div>
      </w:divsChild>
    </w:div>
    <w:div w:id="1367174263">
      <w:marLeft w:val="0"/>
      <w:marRight w:val="0"/>
      <w:marTop w:val="0"/>
      <w:marBottom w:val="0"/>
      <w:divBdr>
        <w:top w:val="none" w:sz="0" w:space="0" w:color="auto"/>
        <w:left w:val="none" w:sz="0" w:space="0" w:color="auto"/>
        <w:bottom w:val="none" w:sz="0" w:space="0" w:color="auto"/>
        <w:right w:val="none" w:sz="0" w:space="0" w:color="auto"/>
      </w:divBdr>
      <w:divsChild>
        <w:div w:id="706562072">
          <w:marLeft w:val="0"/>
          <w:marRight w:val="0"/>
          <w:marTop w:val="600"/>
          <w:marBottom w:val="0"/>
          <w:divBdr>
            <w:top w:val="none" w:sz="0" w:space="0" w:color="auto"/>
            <w:left w:val="none" w:sz="0" w:space="0" w:color="auto"/>
            <w:bottom w:val="none" w:sz="0" w:space="0" w:color="auto"/>
            <w:right w:val="none" w:sz="0" w:space="0" w:color="auto"/>
          </w:divBdr>
        </w:div>
        <w:div w:id="1564100167">
          <w:marLeft w:val="0"/>
          <w:marRight w:val="0"/>
          <w:marTop w:val="0"/>
          <w:marBottom w:val="0"/>
          <w:divBdr>
            <w:top w:val="none" w:sz="0" w:space="0" w:color="auto"/>
            <w:left w:val="none" w:sz="0" w:space="0" w:color="auto"/>
            <w:bottom w:val="none" w:sz="0" w:space="0" w:color="auto"/>
            <w:right w:val="none" w:sz="0" w:space="0" w:color="auto"/>
          </w:divBdr>
        </w:div>
        <w:div w:id="578633714">
          <w:marLeft w:val="0"/>
          <w:marRight w:val="0"/>
          <w:marTop w:val="0"/>
          <w:marBottom w:val="600"/>
          <w:divBdr>
            <w:top w:val="none" w:sz="0" w:space="0" w:color="auto"/>
            <w:left w:val="none" w:sz="0" w:space="0" w:color="auto"/>
            <w:bottom w:val="none" w:sz="0" w:space="0" w:color="auto"/>
            <w:right w:val="none" w:sz="0" w:space="0" w:color="auto"/>
          </w:divBdr>
        </w:div>
      </w:divsChild>
    </w:div>
    <w:div w:id="1383214324">
      <w:marLeft w:val="0"/>
      <w:marRight w:val="0"/>
      <w:marTop w:val="0"/>
      <w:marBottom w:val="0"/>
      <w:divBdr>
        <w:top w:val="none" w:sz="0" w:space="0" w:color="auto"/>
        <w:left w:val="none" w:sz="0" w:space="0" w:color="auto"/>
        <w:bottom w:val="none" w:sz="0" w:space="0" w:color="auto"/>
        <w:right w:val="none" w:sz="0" w:space="0" w:color="auto"/>
      </w:divBdr>
      <w:divsChild>
        <w:div w:id="469709500">
          <w:marLeft w:val="0"/>
          <w:marRight w:val="0"/>
          <w:marTop w:val="600"/>
          <w:marBottom w:val="0"/>
          <w:divBdr>
            <w:top w:val="none" w:sz="0" w:space="0" w:color="auto"/>
            <w:left w:val="none" w:sz="0" w:space="0" w:color="auto"/>
            <w:bottom w:val="none" w:sz="0" w:space="0" w:color="auto"/>
            <w:right w:val="none" w:sz="0" w:space="0" w:color="auto"/>
          </w:divBdr>
        </w:div>
        <w:div w:id="1450779532">
          <w:marLeft w:val="0"/>
          <w:marRight w:val="0"/>
          <w:marTop w:val="0"/>
          <w:marBottom w:val="0"/>
          <w:divBdr>
            <w:top w:val="none" w:sz="0" w:space="0" w:color="auto"/>
            <w:left w:val="none" w:sz="0" w:space="0" w:color="auto"/>
            <w:bottom w:val="none" w:sz="0" w:space="0" w:color="auto"/>
            <w:right w:val="none" w:sz="0" w:space="0" w:color="auto"/>
          </w:divBdr>
          <w:divsChild>
            <w:div w:id="1616594721">
              <w:marLeft w:val="0"/>
              <w:marRight w:val="0"/>
              <w:marTop w:val="0"/>
              <w:marBottom w:val="0"/>
              <w:divBdr>
                <w:top w:val="none" w:sz="0" w:space="0" w:color="auto"/>
                <w:left w:val="none" w:sz="0" w:space="0" w:color="auto"/>
                <w:bottom w:val="none" w:sz="0" w:space="0" w:color="auto"/>
                <w:right w:val="none" w:sz="0" w:space="0" w:color="auto"/>
              </w:divBdr>
              <w:divsChild>
                <w:div w:id="1908761136">
                  <w:marLeft w:val="0"/>
                  <w:marRight w:val="0"/>
                  <w:marTop w:val="0"/>
                  <w:marBottom w:val="0"/>
                  <w:divBdr>
                    <w:top w:val="none" w:sz="0" w:space="0" w:color="auto"/>
                    <w:left w:val="none" w:sz="0" w:space="0" w:color="auto"/>
                    <w:bottom w:val="none" w:sz="0" w:space="0" w:color="auto"/>
                    <w:right w:val="none" w:sz="0" w:space="0" w:color="auto"/>
                  </w:divBdr>
                </w:div>
              </w:divsChild>
            </w:div>
            <w:div w:id="783496426">
              <w:marLeft w:val="0"/>
              <w:marRight w:val="0"/>
              <w:marTop w:val="0"/>
              <w:marBottom w:val="0"/>
              <w:divBdr>
                <w:top w:val="none" w:sz="0" w:space="0" w:color="auto"/>
                <w:left w:val="none" w:sz="0" w:space="0" w:color="auto"/>
                <w:bottom w:val="none" w:sz="0" w:space="0" w:color="auto"/>
                <w:right w:val="none" w:sz="0" w:space="0" w:color="auto"/>
              </w:divBdr>
              <w:divsChild>
                <w:div w:id="1528518980">
                  <w:marLeft w:val="0"/>
                  <w:marRight w:val="0"/>
                  <w:marTop w:val="0"/>
                  <w:marBottom w:val="0"/>
                  <w:divBdr>
                    <w:top w:val="none" w:sz="0" w:space="0" w:color="auto"/>
                    <w:left w:val="none" w:sz="0" w:space="0" w:color="auto"/>
                    <w:bottom w:val="none" w:sz="0" w:space="0" w:color="auto"/>
                    <w:right w:val="none" w:sz="0" w:space="0" w:color="auto"/>
                  </w:divBdr>
                </w:div>
              </w:divsChild>
            </w:div>
            <w:div w:id="786777297">
              <w:marLeft w:val="0"/>
              <w:marRight w:val="0"/>
              <w:marTop w:val="0"/>
              <w:marBottom w:val="0"/>
              <w:divBdr>
                <w:top w:val="none" w:sz="0" w:space="0" w:color="auto"/>
                <w:left w:val="none" w:sz="0" w:space="0" w:color="auto"/>
                <w:bottom w:val="none" w:sz="0" w:space="0" w:color="auto"/>
                <w:right w:val="none" w:sz="0" w:space="0" w:color="auto"/>
              </w:divBdr>
              <w:divsChild>
                <w:div w:id="302934181">
                  <w:marLeft w:val="0"/>
                  <w:marRight w:val="0"/>
                  <w:marTop w:val="0"/>
                  <w:marBottom w:val="0"/>
                  <w:divBdr>
                    <w:top w:val="none" w:sz="0" w:space="0" w:color="auto"/>
                    <w:left w:val="none" w:sz="0" w:space="0" w:color="auto"/>
                    <w:bottom w:val="none" w:sz="0" w:space="0" w:color="auto"/>
                    <w:right w:val="none" w:sz="0" w:space="0" w:color="auto"/>
                  </w:divBdr>
                </w:div>
              </w:divsChild>
            </w:div>
            <w:div w:id="1295528035">
              <w:marLeft w:val="0"/>
              <w:marRight w:val="0"/>
              <w:marTop w:val="0"/>
              <w:marBottom w:val="0"/>
              <w:divBdr>
                <w:top w:val="none" w:sz="0" w:space="0" w:color="auto"/>
                <w:left w:val="none" w:sz="0" w:space="0" w:color="auto"/>
                <w:bottom w:val="none" w:sz="0" w:space="0" w:color="auto"/>
                <w:right w:val="none" w:sz="0" w:space="0" w:color="auto"/>
              </w:divBdr>
              <w:divsChild>
                <w:div w:id="759713162">
                  <w:marLeft w:val="0"/>
                  <w:marRight w:val="0"/>
                  <w:marTop w:val="0"/>
                  <w:marBottom w:val="0"/>
                  <w:divBdr>
                    <w:top w:val="none" w:sz="0" w:space="0" w:color="auto"/>
                    <w:left w:val="none" w:sz="0" w:space="0" w:color="auto"/>
                    <w:bottom w:val="none" w:sz="0" w:space="0" w:color="auto"/>
                    <w:right w:val="none" w:sz="0" w:space="0" w:color="auto"/>
                  </w:divBdr>
                </w:div>
              </w:divsChild>
            </w:div>
            <w:div w:id="124088398">
              <w:marLeft w:val="0"/>
              <w:marRight w:val="0"/>
              <w:marTop w:val="0"/>
              <w:marBottom w:val="0"/>
              <w:divBdr>
                <w:top w:val="none" w:sz="0" w:space="0" w:color="auto"/>
                <w:left w:val="none" w:sz="0" w:space="0" w:color="auto"/>
                <w:bottom w:val="none" w:sz="0" w:space="0" w:color="auto"/>
                <w:right w:val="none" w:sz="0" w:space="0" w:color="auto"/>
              </w:divBdr>
              <w:divsChild>
                <w:div w:id="1728607340">
                  <w:marLeft w:val="0"/>
                  <w:marRight w:val="0"/>
                  <w:marTop w:val="0"/>
                  <w:marBottom w:val="0"/>
                  <w:divBdr>
                    <w:top w:val="none" w:sz="0" w:space="0" w:color="auto"/>
                    <w:left w:val="none" w:sz="0" w:space="0" w:color="auto"/>
                    <w:bottom w:val="none" w:sz="0" w:space="0" w:color="auto"/>
                    <w:right w:val="none" w:sz="0" w:space="0" w:color="auto"/>
                  </w:divBdr>
                </w:div>
              </w:divsChild>
            </w:div>
            <w:div w:id="1168666773">
              <w:marLeft w:val="0"/>
              <w:marRight w:val="0"/>
              <w:marTop w:val="0"/>
              <w:marBottom w:val="0"/>
              <w:divBdr>
                <w:top w:val="none" w:sz="0" w:space="0" w:color="auto"/>
                <w:left w:val="none" w:sz="0" w:space="0" w:color="auto"/>
                <w:bottom w:val="none" w:sz="0" w:space="0" w:color="auto"/>
                <w:right w:val="none" w:sz="0" w:space="0" w:color="auto"/>
              </w:divBdr>
              <w:divsChild>
                <w:div w:id="331417232">
                  <w:marLeft w:val="0"/>
                  <w:marRight w:val="0"/>
                  <w:marTop w:val="0"/>
                  <w:marBottom w:val="0"/>
                  <w:divBdr>
                    <w:top w:val="none" w:sz="0" w:space="0" w:color="auto"/>
                    <w:left w:val="none" w:sz="0" w:space="0" w:color="auto"/>
                    <w:bottom w:val="none" w:sz="0" w:space="0" w:color="auto"/>
                    <w:right w:val="none" w:sz="0" w:space="0" w:color="auto"/>
                  </w:divBdr>
                </w:div>
              </w:divsChild>
            </w:div>
            <w:div w:id="907885666">
              <w:marLeft w:val="0"/>
              <w:marRight w:val="0"/>
              <w:marTop w:val="0"/>
              <w:marBottom w:val="0"/>
              <w:divBdr>
                <w:top w:val="none" w:sz="0" w:space="0" w:color="auto"/>
                <w:left w:val="none" w:sz="0" w:space="0" w:color="auto"/>
                <w:bottom w:val="none" w:sz="0" w:space="0" w:color="auto"/>
                <w:right w:val="none" w:sz="0" w:space="0" w:color="auto"/>
              </w:divBdr>
              <w:divsChild>
                <w:div w:id="1747149192">
                  <w:marLeft w:val="0"/>
                  <w:marRight w:val="0"/>
                  <w:marTop w:val="0"/>
                  <w:marBottom w:val="0"/>
                  <w:divBdr>
                    <w:top w:val="none" w:sz="0" w:space="0" w:color="auto"/>
                    <w:left w:val="none" w:sz="0" w:space="0" w:color="auto"/>
                    <w:bottom w:val="none" w:sz="0" w:space="0" w:color="auto"/>
                    <w:right w:val="none" w:sz="0" w:space="0" w:color="auto"/>
                  </w:divBdr>
                </w:div>
              </w:divsChild>
            </w:div>
            <w:div w:id="2067953572">
              <w:marLeft w:val="0"/>
              <w:marRight w:val="0"/>
              <w:marTop w:val="0"/>
              <w:marBottom w:val="0"/>
              <w:divBdr>
                <w:top w:val="none" w:sz="0" w:space="0" w:color="auto"/>
                <w:left w:val="none" w:sz="0" w:space="0" w:color="auto"/>
                <w:bottom w:val="none" w:sz="0" w:space="0" w:color="auto"/>
                <w:right w:val="none" w:sz="0" w:space="0" w:color="auto"/>
              </w:divBdr>
              <w:divsChild>
                <w:div w:id="550188599">
                  <w:marLeft w:val="0"/>
                  <w:marRight w:val="0"/>
                  <w:marTop w:val="0"/>
                  <w:marBottom w:val="0"/>
                  <w:divBdr>
                    <w:top w:val="none" w:sz="0" w:space="0" w:color="auto"/>
                    <w:left w:val="none" w:sz="0" w:space="0" w:color="auto"/>
                    <w:bottom w:val="none" w:sz="0" w:space="0" w:color="auto"/>
                    <w:right w:val="none" w:sz="0" w:space="0" w:color="auto"/>
                  </w:divBdr>
                </w:div>
              </w:divsChild>
            </w:div>
            <w:div w:id="1018308908">
              <w:marLeft w:val="0"/>
              <w:marRight w:val="0"/>
              <w:marTop w:val="0"/>
              <w:marBottom w:val="0"/>
              <w:divBdr>
                <w:top w:val="none" w:sz="0" w:space="0" w:color="auto"/>
                <w:left w:val="none" w:sz="0" w:space="0" w:color="auto"/>
                <w:bottom w:val="none" w:sz="0" w:space="0" w:color="auto"/>
                <w:right w:val="none" w:sz="0" w:space="0" w:color="auto"/>
              </w:divBdr>
              <w:divsChild>
                <w:div w:id="2028867356">
                  <w:marLeft w:val="0"/>
                  <w:marRight w:val="0"/>
                  <w:marTop w:val="0"/>
                  <w:marBottom w:val="0"/>
                  <w:divBdr>
                    <w:top w:val="none" w:sz="0" w:space="0" w:color="auto"/>
                    <w:left w:val="none" w:sz="0" w:space="0" w:color="auto"/>
                    <w:bottom w:val="none" w:sz="0" w:space="0" w:color="auto"/>
                    <w:right w:val="none" w:sz="0" w:space="0" w:color="auto"/>
                  </w:divBdr>
                </w:div>
              </w:divsChild>
            </w:div>
            <w:div w:id="1924291249">
              <w:marLeft w:val="0"/>
              <w:marRight w:val="0"/>
              <w:marTop w:val="0"/>
              <w:marBottom w:val="0"/>
              <w:divBdr>
                <w:top w:val="none" w:sz="0" w:space="0" w:color="auto"/>
                <w:left w:val="none" w:sz="0" w:space="0" w:color="auto"/>
                <w:bottom w:val="none" w:sz="0" w:space="0" w:color="auto"/>
                <w:right w:val="none" w:sz="0" w:space="0" w:color="auto"/>
              </w:divBdr>
              <w:divsChild>
                <w:div w:id="62992807">
                  <w:marLeft w:val="0"/>
                  <w:marRight w:val="0"/>
                  <w:marTop w:val="0"/>
                  <w:marBottom w:val="0"/>
                  <w:divBdr>
                    <w:top w:val="none" w:sz="0" w:space="0" w:color="auto"/>
                    <w:left w:val="none" w:sz="0" w:space="0" w:color="auto"/>
                    <w:bottom w:val="none" w:sz="0" w:space="0" w:color="auto"/>
                    <w:right w:val="none" w:sz="0" w:space="0" w:color="auto"/>
                  </w:divBdr>
                </w:div>
              </w:divsChild>
            </w:div>
            <w:div w:id="106316268">
              <w:marLeft w:val="0"/>
              <w:marRight w:val="0"/>
              <w:marTop w:val="0"/>
              <w:marBottom w:val="0"/>
              <w:divBdr>
                <w:top w:val="none" w:sz="0" w:space="0" w:color="auto"/>
                <w:left w:val="none" w:sz="0" w:space="0" w:color="auto"/>
                <w:bottom w:val="none" w:sz="0" w:space="0" w:color="auto"/>
                <w:right w:val="none" w:sz="0" w:space="0" w:color="auto"/>
              </w:divBdr>
              <w:divsChild>
                <w:div w:id="1691836693">
                  <w:marLeft w:val="0"/>
                  <w:marRight w:val="0"/>
                  <w:marTop w:val="0"/>
                  <w:marBottom w:val="0"/>
                  <w:divBdr>
                    <w:top w:val="none" w:sz="0" w:space="0" w:color="auto"/>
                    <w:left w:val="none" w:sz="0" w:space="0" w:color="auto"/>
                    <w:bottom w:val="none" w:sz="0" w:space="0" w:color="auto"/>
                    <w:right w:val="none" w:sz="0" w:space="0" w:color="auto"/>
                  </w:divBdr>
                </w:div>
              </w:divsChild>
            </w:div>
            <w:div w:id="1124040045">
              <w:marLeft w:val="0"/>
              <w:marRight w:val="0"/>
              <w:marTop w:val="0"/>
              <w:marBottom w:val="0"/>
              <w:divBdr>
                <w:top w:val="none" w:sz="0" w:space="0" w:color="auto"/>
                <w:left w:val="none" w:sz="0" w:space="0" w:color="auto"/>
                <w:bottom w:val="none" w:sz="0" w:space="0" w:color="auto"/>
                <w:right w:val="none" w:sz="0" w:space="0" w:color="auto"/>
              </w:divBdr>
              <w:divsChild>
                <w:div w:id="419640979">
                  <w:marLeft w:val="0"/>
                  <w:marRight w:val="0"/>
                  <w:marTop w:val="0"/>
                  <w:marBottom w:val="0"/>
                  <w:divBdr>
                    <w:top w:val="none" w:sz="0" w:space="0" w:color="auto"/>
                    <w:left w:val="none" w:sz="0" w:space="0" w:color="auto"/>
                    <w:bottom w:val="none" w:sz="0" w:space="0" w:color="auto"/>
                    <w:right w:val="none" w:sz="0" w:space="0" w:color="auto"/>
                  </w:divBdr>
                </w:div>
              </w:divsChild>
            </w:div>
            <w:div w:id="600069408">
              <w:marLeft w:val="0"/>
              <w:marRight w:val="0"/>
              <w:marTop w:val="0"/>
              <w:marBottom w:val="0"/>
              <w:divBdr>
                <w:top w:val="none" w:sz="0" w:space="0" w:color="auto"/>
                <w:left w:val="none" w:sz="0" w:space="0" w:color="auto"/>
                <w:bottom w:val="none" w:sz="0" w:space="0" w:color="auto"/>
                <w:right w:val="none" w:sz="0" w:space="0" w:color="auto"/>
              </w:divBdr>
              <w:divsChild>
                <w:div w:id="1827160723">
                  <w:marLeft w:val="0"/>
                  <w:marRight w:val="0"/>
                  <w:marTop w:val="0"/>
                  <w:marBottom w:val="0"/>
                  <w:divBdr>
                    <w:top w:val="none" w:sz="0" w:space="0" w:color="auto"/>
                    <w:left w:val="none" w:sz="0" w:space="0" w:color="auto"/>
                    <w:bottom w:val="none" w:sz="0" w:space="0" w:color="auto"/>
                    <w:right w:val="none" w:sz="0" w:space="0" w:color="auto"/>
                  </w:divBdr>
                </w:div>
              </w:divsChild>
            </w:div>
            <w:div w:id="237903304">
              <w:marLeft w:val="0"/>
              <w:marRight w:val="0"/>
              <w:marTop w:val="0"/>
              <w:marBottom w:val="0"/>
              <w:divBdr>
                <w:top w:val="none" w:sz="0" w:space="0" w:color="auto"/>
                <w:left w:val="none" w:sz="0" w:space="0" w:color="auto"/>
                <w:bottom w:val="none" w:sz="0" w:space="0" w:color="auto"/>
                <w:right w:val="none" w:sz="0" w:space="0" w:color="auto"/>
              </w:divBdr>
              <w:divsChild>
                <w:div w:id="1482888687">
                  <w:marLeft w:val="0"/>
                  <w:marRight w:val="0"/>
                  <w:marTop w:val="0"/>
                  <w:marBottom w:val="0"/>
                  <w:divBdr>
                    <w:top w:val="none" w:sz="0" w:space="0" w:color="auto"/>
                    <w:left w:val="none" w:sz="0" w:space="0" w:color="auto"/>
                    <w:bottom w:val="none" w:sz="0" w:space="0" w:color="auto"/>
                    <w:right w:val="none" w:sz="0" w:space="0" w:color="auto"/>
                  </w:divBdr>
                </w:div>
              </w:divsChild>
            </w:div>
            <w:div w:id="1748720694">
              <w:marLeft w:val="0"/>
              <w:marRight w:val="0"/>
              <w:marTop w:val="0"/>
              <w:marBottom w:val="0"/>
              <w:divBdr>
                <w:top w:val="none" w:sz="0" w:space="0" w:color="auto"/>
                <w:left w:val="none" w:sz="0" w:space="0" w:color="auto"/>
                <w:bottom w:val="none" w:sz="0" w:space="0" w:color="auto"/>
                <w:right w:val="none" w:sz="0" w:space="0" w:color="auto"/>
              </w:divBdr>
              <w:divsChild>
                <w:div w:id="333411192">
                  <w:marLeft w:val="0"/>
                  <w:marRight w:val="0"/>
                  <w:marTop w:val="0"/>
                  <w:marBottom w:val="0"/>
                  <w:divBdr>
                    <w:top w:val="none" w:sz="0" w:space="0" w:color="auto"/>
                    <w:left w:val="none" w:sz="0" w:space="0" w:color="auto"/>
                    <w:bottom w:val="none" w:sz="0" w:space="0" w:color="auto"/>
                    <w:right w:val="none" w:sz="0" w:space="0" w:color="auto"/>
                  </w:divBdr>
                </w:div>
              </w:divsChild>
            </w:div>
            <w:div w:id="2127461439">
              <w:marLeft w:val="0"/>
              <w:marRight w:val="0"/>
              <w:marTop w:val="0"/>
              <w:marBottom w:val="0"/>
              <w:divBdr>
                <w:top w:val="none" w:sz="0" w:space="0" w:color="auto"/>
                <w:left w:val="none" w:sz="0" w:space="0" w:color="auto"/>
                <w:bottom w:val="none" w:sz="0" w:space="0" w:color="auto"/>
                <w:right w:val="none" w:sz="0" w:space="0" w:color="auto"/>
              </w:divBdr>
              <w:divsChild>
                <w:div w:id="610018093">
                  <w:marLeft w:val="0"/>
                  <w:marRight w:val="0"/>
                  <w:marTop w:val="0"/>
                  <w:marBottom w:val="0"/>
                  <w:divBdr>
                    <w:top w:val="none" w:sz="0" w:space="0" w:color="auto"/>
                    <w:left w:val="none" w:sz="0" w:space="0" w:color="auto"/>
                    <w:bottom w:val="none" w:sz="0" w:space="0" w:color="auto"/>
                    <w:right w:val="none" w:sz="0" w:space="0" w:color="auto"/>
                  </w:divBdr>
                </w:div>
              </w:divsChild>
            </w:div>
            <w:div w:id="857279359">
              <w:marLeft w:val="0"/>
              <w:marRight w:val="0"/>
              <w:marTop w:val="0"/>
              <w:marBottom w:val="0"/>
              <w:divBdr>
                <w:top w:val="none" w:sz="0" w:space="0" w:color="auto"/>
                <w:left w:val="none" w:sz="0" w:space="0" w:color="auto"/>
                <w:bottom w:val="none" w:sz="0" w:space="0" w:color="auto"/>
                <w:right w:val="none" w:sz="0" w:space="0" w:color="auto"/>
              </w:divBdr>
              <w:divsChild>
                <w:div w:id="1755515249">
                  <w:marLeft w:val="0"/>
                  <w:marRight w:val="0"/>
                  <w:marTop w:val="0"/>
                  <w:marBottom w:val="0"/>
                  <w:divBdr>
                    <w:top w:val="none" w:sz="0" w:space="0" w:color="auto"/>
                    <w:left w:val="none" w:sz="0" w:space="0" w:color="auto"/>
                    <w:bottom w:val="none" w:sz="0" w:space="0" w:color="auto"/>
                    <w:right w:val="none" w:sz="0" w:space="0" w:color="auto"/>
                  </w:divBdr>
                </w:div>
              </w:divsChild>
            </w:div>
            <w:div w:id="304744485">
              <w:marLeft w:val="0"/>
              <w:marRight w:val="0"/>
              <w:marTop w:val="0"/>
              <w:marBottom w:val="0"/>
              <w:divBdr>
                <w:top w:val="none" w:sz="0" w:space="0" w:color="auto"/>
                <w:left w:val="none" w:sz="0" w:space="0" w:color="auto"/>
                <w:bottom w:val="none" w:sz="0" w:space="0" w:color="auto"/>
                <w:right w:val="none" w:sz="0" w:space="0" w:color="auto"/>
              </w:divBdr>
              <w:divsChild>
                <w:div w:id="5593972">
                  <w:marLeft w:val="0"/>
                  <w:marRight w:val="0"/>
                  <w:marTop w:val="0"/>
                  <w:marBottom w:val="0"/>
                  <w:divBdr>
                    <w:top w:val="none" w:sz="0" w:space="0" w:color="auto"/>
                    <w:left w:val="none" w:sz="0" w:space="0" w:color="auto"/>
                    <w:bottom w:val="none" w:sz="0" w:space="0" w:color="auto"/>
                    <w:right w:val="none" w:sz="0" w:space="0" w:color="auto"/>
                  </w:divBdr>
                </w:div>
              </w:divsChild>
            </w:div>
            <w:div w:id="692608320">
              <w:marLeft w:val="0"/>
              <w:marRight w:val="0"/>
              <w:marTop w:val="0"/>
              <w:marBottom w:val="0"/>
              <w:divBdr>
                <w:top w:val="none" w:sz="0" w:space="0" w:color="auto"/>
                <w:left w:val="none" w:sz="0" w:space="0" w:color="auto"/>
                <w:bottom w:val="none" w:sz="0" w:space="0" w:color="auto"/>
                <w:right w:val="none" w:sz="0" w:space="0" w:color="auto"/>
              </w:divBdr>
              <w:divsChild>
                <w:div w:id="114299823">
                  <w:marLeft w:val="0"/>
                  <w:marRight w:val="0"/>
                  <w:marTop w:val="0"/>
                  <w:marBottom w:val="0"/>
                  <w:divBdr>
                    <w:top w:val="none" w:sz="0" w:space="0" w:color="auto"/>
                    <w:left w:val="none" w:sz="0" w:space="0" w:color="auto"/>
                    <w:bottom w:val="none" w:sz="0" w:space="0" w:color="auto"/>
                    <w:right w:val="none" w:sz="0" w:space="0" w:color="auto"/>
                  </w:divBdr>
                </w:div>
              </w:divsChild>
            </w:div>
            <w:div w:id="843284409">
              <w:marLeft w:val="0"/>
              <w:marRight w:val="0"/>
              <w:marTop w:val="0"/>
              <w:marBottom w:val="0"/>
              <w:divBdr>
                <w:top w:val="none" w:sz="0" w:space="0" w:color="auto"/>
                <w:left w:val="none" w:sz="0" w:space="0" w:color="auto"/>
                <w:bottom w:val="none" w:sz="0" w:space="0" w:color="auto"/>
                <w:right w:val="none" w:sz="0" w:space="0" w:color="auto"/>
              </w:divBdr>
              <w:divsChild>
                <w:div w:id="1927106323">
                  <w:marLeft w:val="0"/>
                  <w:marRight w:val="0"/>
                  <w:marTop w:val="0"/>
                  <w:marBottom w:val="0"/>
                  <w:divBdr>
                    <w:top w:val="none" w:sz="0" w:space="0" w:color="auto"/>
                    <w:left w:val="none" w:sz="0" w:space="0" w:color="auto"/>
                    <w:bottom w:val="none" w:sz="0" w:space="0" w:color="auto"/>
                    <w:right w:val="none" w:sz="0" w:space="0" w:color="auto"/>
                  </w:divBdr>
                </w:div>
              </w:divsChild>
            </w:div>
            <w:div w:id="955478989">
              <w:marLeft w:val="0"/>
              <w:marRight w:val="0"/>
              <w:marTop w:val="0"/>
              <w:marBottom w:val="0"/>
              <w:divBdr>
                <w:top w:val="none" w:sz="0" w:space="0" w:color="auto"/>
                <w:left w:val="none" w:sz="0" w:space="0" w:color="auto"/>
                <w:bottom w:val="none" w:sz="0" w:space="0" w:color="auto"/>
                <w:right w:val="none" w:sz="0" w:space="0" w:color="auto"/>
              </w:divBdr>
              <w:divsChild>
                <w:div w:id="292173536">
                  <w:marLeft w:val="0"/>
                  <w:marRight w:val="0"/>
                  <w:marTop w:val="0"/>
                  <w:marBottom w:val="0"/>
                  <w:divBdr>
                    <w:top w:val="none" w:sz="0" w:space="0" w:color="auto"/>
                    <w:left w:val="none" w:sz="0" w:space="0" w:color="auto"/>
                    <w:bottom w:val="none" w:sz="0" w:space="0" w:color="auto"/>
                    <w:right w:val="none" w:sz="0" w:space="0" w:color="auto"/>
                  </w:divBdr>
                </w:div>
              </w:divsChild>
            </w:div>
            <w:div w:id="782112125">
              <w:marLeft w:val="0"/>
              <w:marRight w:val="0"/>
              <w:marTop w:val="0"/>
              <w:marBottom w:val="0"/>
              <w:divBdr>
                <w:top w:val="none" w:sz="0" w:space="0" w:color="auto"/>
                <w:left w:val="none" w:sz="0" w:space="0" w:color="auto"/>
                <w:bottom w:val="none" w:sz="0" w:space="0" w:color="auto"/>
                <w:right w:val="none" w:sz="0" w:space="0" w:color="auto"/>
              </w:divBdr>
              <w:divsChild>
                <w:div w:id="818112707">
                  <w:marLeft w:val="0"/>
                  <w:marRight w:val="0"/>
                  <w:marTop w:val="0"/>
                  <w:marBottom w:val="0"/>
                  <w:divBdr>
                    <w:top w:val="none" w:sz="0" w:space="0" w:color="auto"/>
                    <w:left w:val="none" w:sz="0" w:space="0" w:color="auto"/>
                    <w:bottom w:val="none" w:sz="0" w:space="0" w:color="auto"/>
                    <w:right w:val="none" w:sz="0" w:space="0" w:color="auto"/>
                  </w:divBdr>
                </w:div>
              </w:divsChild>
            </w:div>
            <w:div w:id="1116943217">
              <w:marLeft w:val="0"/>
              <w:marRight w:val="0"/>
              <w:marTop w:val="0"/>
              <w:marBottom w:val="0"/>
              <w:divBdr>
                <w:top w:val="none" w:sz="0" w:space="0" w:color="auto"/>
                <w:left w:val="none" w:sz="0" w:space="0" w:color="auto"/>
                <w:bottom w:val="none" w:sz="0" w:space="0" w:color="auto"/>
                <w:right w:val="none" w:sz="0" w:space="0" w:color="auto"/>
              </w:divBdr>
              <w:divsChild>
                <w:div w:id="1540702951">
                  <w:marLeft w:val="0"/>
                  <w:marRight w:val="0"/>
                  <w:marTop w:val="0"/>
                  <w:marBottom w:val="0"/>
                  <w:divBdr>
                    <w:top w:val="none" w:sz="0" w:space="0" w:color="auto"/>
                    <w:left w:val="none" w:sz="0" w:space="0" w:color="auto"/>
                    <w:bottom w:val="none" w:sz="0" w:space="0" w:color="auto"/>
                    <w:right w:val="none" w:sz="0" w:space="0" w:color="auto"/>
                  </w:divBdr>
                </w:div>
              </w:divsChild>
            </w:div>
            <w:div w:id="458374201">
              <w:marLeft w:val="0"/>
              <w:marRight w:val="0"/>
              <w:marTop w:val="0"/>
              <w:marBottom w:val="0"/>
              <w:divBdr>
                <w:top w:val="none" w:sz="0" w:space="0" w:color="auto"/>
                <w:left w:val="none" w:sz="0" w:space="0" w:color="auto"/>
                <w:bottom w:val="none" w:sz="0" w:space="0" w:color="auto"/>
                <w:right w:val="none" w:sz="0" w:space="0" w:color="auto"/>
              </w:divBdr>
              <w:divsChild>
                <w:div w:id="191916013">
                  <w:marLeft w:val="0"/>
                  <w:marRight w:val="0"/>
                  <w:marTop w:val="0"/>
                  <w:marBottom w:val="0"/>
                  <w:divBdr>
                    <w:top w:val="none" w:sz="0" w:space="0" w:color="auto"/>
                    <w:left w:val="none" w:sz="0" w:space="0" w:color="auto"/>
                    <w:bottom w:val="none" w:sz="0" w:space="0" w:color="auto"/>
                    <w:right w:val="none" w:sz="0" w:space="0" w:color="auto"/>
                  </w:divBdr>
                </w:div>
              </w:divsChild>
            </w:div>
            <w:div w:id="1148789483">
              <w:marLeft w:val="0"/>
              <w:marRight w:val="0"/>
              <w:marTop w:val="0"/>
              <w:marBottom w:val="0"/>
              <w:divBdr>
                <w:top w:val="none" w:sz="0" w:space="0" w:color="auto"/>
                <w:left w:val="none" w:sz="0" w:space="0" w:color="auto"/>
                <w:bottom w:val="none" w:sz="0" w:space="0" w:color="auto"/>
                <w:right w:val="none" w:sz="0" w:space="0" w:color="auto"/>
              </w:divBdr>
              <w:divsChild>
                <w:div w:id="1834680408">
                  <w:marLeft w:val="0"/>
                  <w:marRight w:val="0"/>
                  <w:marTop w:val="0"/>
                  <w:marBottom w:val="0"/>
                  <w:divBdr>
                    <w:top w:val="none" w:sz="0" w:space="0" w:color="auto"/>
                    <w:left w:val="none" w:sz="0" w:space="0" w:color="auto"/>
                    <w:bottom w:val="none" w:sz="0" w:space="0" w:color="auto"/>
                    <w:right w:val="none" w:sz="0" w:space="0" w:color="auto"/>
                  </w:divBdr>
                </w:div>
              </w:divsChild>
            </w:div>
            <w:div w:id="1006370962">
              <w:marLeft w:val="0"/>
              <w:marRight w:val="0"/>
              <w:marTop w:val="0"/>
              <w:marBottom w:val="0"/>
              <w:divBdr>
                <w:top w:val="none" w:sz="0" w:space="0" w:color="auto"/>
                <w:left w:val="none" w:sz="0" w:space="0" w:color="auto"/>
                <w:bottom w:val="none" w:sz="0" w:space="0" w:color="auto"/>
                <w:right w:val="none" w:sz="0" w:space="0" w:color="auto"/>
              </w:divBdr>
              <w:divsChild>
                <w:div w:id="5107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4883">
          <w:marLeft w:val="0"/>
          <w:marRight w:val="0"/>
          <w:marTop w:val="0"/>
          <w:marBottom w:val="600"/>
          <w:divBdr>
            <w:top w:val="none" w:sz="0" w:space="0" w:color="auto"/>
            <w:left w:val="none" w:sz="0" w:space="0" w:color="auto"/>
            <w:bottom w:val="none" w:sz="0" w:space="0" w:color="auto"/>
            <w:right w:val="none" w:sz="0" w:space="0" w:color="auto"/>
          </w:divBdr>
        </w:div>
      </w:divsChild>
    </w:div>
    <w:div w:id="1397901797">
      <w:marLeft w:val="0"/>
      <w:marRight w:val="0"/>
      <w:marTop w:val="0"/>
      <w:marBottom w:val="0"/>
      <w:divBdr>
        <w:top w:val="none" w:sz="0" w:space="0" w:color="auto"/>
        <w:left w:val="none" w:sz="0" w:space="0" w:color="auto"/>
        <w:bottom w:val="none" w:sz="0" w:space="0" w:color="auto"/>
        <w:right w:val="none" w:sz="0" w:space="0" w:color="auto"/>
      </w:divBdr>
      <w:divsChild>
        <w:div w:id="957644211">
          <w:marLeft w:val="0"/>
          <w:marRight w:val="0"/>
          <w:marTop w:val="600"/>
          <w:marBottom w:val="0"/>
          <w:divBdr>
            <w:top w:val="none" w:sz="0" w:space="0" w:color="auto"/>
            <w:left w:val="none" w:sz="0" w:space="0" w:color="auto"/>
            <w:bottom w:val="none" w:sz="0" w:space="0" w:color="auto"/>
            <w:right w:val="none" w:sz="0" w:space="0" w:color="auto"/>
          </w:divBdr>
        </w:div>
        <w:div w:id="1854415113">
          <w:marLeft w:val="0"/>
          <w:marRight w:val="0"/>
          <w:marTop w:val="0"/>
          <w:marBottom w:val="0"/>
          <w:divBdr>
            <w:top w:val="none" w:sz="0" w:space="0" w:color="auto"/>
            <w:left w:val="none" w:sz="0" w:space="0" w:color="auto"/>
            <w:bottom w:val="none" w:sz="0" w:space="0" w:color="auto"/>
            <w:right w:val="none" w:sz="0" w:space="0" w:color="auto"/>
          </w:divBdr>
        </w:div>
        <w:div w:id="1831411022">
          <w:marLeft w:val="0"/>
          <w:marRight w:val="0"/>
          <w:marTop w:val="0"/>
          <w:marBottom w:val="600"/>
          <w:divBdr>
            <w:top w:val="none" w:sz="0" w:space="0" w:color="auto"/>
            <w:left w:val="none" w:sz="0" w:space="0" w:color="auto"/>
            <w:bottom w:val="none" w:sz="0" w:space="0" w:color="auto"/>
            <w:right w:val="none" w:sz="0" w:space="0" w:color="auto"/>
          </w:divBdr>
        </w:div>
      </w:divsChild>
    </w:div>
    <w:div w:id="1409115056">
      <w:marLeft w:val="0"/>
      <w:marRight w:val="0"/>
      <w:marTop w:val="0"/>
      <w:marBottom w:val="0"/>
      <w:divBdr>
        <w:top w:val="none" w:sz="0" w:space="0" w:color="auto"/>
        <w:left w:val="none" w:sz="0" w:space="0" w:color="auto"/>
        <w:bottom w:val="none" w:sz="0" w:space="0" w:color="auto"/>
        <w:right w:val="none" w:sz="0" w:space="0" w:color="auto"/>
      </w:divBdr>
      <w:divsChild>
        <w:div w:id="1911228298">
          <w:marLeft w:val="0"/>
          <w:marRight w:val="0"/>
          <w:marTop w:val="600"/>
          <w:marBottom w:val="0"/>
          <w:divBdr>
            <w:top w:val="none" w:sz="0" w:space="0" w:color="auto"/>
            <w:left w:val="none" w:sz="0" w:space="0" w:color="auto"/>
            <w:bottom w:val="none" w:sz="0" w:space="0" w:color="auto"/>
            <w:right w:val="none" w:sz="0" w:space="0" w:color="auto"/>
          </w:divBdr>
        </w:div>
        <w:div w:id="1387101048">
          <w:marLeft w:val="0"/>
          <w:marRight w:val="0"/>
          <w:marTop w:val="0"/>
          <w:marBottom w:val="0"/>
          <w:divBdr>
            <w:top w:val="none" w:sz="0" w:space="0" w:color="auto"/>
            <w:left w:val="none" w:sz="0" w:space="0" w:color="auto"/>
            <w:bottom w:val="none" w:sz="0" w:space="0" w:color="auto"/>
            <w:right w:val="none" w:sz="0" w:space="0" w:color="auto"/>
          </w:divBdr>
        </w:div>
        <w:div w:id="1475215872">
          <w:marLeft w:val="0"/>
          <w:marRight w:val="0"/>
          <w:marTop w:val="0"/>
          <w:marBottom w:val="600"/>
          <w:divBdr>
            <w:top w:val="none" w:sz="0" w:space="0" w:color="auto"/>
            <w:left w:val="none" w:sz="0" w:space="0" w:color="auto"/>
            <w:bottom w:val="none" w:sz="0" w:space="0" w:color="auto"/>
            <w:right w:val="none" w:sz="0" w:space="0" w:color="auto"/>
          </w:divBdr>
        </w:div>
      </w:divsChild>
    </w:div>
    <w:div w:id="1424571474">
      <w:marLeft w:val="0"/>
      <w:marRight w:val="0"/>
      <w:marTop w:val="0"/>
      <w:marBottom w:val="0"/>
      <w:divBdr>
        <w:top w:val="none" w:sz="0" w:space="0" w:color="auto"/>
        <w:left w:val="none" w:sz="0" w:space="0" w:color="auto"/>
        <w:bottom w:val="none" w:sz="0" w:space="0" w:color="auto"/>
        <w:right w:val="none" w:sz="0" w:space="0" w:color="auto"/>
      </w:divBdr>
      <w:divsChild>
        <w:div w:id="286400523">
          <w:marLeft w:val="0"/>
          <w:marRight w:val="0"/>
          <w:marTop w:val="600"/>
          <w:marBottom w:val="0"/>
          <w:divBdr>
            <w:top w:val="none" w:sz="0" w:space="0" w:color="auto"/>
            <w:left w:val="none" w:sz="0" w:space="0" w:color="auto"/>
            <w:bottom w:val="none" w:sz="0" w:space="0" w:color="auto"/>
            <w:right w:val="none" w:sz="0" w:space="0" w:color="auto"/>
          </w:divBdr>
        </w:div>
        <w:div w:id="1282687905">
          <w:marLeft w:val="0"/>
          <w:marRight w:val="0"/>
          <w:marTop w:val="0"/>
          <w:marBottom w:val="0"/>
          <w:divBdr>
            <w:top w:val="none" w:sz="0" w:space="0" w:color="auto"/>
            <w:left w:val="none" w:sz="0" w:space="0" w:color="auto"/>
            <w:bottom w:val="none" w:sz="0" w:space="0" w:color="auto"/>
            <w:right w:val="none" w:sz="0" w:space="0" w:color="auto"/>
          </w:divBdr>
          <w:divsChild>
            <w:div w:id="1676420382">
              <w:marLeft w:val="547"/>
              <w:marRight w:val="0"/>
              <w:marTop w:val="0"/>
              <w:marBottom w:val="0"/>
              <w:divBdr>
                <w:top w:val="none" w:sz="0" w:space="0" w:color="auto"/>
                <w:left w:val="none" w:sz="0" w:space="0" w:color="auto"/>
                <w:bottom w:val="none" w:sz="0" w:space="0" w:color="auto"/>
                <w:right w:val="none" w:sz="0" w:space="0" w:color="auto"/>
              </w:divBdr>
            </w:div>
            <w:div w:id="348336411">
              <w:marLeft w:val="547"/>
              <w:marRight w:val="0"/>
              <w:marTop w:val="0"/>
              <w:marBottom w:val="0"/>
              <w:divBdr>
                <w:top w:val="none" w:sz="0" w:space="0" w:color="auto"/>
                <w:left w:val="none" w:sz="0" w:space="0" w:color="auto"/>
                <w:bottom w:val="none" w:sz="0" w:space="0" w:color="auto"/>
                <w:right w:val="none" w:sz="0" w:space="0" w:color="auto"/>
              </w:divBdr>
            </w:div>
            <w:div w:id="1881436800">
              <w:marLeft w:val="547"/>
              <w:marRight w:val="0"/>
              <w:marTop w:val="0"/>
              <w:marBottom w:val="0"/>
              <w:divBdr>
                <w:top w:val="none" w:sz="0" w:space="0" w:color="auto"/>
                <w:left w:val="none" w:sz="0" w:space="0" w:color="auto"/>
                <w:bottom w:val="none" w:sz="0" w:space="0" w:color="auto"/>
                <w:right w:val="none" w:sz="0" w:space="0" w:color="auto"/>
              </w:divBdr>
            </w:div>
          </w:divsChild>
        </w:div>
        <w:div w:id="300575096">
          <w:marLeft w:val="0"/>
          <w:marRight w:val="0"/>
          <w:marTop w:val="0"/>
          <w:marBottom w:val="600"/>
          <w:divBdr>
            <w:top w:val="none" w:sz="0" w:space="0" w:color="auto"/>
            <w:left w:val="none" w:sz="0" w:space="0" w:color="auto"/>
            <w:bottom w:val="none" w:sz="0" w:space="0" w:color="auto"/>
            <w:right w:val="none" w:sz="0" w:space="0" w:color="auto"/>
          </w:divBdr>
        </w:div>
      </w:divsChild>
    </w:div>
    <w:div w:id="1429545140">
      <w:marLeft w:val="0"/>
      <w:marRight w:val="0"/>
      <w:marTop w:val="0"/>
      <w:marBottom w:val="0"/>
      <w:divBdr>
        <w:top w:val="none" w:sz="0" w:space="0" w:color="auto"/>
        <w:left w:val="none" w:sz="0" w:space="0" w:color="auto"/>
        <w:bottom w:val="none" w:sz="0" w:space="0" w:color="auto"/>
        <w:right w:val="none" w:sz="0" w:space="0" w:color="auto"/>
      </w:divBdr>
      <w:divsChild>
        <w:div w:id="437256379">
          <w:marLeft w:val="0"/>
          <w:marRight w:val="0"/>
          <w:marTop w:val="600"/>
          <w:marBottom w:val="0"/>
          <w:divBdr>
            <w:top w:val="none" w:sz="0" w:space="0" w:color="auto"/>
            <w:left w:val="none" w:sz="0" w:space="0" w:color="auto"/>
            <w:bottom w:val="none" w:sz="0" w:space="0" w:color="auto"/>
            <w:right w:val="none" w:sz="0" w:space="0" w:color="auto"/>
          </w:divBdr>
        </w:div>
        <w:div w:id="1143738771">
          <w:marLeft w:val="0"/>
          <w:marRight w:val="0"/>
          <w:marTop w:val="0"/>
          <w:marBottom w:val="0"/>
          <w:divBdr>
            <w:top w:val="none" w:sz="0" w:space="0" w:color="auto"/>
            <w:left w:val="none" w:sz="0" w:space="0" w:color="auto"/>
            <w:bottom w:val="none" w:sz="0" w:space="0" w:color="auto"/>
            <w:right w:val="none" w:sz="0" w:space="0" w:color="auto"/>
          </w:divBdr>
          <w:divsChild>
            <w:div w:id="2060739632">
              <w:marLeft w:val="-95"/>
              <w:marRight w:val="0"/>
              <w:marTop w:val="0"/>
              <w:marBottom w:val="0"/>
              <w:divBdr>
                <w:top w:val="none" w:sz="0" w:space="0" w:color="auto"/>
                <w:left w:val="none" w:sz="0" w:space="0" w:color="auto"/>
                <w:bottom w:val="none" w:sz="0" w:space="0" w:color="auto"/>
                <w:right w:val="none" w:sz="0" w:space="0" w:color="auto"/>
              </w:divBdr>
              <w:divsChild>
                <w:div w:id="1295647228">
                  <w:marLeft w:val="0"/>
                  <w:marRight w:val="0"/>
                  <w:marTop w:val="0"/>
                  <w:marBottom w:val="0"/>
                  <w:divBdr>
                    <w:top w:val="none" w:sz="0" w:space="0" w:color="auto"/>
                    <w:left w:val="none" w:sz="0" w:space="0" w:color="auto"/>
                    <w:bottom w:val="none" w:sz="0" w:space="0" w:color="auto"/>
                    <w:right w:val="none" w:sz="0" w:space="0" w:color="auto"/>
                  </w:divBdr>
                  <w:divsChild>
                    <w:div w:id="4665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14362">
          <w:marLeft w:val="0"/>
          <w:marRight w:val="0"/>
          <w:marTop w:val="0"/>
          <w:marBottom w:val="600"/>
          <w:divBdr>
            <w:top w:val="none" w:sz="0" w:space="0" w:color="auto"/>
            <w:left w:val="none" w:sz="0" w:space="0" w:color="auto"/>
            <w:bottom w:val="none" w:sz="0" w:space="0" w:color="auto"/>
            <w:right w:val="none" w:sz="0" w:space="0" w:color="auto"/>
          </w:divBdr>
        </w:div>
      </w:divsChild>
    </w:div>
    <w:div w:id="1437822601">
      <w:marLeft w:val="0"/>
      <w:marRight w:val="0"/>
      <w:marTop w:val="0"/>
      <w:marBottom w:val="0"/>
      <w:divBdr>
        <w:top w:val="none" w:sz="0" w:space="0" w:color="auto"/>
        <w:left w:val="none" w:sz="0" w:space="0" w:color="auto"/>
        <w:bottom w:val="none" w:sz="0" w:space="0" w:color="auto"/>
        <w:right w:val="none" w:sz="0" w:space="0" w:color="auto"/>
      </w:divBdr>
      <w:divsChild>
        <w:div w:id="856695898">
          <w:marLeft w:val="0"/>
          <w:marRight w:val="0"/>
          <w:marTop w:val="600"/>
          <w:marBottom w:val="0"/>
          <w:divBdr>
            <w:top w:val="none" w:sz="0" w:space="0" w:color="auto"/>
            <w:left w:val="none" w:sz="0" w:space="0" w:color="auto"/>
            <w:bottom w:val="none" w:sz="0" w:space="0" w:color="auto"/>
            <w:right w:val="none" w:sz="0" w:space="0" w:color="auto"/>
          </w:divBdr>
        </w:div>
        <w:div w:id="177349805">
          <w:marLeft w:val="0"/>
          <w:marRight w:val="0"/>
          <w:marTop w:val="0"/>
          <w:marBottom w:val="0"/>
          <w:divBdr>
            <w:top w:val="none" w:sz="0" w:space="0" w:color="auto"/>
            <w:left w:val="none" w:sz="0" w:space="0" w:color="auto"/>
            <w:bottom w:val="none" w:sz="0" w:space="0" w:color="auto"/>
            <w:right w:val="none" w:sz="0" w:space="0" w:color="auto"/>
          </w:divBdr>
          <w:divsChild>
            <w:div w:id="401294164">
              <w:marLeft w:val="547"/>
              <w:marRight w:val="0"/>
              <w:marTop w:val="0"/>
              <w:marBottom w:val="0"/>
              <w:divBdr>
                <w:top w:val="none" w:sz="0" w:space="0" w:color="auto"/>
                <w:left w:val="none" w:sz="0" w:space="0" w:color="auto"/>
                <w:bottom w:val="none" w:sz="0" w:space="0" w:color="auto"/>
                <w:right w:val="none" w:sz="0" w:space="0" w:color="auto"/>
              </w:divBdr>
            </w:div>
            <w:div w:id="243147941">
              <w:marLeft w:val="547"/>
              <w:marRight w:val="0"/>
              <w:marTop w:val="0"/>
              <w:marBottom w:val="0"/>
              <w:divBdr>
                <w:top w:val="none" w:sz="0" w:space="0" w:color="auto"/>
                <w:left w:val="none" w:sz="0" w:space="0" w:color="auto"/>
                <w:bottom w:val="none" w:sz="0" w:space="0" w:color="auto"/>
                <w:right w:val="none" w:sz="0" w:space="0" w:color="auto"/>
              </w:divBdr>
            </w:div>
            <w:div w:id="1504784951">
              <w:marLeft w:val="547"/>
              <w:marRight w:val="0"/>
              <w:marTop w:val="0"/>
              <w:marBottom w:val="0"/>
              <w:divBdr>
                <w:top w:val="none" w:sz="0" w:space="0" w:color="auto"/>
                <w:left w:val="none" w:sz="0" w:space="0" w:color="auto"/>
                <w:bottom w:val="none" w:sz="0" w:space="0" w:color="auto"/>
                <w:right w:val="none" w:sz="0" w:space="0" w:color="auto"/>
              </w:divBdr>
            </w:div>
            <w:div w:id="1888223741">
              <w:marLeft w:val="547"/>
              <w:marRight w:val="0"/>
              <w:marTop w:val="0"/>
              <w:marBottom w:val="0"/>
              <w:divBdr>
                <w:top w:val="none" w:sz="0" w:space="0" w:color="auto"/>
                <w:left w:val="none" w:sz="0" w:space="0" w:color="auto"/>
                <w:bottom w:val="none" w:sz="0" w:space="0" w:color="auto"/>
                <w:right w:val="none" w:sz="0" w:space="0" w:color="auto"/>
              </w:divBdr>
            </w:div>
            <w:div w:id="1607888669">
              <w:marLeft w:val="547"/>
              <w:marRight w:val="0"/>
              <w:marTop w:val="0"/>
              <w:marBottom w:val="0"/>
              <w:divBdr>
                <w:top w:val="none" w:sz="0" w:space="0" w:color="auto"/>
                <w:left w:val="none" w:sz="0" w:space="0" w:color="auto"/>
                <w:bottom w:val="none" w:sz="0" w:space="0" w:color="auto"/>
                <w:right w:val="none" w:sz="0" w:space="0" w:color="auto"/>
              </w:divBdr>
            </w:div>
            <w:div w:id="1155535146">
              <w:marLeft w:val="547"/>
              <w:marRight w:val="0"/>
              <w:marTop w:val="0"/>
              <w:marBottom w:val="0"/>
              <w:divBdr>
                <w:top w:val="none" w:sz="0" w:space="0" w:color="auto"/>
                <w:left w:val="none" w:sz="0" w:space="0" w:color="auto"/>
                <w:bottom w:val="none" w:sz="0" w:space="0" w:color="auto"/>
                <w:right w:val="none" w:sz="0" w:space="0" w:color="auto"/>
              </w:divBdr>
            </w:div>
            <w:div w:id="344288415">
              <w:marLeft w:val="547"/>
              <w:marRight w:val="0"/>
              <w:marTop w:val="0"/>
              <w:marBottom w:val="0"/>
              <w:divBdr>
                <w:top w:val="none" w:sz="0" w:space="0" w:color="auto"/>
                <w:left w:val="none" w:sz="0" w:space="0" w:color="auto"/>
                <w:bottom w:val="none" w:sz="0" w:space="0" w:color="auto"/>
                <w:right w:val="none" w:sz="0" w:space="0" w:color="auto"/>
              </w:divBdr>
            </w:div>
            <w:div w:id="894045671">
              <w:marLeft w:val="547"/>
              <w:marRight w:val="0"/>
              <w:marTop w:val="0"/>
              <w:marBottom w:val="0"/>
              <w:divBdr>
                <w:top w:val="none" w:sz="0" w:space="0" w:color="auto"/>
                <w:left w:val="none" w:sz="0" w:space="0" w:color="auto"/>
                <w:bottom w:val="none" w:sz="0" w:space="0" w:color="auto"/>
                <w:right w:val="none" w:sz="0" w:space="0" w:color="auto"/>
              </w:divBdr>
            </w:div>
            <w:div w:id="1368331434">
              <w:marLeft w:val="547"/>
              <w:marRight w:val="0"/>
              <w:marTop w:val="0"/>
              <w:marBottom w:val="0"/>
              <w:divBdr>
                <w:top w:val="none" w:sz="0" w:space="0" w:color="auto"/>
                <w:left w:val="none" w:sz="0" w:space="0" w:color="auto"/>
                <w:bottom w:val="none" w:sz="0" w:space="0" w:color="auto"/>
                <w:right w:val="none" w:sz="0" w:space="0" w:color="auto"/>
              </w:divBdr>
            </w:div>
            <w:div w:id="1130441668">
              <w:marLeft w:val="547"/>
              <w:marRight w:val="0"/>
              <w:marTop w:val="0"/>
              <w:marBottom w:val="0"/>
              <w:divBdr>
                <w:top w:val="none" w:sz="0" w:space="0" w:color="auto"/>
                <w:left w:val="none" w:sz="0" w:space="0" w:color="auto"/>
                <w:bottom w:val="none" w:sz="0" w:space="0" w:color="auto"/>
                <w:right w:val="none" w:sz="0" w:space="0" w:color="auto"/>
              </w:divBdr>
            </w:div>
          </w:divsChild>
        </w:div>
        <w:div w:id="119230312">
          <w:marLeft w:val="0"/>
          <w:marRight w:val="0"/>
          <w:marTop w:val="0"/>
          <w:marBottom w:val="600"/>
          <w:divBdr>
            <w:top w:val="none" w:sz="0" w:space="0" w:color="auto"/>
            <w:left w:val="none" w:sz="0" w:space="0" w:color="auto"/>
            <w:bottom w:val="none" w:sz="0" w:space="0" w:color="auto"/>
            <w:right w:val="none" w:sz="0" w:space="0" w:color="auto"/>
          </w:divBdr>
        </w:div>
      </w:divsChild>
    </w:div>
    <w:div w:id="1441683285">
      <w:marLeft w:val="0"/>
      <w:marRight w:val="0"/>
      <w:marTop w:val="0"/>
      <w:marBottom w:val="0"/>
      <w:divBdr>
        <w:top w:val="none" w:sz="0" w:space="0" w:color="auto"/>
        <w:left w:val="none" w:sz="0" w:space="0" w:color="auto"/>
        <w:bottom w:val="none" w:sz="0" w:space="0" w:color="auto"/>
        <w:right w:val="none" w:sz="0" w:space="0" w:color="auto"/>
      </w:divBdr>
      <w:divsChild>
        <w:div w:id="82188500">
          <w:marLeft w:val="0"/>
          <w:marRight w:val="0"/>
          <w:marTop w:val="600"/>
          <w:marBottom w:val="0"/>
          <w:divBdr>
            <w:top w:val="none" w:sz="0" w:space="0" w:color="auto"/>
            <w:left w:val="none" w:sz="0" w:space="0" w:color="auto"/>
            <w:bottom w:val="none" w:sz="0" w:space="0" w:color="auto"/>
            <w:right w:val="none" w:sz="0" w:space="0" w:color="auto"/>
          </w:divBdr>
        </w:div>
        <w:div w:id="7025561">
          <w:marLeft w:val="0"/>
          <w:marRight w:val="0"/>
          <w:marTop w:val="0"/>
          <w:marBottom w:val="0"/>
          <w:divBdr>
            <w:top w:val="none" w:sz="0" w:space="0" w:color="auto"/>
            <w:left w:val="none" w:sz="0" w:space="0" w:color="auto"/>
            <w:bottom w:val="none" w:sz="0" w:space="0" w:color="auto"/>
            <w:right w:val="none" w:sz="0" w:space="0" w:color="auto"/>
          </w:divBdr>
        </w:div>
        <w:div w:id="396250380">
          <w:marLeft w:val="0"/>
          <w:marRight w:val="0"/>
          <w:marTop w:val="0"/>
          <w:marBottom w:val="600"/>
          <w:divBdr>
            <w:top w:val="none" w:sz="0" w:space="0" w:color="auto"/>
            <w:left w:val="none" w:sz="0" w:space="0" w:color="auto"/>
            <w:bottom w:val="none" w:sz="0" w:space="0" w:color="auto"/>
            <w:right w:val="none" w:sz="0" w:space="0" w:color="auto"/>
          </w:divBdr>
        </w:div>
      </w:divsChild>
    </w:div>
    <w:div w:id="1444375525">
      <w:marLeft w:val="0"/>
      <w:marRight w:val="0"/>
      <w:marTop w:val="0"/>
      <w:marBottom w:val="0"/>
      <w:divBdr>
        <w:top w:val="none" w:sz="0" w:space="0" w:color="auto"/>
        <w:left w:val="none" w:sz="0" w:space="0" w:color="auto"/>
        <w:bottom w:val="none" w:sz="0" w:space="0" w:color="auto"/>
        <w:right w:val="none" w:sz="0" w:space="0" w:color="auto"/>
      </w:divBdr>
      <w:divsChild>
        <w:div w:id="1962153416">
          <w:marLeft w:val="0"/>
          <w:marRight w:val="0"/>
          <w:marTop w:val="600"/>
          <w:marBottom w:val="0"/>
          <w:divBdr>
            <w:top w:val="none" w:sz="0" w:space="0" w:color="auto"/>
            <w:left w:val="none" w:sz="0" w:space="0" w:color="auto"/>
            <w:bottom w:val="none" w:sz="0" w:space="0" w:color="auto"/>
            <w:right w:val="none" w:sz="0" w:space="0" w:color="auto"/>
          </w:divBdr>
        </w:div>
        <w:div w:id="1622614093">
          <w:marLeft w:val="0"/>
          <w:marRight w:val="0"/>
          <w:marTop w:val="0"/>
          <w:marBottom w:val="0"/>
          <w:divBdr>
            <w:top w:val="none" w:sz="0" w:space="0" w:color="auto"/>
            <w:left w:val="none" w:sz="0" w:space="0" w:color="auto"/>
            <w:bottom w:val="none" w:sz="0" w:space="0" w:color="auto"/>
            <w:right w:val="none" w:sz="0" w:space="0" w:color="auto"/>
          </w:divBdr>
          <w:divsChild>
            <w:div w:id="629895009">
              <w:marLeft w:val="547"/>
              <w:marRight w:val="0"/>
              <w:marTop w:val="0"/>
              <w:marBottom w:val="0"/>
              <w:divBdr>
                <w:top w:val="none" w:sz="0" w:space="0" w:color="auto"/>
                <w:left w:val="none" w:sz="0" w:space="0" w:color="auto"/>
                <w:bottom w:val="none" w:sz="0" w:space="0" w:color="auto"/>
                <w:right w:val="none" w:sz="0" w:space="0" w:color="auto"/>
              </w:divBdr>
            </w:div>
            <w:div w:id="342516003">
              <w:marLeft w:val="547"/>
              <w:marRight w:val="0"/>
              <w:marTop w:val="0"/>
              <w:marBottom w:val="0"/>
              <w:divBdr>
                <w:top w:val="none" w:sz="0" w:space="0" w:color="auto"/>
                <w:left w:val="none" w:sz="0" w:space="0" w:color="auto"/>
                <w:bottom w:val="none" w:sz="0" w:space="0" w:color="auto"/>
                <w:right w:val="none" w:sz="0" w:space="0" w:color="auto"/>
              </w:divBdr>
            </w:div>
            <w:div w:id="653068187">
              <w:marLeft w:val="547"/>
              <w:marRight w:val="0"/>
              <w:marTop w:val="0"/>
              <w:marBottom w:val="0"/>
              <w:divBdr>
                <w:top w:val="none" w:sz="0" w:space="0" w:color="auto"/>
                <w:left w:val="none" w:sz="0" w:space="0" w:color="auto"/>
                <w:bottom w:val="none" w:sz="0" w:space="0" w:color="auto"/>
                <w:right w:val="none" w:sz="0" w:space="0" w:color="auto"/>
              </w:divBdr>
            </w:div>
            <w:div w:id="1201477054">
              <w:marLeft w:val="547"/>
              <w:marRight w:val="0"/>
              <w:marTop w:val="0"/>
              <w:marBottom w:val="0"/>
              <w:divBdr>
                <w:top w:val="none" w:sz="0" w:space="0" w:color="auto"/>
                <w:left w:val="none" w:sz="0" w:space="0" w:color="auto"/>
                <w:bottom w:val="none" w:sz="0" w:space="0" w:color="auto"/>
                <w:right w:val="none" w:sz="0" w:space="0" w:color="auto"/>
              </w:divBdr>
            </w:div>
            <w:div w:id="947733391">
              <w:marLeft w:val="547"/>
              <w:marRight w:val="0"/>
              <w:marTop w:val="0"/>
              <w:marBottom w:val="0"/>
              <w:divBdr>
                <w:top w:val="none" w:sz="0" w:space="0" w:color="auto"/>
                <w:left w:val="none" w:sz="0" w:space="0" w:color="auto"/>
                <w:bottom w:val="none" w:sz="0" w:space="0" w:color="auto"/>
                <w:right w:val="none" w:sz="0" w:space="0" w:color="auto"/>
              </w:divBdr>
            </w:div>
          </w:divsChild>
        </w:div>
        <w:div w:id="1046444847">
          <w:marLeft w:val="0"/>
          <w:marRight w:val="0"/>
          <w:marTop w:val="0"/>
          <w:marBottom w:val="600"/>
          <w:divBdr>
            <w:top w:val="none" w:sz="0" w:space="0" w:color="auto"/>
            <w:left w:val="none" w:sz="0" w:space="0" w:color="auto"/>
            <w:bottom w:val="none" w:sz="0" w:space="0" w:color="auto"/>
            <w:right w:val="none" w:sz="0" w:space="0" w:color="auto"/>
          </w:divBdr>
        </w:div>
      </w:divsChild>
    </w:div>
    <w:div w:id="1528710564">
      <w:marLeft w:val="0"/>
      <w:marRight w:val="0"/>
      <w:marTop w:val="0"/>
      <w:marBottom w:val="0"/>
      <w:divBdr>
        <w:top w:val="none" w:sz="0" w:space="0" w:color="auto"/>
        <w:left w:val="none" w:sz="0" w:space="0" w:color="auto"/>
        <w:bottom w:val="none" w:sz="0" w:space="0" w:color="auto"/>
        <w:right w:val="none" w:sz="0" w:space="0" w:color="auto"/>
      </w:divBdr>
      <w:divsChild>
        <w:div w:id="1336227558">
          <w:marLeft w:val="0"/>
          <w:marRight w:val="0"/>
          <w:marTop w:val="600"/>
          <w:marBottom w:val="0"/>
          <w:divBdr>
            <w:top w:val="none" w:sz="0" w:space="0" w:color="auto"/>
            <w:left w:val="none" w:sz="0" w:space="0" w:color="auto"/>
            <w:bottom w:val="none" w:sz="0" w:space="0" w:color="auto"/>
            <w:right w:val="none" w:sz="0" w:space="0" w:color="auto"/>
          </w:divBdr>
        </w:div>
        <w:div w:id="1659191114">
          <w:marLeft w:val="0"/>
          <w:marRight w:val="0"/>
          <w:marTop w:val="0"/>
          <w:marBottom w:val="0"/>
          <w:divBdr>
            <w:top w:val="none" w:sz="0" w:space="0" w:color="auto"/>
            <w:left w:val="none" w:sz="0" w:space="0" w:color="auto"/>
            <w:bottom w:val="none" w:sz="0" w:space="0" w:color="auto"/>
            <w:right w:val="none" w:sz="0" w:space="0" w:color="auto"/>
          </w:divBdr>
          <w:divsChild>
            <w:div w:id="982080688">
              <w:marLeft w:val="547"/>
              <w:marRight w:val="0"/>
              <w:marTop w:val="0"/>
              <w:marBottom w:val="0"/>
              <w:divBdr>
                <w:top w:val="none" w:sz="0" w:space="0" w:color="auto"/>
                <w:left w:val="none" w:sz="0" w:space="0" w:color="auto"/>
                <w:bottom w:val="none" w:sz="0" w:space="0" w:color="auto"/>
                <w:right w:val="none" w:sz="0" w:space="0" w:color="auto"/>
              </w:divBdr>
            </w:div>
            <w:div w:id="1785151317">
              <w:marLeft w:val="547"/>
              <w:marRight w:val="0"/>
              <w:marTop w:val="0"/>
              <w:marBottom w:val="0"/>
              <w:divBdr>
                <w:top w:val="none" w:sz="0" w:space="0" w:color="auto"/>
                <w:left w:val="none" w:sz="0" w:space="0" w:color="auto"/>
                <w:bottom w:val="none" w:sz="0" w:space="0" w:color="auto"/>
                <w:right w:val="none" w:sz="0" w:space="0" w:color="auto"/>
              </w:divBdr>
            </w:div>
            <w:div w:id="1184633122">
              <w:marLeft w:val="547"/>
              <w:marRight w:val="0"/>
              <w:marTop w:val="0"/>
              <w:marBottom w:val="0"/>
              <w:divBdr>
                <w:top w:val="none" w:sz="0" w:space="0" w:color="auto"/>
                <w:left w:val="none" w:sz="0" w:space="0" w:color="auto"/>
                <w:bottom w:val="none" w:sz="0" w:space="0" w:color="auto"/>
                <w:right w:val="none" w:sz="0" w:space="0" w:color="auto"/>
              </w:divBdr>
            </w:div>
            <w:div w:id="1207911368">
              <w:marLeft w:val="547"/>
              <w:marRight w:val="0"/>
              <w:marTop w:val="0"/>
              <w:marBottom w:val="0"/>
              <w:divBdr>
                <w:top w:val="none" w:sz="0" w:space="0" w:color="auto"/>
                <w:left w:val="none" w:sz="0" w:space="0" w:color="auto"/>
                <w:bottom w:val="none" w:sz="0" w:space="0" w:color="auto"/>
                <w:right w:val="none" w:sz="0" w:space="0" w:color="auto"/>
              </w:divBdr>
            </w:div>
            <w:div w:id="1708262763">
              <w:marLeft w:val="547"/>
              <w:marRight w:val="0"/>
              <w:marTop w:val="0"/>
              <w:marBottom w:val="0"/>
              <w:divBdr>
                <w:top w:val="none" w:sz="0" w:space="0" w:color="auto"/>
                <w:left w:val="none" w:sz="0" w:space="0" w:color="auto"/>
                <w:bottom w:val="none" w:sz="0" w:space="0" w:color="auto"/>
                <w:right w:val="none" w:sz="0" w:space="0" w:color="auto"/>
              </w:divBdr>
            </w:div>
            <w:div w:id="1739595667">
              <w:marLeft w:val="547"/>
              <w:marRight w:val="0"/>
              <w:marTop w:val="0"/>
              <w:marBottom w:val="0"/>
              <w:divBdr>
                <w:top w:val="none" w:sz="0" w:space="0" w:color="auto"/>
                <w:left w:val="none" w:sz="0" w:space="0" w:color="auto"/>
                <w:bottom w:val="none" w:sz="0" w:space="0" w:color="auto"/>
                <w:right w:val="none" w:sz="0" w:space="0" w:color="auto"/>
              </w:divBdr>
            </w:div>
            <w:div w:id="1826974853">
              <w:marLeft w:val="547"/>
              <w:marRight w:val="0"/>
              <w:marTop w:val="0"/>
              <w:marBottom w:val="0"/>
              <w:divBdr>
                <w:top w:val="none" w:sz="0" w:space="0" w:color="auto"/>
                <w:left w:val="none" w:sz="0" w:space="0" w:color="auto"/>
                <w:bottom w:val="none" w:sz="0" w:space="0" w:color="auto"/>
                <w:right w:val="none" w:sz="0" w:space="0" w:color="auto"/>
              </w:divBdr>
            </w:div>
          </w:divsChild>
        </w:div>
        <w:div w:id="510795784">
          <w:marLeft w:val="0"/>
          <w:marRight w:val="0"/>
          <w:marTop w:val="0"/>
          <w:marBottom w:val="600"/>
          <w:divBdr>
            <w:top w:val="none" w:sz="0" w:space="0" w:color="auto"/>
            <w:left w:val="none" w:sz="0" w:space="0" w:color="auto"/>
            <w:bottom w:val="none" w:sz="0" w:space="0" w:color="auto"/>
            <w:right w:val="none" w:sz="0" w:space="0" w:color="auto"/>
          </w:divBdr>
        </w:div>
      </w:divsChild>
    </w:div>
    <w:div w:id="1561481978">
      <w:marLeft w:val="0"/>
      <w:marRight w:val="0"/>
      <w:marTop w:val="0"/>
      <w:marBottom w:val="0"/>
      <w:divBdr>
        <w:top w:val="none" w:sz="0" w:space="0" w:color="auto"/>
        <w:left w:val="none" w:sz="0" w:space="0" w:color="auto"/>
        <w:bottom w:val="none" w:sz="0" w:space="0" w:color="auto"/>
        <w:right w:val="none" w:sz="0" w:space="0" w:color="auto"/>
      </w:divBdr>
      <w:divsChild>
        <w:div w:id="197788449">
          <w:marLeft w:val="0"/>
          <w:marRight w:val="0"/>
          <w:marTop w:val="600"/>
          <w:marBottom w:val="0"/>
          <w:divBdr>
            <w:top w:val="none" w:sz="0" w:space="0" w:color="auto"/>
            <w:left w:val="none" w:sz="0" w:space="0" w:color="auto"/>
            <w:bottom w:val="none" w:sz="0" w:space="0" w:color="auto"/>
            <w:right w:val="none" w:sz="0" w:space="0" w:color="auto"/>
          </w:divBdr>
        </w:div>
        <w:div w:id="839662883">
          <w:marLeft w:val="0"/>
          <w:marRight w:val="0"/>
          <w:marTop w:val="0"/>
          <w:marBottom w:val="0"/>
          <w:divBdr>
            <w:top w:val="none" w:sz="0" w:space="0" w:color="auto"/>
            <w:left w:val="none" w:sz="0" w:space="0" w:color="auto"/>
            <w:bottom w:val="none" w:sz="0" w:space="0" w:color="auto"/>
            <w:right w:val="none" w:sz="0" w:space="0" w:color="auto"/>
          </w:divBdr>
        </w:div>
        <w:div w:id="38281314">
          <w:marLeft w:val="0"/>
          <w:marRight w:val="0"/>
          <w:marTop w:val="0"/>
          <w:marBottom w:val="600"/>
          <w:divBdr>
            <w:top w:val="none" w:sz="0" w:space="0" w:color="auto"/>
            <w:left w:val="none" w:sz="0" w:space="0" w:color="auto"/>
            <w:bottom w:val="none" w:sz="0" w:space="0" w:color="auto"/>
            <w:right w:val="none" w:sz="0" w:space="0" w:color="auto"/>
          </w:divBdr>
        </w:div>
      </w:divsChild>
    </w:div>
    <w:div w:id="1588804712">
      <w:marLeft w:val="0"/>
      <w:marRight w:val="0"/>
      <w:marTop w:val="0"/>
      <w:marBottom w:val="0"/>
      <w:divBdr>
        <w:top w:val="none" w:sz="0" w:space="0" w:color="auto"/>
        <w:left w:val="none" w:sz="0" w:space="0" w:color="auto"/>
        <w:bottom w:val="none" w:sz="0" w:space="0" w:color="auto"/>
        <w:right w:val="none" w:sz="0" w:space="0" w:color="auto"/>
      </w:divBdr>
      <w:divsChild>
        <w:div w:id="339698116">
          <w:marLeft w:val="0"/>
          <w:marRight w:val="0"/>
          <w:marTop w:val="600"/>
          <w:marBottom w:val="0"/>
          <w:divBdr>
            <w:top w:val="none" w:sz="0" w:space="0" w:color="auto"/>
            <w:left w:val="none" w:sz="0" w:space="0" w:color="auto"/>
            <w:bottom w:val="none" w:sz="0" w:space="0" w:color="auto"/>
            <w:right w:val="none" w:sz="0" w:space="0" w:color="auto"/>
          </w:divBdr>
        </w:div>
        <w:div w:id="978531945">
          <w:marLeft w:val="0"/>
          <w:marRight w:val="0"/>
          <w:marTop w:val="0"/>
          <w:marBottom w:val="0"/>
          <w:divBdr>
            <w:top w:val="none" w:sz="0" w:space="0" w:color="auto"/>
            <w:left w:val="none" w:sz="0" w:space="0" w:color="auto"/>
            <w:bottom w:val="none" w:sz="0" w:space="0" w:color="auto"/>
            <w:right w:val="none" w:sz="0" w:space="0" w:color="auto"/>
          </w:divBdr>
        </w:div>
        <w:div w:id="1706514591">
          <w:marLeft w:val="0"/>
          <w:marRight w:val="0"/>
          <w:marTop w:val="0"/>
          <w:marBottom w:val="600"/>
          <w:divBdr>
            <w:top w:val="none" w:sz="0" w:space="0" w:color="auto"/>
            <w:left w:val="none" w:sz="0" w:space="0" w:color="auto"/>
            <w:bottom w:val="none" w:sz="0" w:space="0" w:color="auto"/>
            <w:right w:val="none" w:sz="0" w:space="0" w:color="auto"/>
          </w:divBdr>
        </w:div>
      </w:divsChild>
    </w:div>
    <w:div w:id="1622376150">
      <w:marLeft w:val="0"/>
      <w:marRight w:val="0"/>
      <w:marTop w:val="0"/>
      <w:marBottom w:val="0"/>
      <w:divBdr>
        <w:top w:val="none" w:sz="0" w:space="0" w:color="auto"/>
        <w:left w:val="none" w:sz="0" w:space="0" w:color="auto"/>
        <w:bottom w:val="none" w:sz="0" w:space="0" w:color="auto"/>
        <w:right w:val="none" w:sz="0" w:space="0" w:color="auto"/>
      </w:divBdr>
      <w:divsChild>
        <w:div w:id="2063670609">
          <w:marLeft w:val="0"/>
          <w:marRight w:val="0"/>
          <w:marTop w:val="600"/>
          <w:marBottom w:val="0"/>
          <w:divBdr>
            <w:top w:val="none" w:sz="0" w:space="0" w:color="auto"/>
            <w:left w:val="none" w:sz="0" w:space="0" w:color="auto"/>
            <w:bottom w:val="none" w:sz="0" w:space="0" w:color="auto"/>
            <w:right w:val="none" w:sz="0" w:space="0" w:color="auto"/>
          </w:divBdr>
        </w:div>
        <w:div w:id="1227110608">
          <w:marLeft w:val="0"/>
          <w:marRight w:val="0"/>
          <w:marTop w:val="0"/>
          <w:marBottom w:val="0"/>
          <w:divBdr>
            <w:top w:val="none" w:sz="0" w:space="0" w:color="auto"/>
            <w:left w:val="none" w:sz="0" w:space="0" w:color="auto"/>
            <w:bottom w:val="none" w:sz="0" w:space="0" w:color="auto"/>
            <w:right w:val="none" w:sz="0" w:space="0" w:color="auto"/>
          </w:divBdr>
        </w:div>
        <w:div w:id="522325065">
          <w:marLeft w:val="0"/>
          <w:marRight w:val="0"/>
          <w:marTop w:val="0"/>
          <w:marBottom w:val="600"/>
          <w:divBdr>
            <w:top w:val="none" w:sz="0" w:space="0" w:color="auto"/>
            <w:left w:val="none" w:sz="0" w:space="0" w:color="auto"/>
            <w:bottom w:val="none" w:sz="0" w:space="0" w:color="auto"/>
            <w:right w:val="none" w:sz="0" w:space="0" w:color="auto"/>
          </w:divBdr>
        </w:div>
      </w:divsChild>
    </w:div>
    <w:div w:id="1639720916">
      <w:marLeft w:val="0"/>
      <w:marRight w:val="0"/>
      <w:marTop w:val="0"/>
      <w:marBottom w:val="0"/>
      <w:divBdr>
        <w:top w:val="none" w:sz="0" w:space="0" w:color="auto"/>
        <w:left w:val="none" w:sz="0" w:space="0" w:color="auto"/>
        <w:bottom w:val="none" w:sz="0" w:space="0" w:color="auto"/>
        <w:right w:val="none" w:sz="0" w:space="0" w:color="auto"/>
      </w:divBdr>
      <w:divsChild>
        <w:div w:id="1690794589">
          <w:marLeft w:val="0"/>
          <w:marRight w:val="0"/>
          <w:marTop w:val="600"/>
          <w:marBottom w:val="0"/>
          <w:divBdr>
            <w:top w:val="none" w:sz="0" w:space="0" w:color="auto"/>
            <w:left w:val="none" w:sz="0" w:space="0" w:color="auto"/>
            <w:bottom w:val="none" w:sz="0" w:space="0" w:color="auto"/>
            <w:right w:val="none" w:sz="0" w:space="0" w:color="auto"/>
          </w:divBdr>
        </w:div>
        <w:div w:id="203951778">
          <w:marLeft w:val="0"/>
          <w:marRight w:val="0"/>
          <w:marTop w:val="0"/>
          <w:marBottom w:val="0"/>
          <w:divBdr>
            <w:top w:val="none" w:sz="0" w:space="0" w:color="auto"/>
            <w:left w:val="none" w:sz="0" w:space="0" w:color="auto"/>
            <w:bottom w:val="none" w:sz="0" w:space="0" w:color="auto"/>
            <w:right w:val="none" w:sz="0" w:space="0" w:color="auto"/>
          </w:divBdr>
          <w:divsChild>
            <w:div w:id="1530798188">
              <w:marLeft w:val="0"/>
              <w:marRight w:val="0"/>
              <w:marTop w:val="0"/>
              <w:marBottom w:val="0"/>
              <w:divBdr>
                <w:top w:val="none" w:sz="0" w:space="0" w:color="auto"/>
                <w:left w:val="none" w:sz="0" w:space="0" w:color="auto"/>
                <w:bottom w:val="none" w:sz="0" w:space="0" w:color="auto"/>
                <w:right w:val="none" w:sz="0" w:space="0" w:color="auto"/>
              </w:divBdr>
              <w:divsChild>
                <w:div w:id="1931306497">
                  <w:marLeft w:val="0"/>
                  <w:marRight w:val="0"/>
                  <w:marTop w:val="0"/>
                  <w:marBottom w:val="0"/>
                  <w:divBdr>
                    <w:top w:val="none" w:sz="0" w:space="0" w:color="auto"/>
                    <w:left w:val="none" w:sz="0" w:space="0" w:color="auto"/>
                    <w:bottom w:val="none" w:sz="0" w:space="0" w:color="auto"/>
                    <w:right w:val="none" w:sz="0" w:space="0" w:color="auto"/>
                  </w:divBdr>
                </w:div>
              </w:divsChild>
            </w:div>
            <w:div w:id="1245990934">
              <w:marLeft w:val="0"/>
              <w:marRight w:val="0"/>
              <w:marTop w:val="0"/>
              <w:marBottom w:val="0"/>
              <w:divBdr>
                <w:top w:val="none" w:sz="0" w:space="0" w:color="auto"/>
                <w:left w:val="none" w:sz="0" w:space="0" w:color="auto"/>
                <w:bottom w:val="none" w:sz="0" w:space="0" w:color="auto"/>
                <w:right w:val="none" w:sz="0" w:space="0" w:color="auto"/>
              </w:divBdr>
              <w:divsChild>
                <w:div w:id="1349600363">
                  <w:marLeft w:val="0"/>
                  <w:marRight w:val="0"/>
                  <w:marTop w:val="0"/>
                  <w:marBottom w:val="0"/>
                  <w:divBdr>
                    <w:top w:val="none" w:sz="0" w:space="0" w:color="auto"/>
                    <w:left w:val="none" w:sz="0" w:space="0" w:color="auto"/>
                    <w:bottom w:val="none" w:sz="0" w:space="0" w:color="auto"/>
                    <w:right w:val="none" w:sz="0" w:space="0" w:color="auto"/>
                  </w:divBdr>
                </w:div>
              </w:divsChild>
            </w:div>
            <w:div w:id="930817448">
              <w:marLeft w:val="0"/>
              <w:marRight w:val="0"/>
              <w:marTop w:val="0"/>
              <w:marBottom w:val="0"/>
              <w:divBdr>
                <w:top w:val="none" w:sz="0" w:space="0" w:color="auto"/>
                <w:left w:val="none" w:sz="0" w:space="0" w:color="auto"/>
                <w:bottom w:val="none" w:sz="0" w:space="0" w:color="auto"/>
                <w:right w:val="none" w:sz="0" w:space="0" w:color="auto"/>
              </w:divBdr>
              <w:divsChild>
                <w:div w:id="1770544586">
                  <w:marLeft w:val="0"/>
                  <w:marRight w:val="0"/>
                  <w:marTop w:val="0"/>
                  <w:marBottom w:val="0"/>
                  <w:divBdr>
                    <w:top w:val="none" w:sz="0" w:space="0" w:color="auto"/>
                    <w:left w:val="none" w:sz="0" w:space="0" w:color="auto"/>
                    <w:bottom w:val="none" w:sz="0" w:space="0" w:color="auto"/>
                    <w:right w:val="none" w:sz="0" w:space="0" w:color="auto"/>
                  </w:divBdr>
                </w:div>
              </w:divsChild>
            </w:div>
            <w:div w:id="1586769566">
              <w:marLeft w:val="0"/>
              <w:marRight w:val="0"/>
              <w:marTop w:val="0"/>
              <w:marBottom w:val="0"/>
              <w:divBdr>
                <w:top w:val="none" w:sz="0" w:space="0" w:color="auto"/>
                <w:left w:val="none" w:sz="0" w:space="0" w:color="auto"/>
                <w:bottom w:val="none" w:sz="0" w:space="0" w:color="auto"/>
                <w:right w:val="none" w:sz="0" w:space="0" w:color="auto"/>
              </w:divBdr>
              <w:divsChild>
                <w:div w:id="605382562">
                  <w:marLeft w:val="0"/>
                  <w:marRight w:val="0"/>
                  <w:marTop w:val="0"/>
                  <w:marBottom w:val="0"/>
                  <w:divBdr>
                    <w:top w:val="none" w:sz="0" w:space="0" w:color="auto"/>
                    <w:left w:val="none" w:sz="0" w:space="0" w:color="auto"/>
                    <w:bottom w:val="none" w:sz="0" w:space="0" w:color="auto"/>
                    <w:right w:val="none" w:sz="0" w:space="0" w:color="auto"/>
                  </w:divBdr>
                </w:div>
              </w:divsChild>
            </w:div>
            <w:div w:id="1170751746">
              <w:marLeft w:val="0"/>
              <w:marRight w:val="0"/>
              <w:marTop w:val="0"/>
              <w:marBottom w:val="0"/>
              <w:divBdr>
                <w:top w:val="none" w:sz="0" w:space="0" w:color="auto"/>
                <w:left w:val="none" w:sz="0" w:space="0" w:color="auto"/>
                <w:bottom w:val="none" w:sz="0" w:space="0" w:color="auto"/>
                <w:right w:val="none" w:sz="0" w:space="0" w:color="auto"/>
              </w:divBdr>
              <w:divsChild>
                <w:div w:id="47076580">
                  <w:marLeft w:val="0"/>
                  <w:marRight w:val="0"/>
                  <w:marTop w:val="0"/>
                  <w:marBottom w:val="0"/>
                  <w:divBdr>
                    <w:top w:val="none" w:sz="0" w:space="0" w:color="auto"/>
                    <w:left w:val="none" w:sz="0" w:space="0" w:color="auto"/>
                    <w:bottom w:val="none" w:sz="0" w:space="0" w:color="auto"/>
                    <w:right w:val="none" w:sz="0" w:space="0" w:color="auto"/>
                  </w:divBdr>
                </w:div>
              </w:divsChild>
            </w:div>
            <w:div w:id="1079641686">
              <w:marLeft w:val="0"/>
              <w:marRight w:val="0"/>
              <w:marTop w:val="0"/>
              <w:marBottom w:val="0"/>
              <w:divBdr>
                <w:top w:val="none" w:sz="0" w:space="0" w:color="auto"/>
                <w:left w:val="none" w:sz="0" w:space="0" w:color="auto"/>
                <w:bottom w:val="none" w:sz="0" w:space="0" w:color="auto"/>
                <w:right w:val="none" w:sz="0" w:space="0" w:color="auto"/>
              </w:divBdr>
              <w:divsChild>
                <w:div w:id="79186274">
                  <w:marLeft w:val="0"/>
                  <w:marRight w:val="0"/>
                  <w:marTop w:val="0"/>
                  <w:marBottom w:val="0"/>
                  <w:divBdr>
                    <w:top w:val="none" w:sz="0" w:space="0" w:color="auto"/>
                    <w:left w:val="none" w:sz="0" w:space="0" w:color="auto"/>
                    <w:bottom w:val="none" w:sz="0" w:space="0" w:color="auto"/>
                    <w:right w:val="none" w:sz="0" w:space="0" w:color="auto"/>
                  </w:divBdr>
                </w:div>
              </w:divsChild>
            </w:div>
            <w:div w:id="338578790">
              <w:marLeft w:val="0"/>
              <w:marRight w:val="0"/>
              <w:marTop w:val="0"/>
              <w:marBottom w:val="0"/>
              <w:divBdr>
                <w:top w:val="none" w:sz="0" w:space="0" w:color="auto"/>
                <w:left w:val="none" w:sz="0" w:space="0" w:color="auto"/>
                <w:bottom w:val="none" w:sz="0" w:space="0" w:color="auto"/>
                <w:right w:val="none" w:sz="0" w:space="0" w:color="auto"/>
              </w:divBdr>
              <w:divsChild>
                <w:div w:id="656494832">
                  <w:marLeft w:val="0"/>
                  <w:marRight w:val="0"/>
                  <w:marTop w:val="0"/>
                  <w:marBottom w:val="0"/>
                  <w:divBdr>
                    <w:top w:val="none" w:sz="0" w:space="0" w:color="auto"/>
                    <w:left w:val="none" w:sz="0" w:space="0" w:color="auto"/>
                    <w:bottom w:val="none" w:sz="0" w:space="0" w:color="auto"/>
                    <w:right w:val="none" w:sz="0" w:space="0" w:color="auto"/>
                  </w:divBdr>
                </w:div>
              </w:divsChild>
            </w:div>
            <w:div w:id="865366329">
              <w:marLeft w:val="0"/>
              <w:marRight w:val="0"/>
              <w:marTop w:val="0"/>
              <w:marBottom w:val="0"/>
              <w:divBdr>
                <w:top w:val="none" w:sz="0" w:space="0" w:color="auto"/>
                <w:left w:val="none" w:sz="0" w:space="0" w:color="auto"/>
                <w:bottom w:val="none" w:sz="0" w:space="0" w:color="auto"/>
                <w:right w:val="none" w:sz="0" w:space="0" w:color="auto"/>
              </w:divBdr>
              <w:divsChild>
                <w:div w:id="604272580">
                  <w:marLeft w:val="0"/>
                  <w:marRight w:val="0"/>
                  <w:marTop w:val="0"/>
                  <w:marBottom w:val="0"/>
                  <w:divBdr>
                    <w:top w:val="none" w:sz="0" w:space="0" w:color="auto"/>
                    <w:left w:val="none" w:sz="0" w:space="0" w:color="auto"/>
                    <w:bottom w:val="none" w:sz="0" w:space="0" w:color="auto"/>
                    <w:right w:val="none" w:sz="0" w:space="0" w:color="auto"/>
                  </w:divBdr>
                </w:div>
              </w:divsChild>
            </w:div>
            <w:div w:id="695929970">
              <w:marLeft w:val="0"/>
              <w:marRight w:val="0"/>
              <w:marTop w:val="0"/>
              <w:marBottom w:val="0"/>
              <w:divBdr>
                <w:top w:val="none" w:sz="0" w:space="0" w:color="auto"/>
                <w:left w:val="none" w:sz="0" w:space="0" w:color="auto"/>
                <w:bottom w:val="none" w:sz="0" w:space="0" w:color="auto"/>
                <w:right w:val="none" w:sz="0" w:space="0" w:color="auto"/>
              </w:divBdr>
              <w:divsChild>
                <w:div w:id="972176716">
                  <w:marLeft w:val="0"/>
                  <w:marRight w:val="0"/>
                  <w:marTop w:val="0"/>
                  <w:marBottom w:val="0"/>
                  <w:divBdr>
                    <w:top w:val="none" w:sz="0" w:space="0" w:color="auto"/>
                    <w:left w:val="none" w:sz="0" w:space="0" w:color="auto"/>
                    <w:bottom w:val="none" w:sz="0" w:space="0" w:color="auto"/>
                    <w:right w:val="none" w:sz="0" w:space="0" w:color="auto"/>
                  </w:divBdr>
                </w:div>
              </w:divsChild>
            </w:div>
            <w:div w:id="480385077">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
              </w:divsChild>
            </w:div>
            <w:div w:id="2145732039">
              <w:marLeft w:val="0"/>
              <w:marRight w:val="0"/>
              <w:marTop w:val="0"/>
              <w:marBottom w:val="0"/>
              <w:divBdr>
                <w:top w:val="none" w:sz="0" w:space="0" w:color="auto"/>
                <w:left w:val="none" w:sz="0" w:space="0" w:color="auto"/>
                <w:bottom w:val="none" w:sz="0" w:space="0" w:color="auto"/>
                <w:right w:val="none" w:sz="0" w:space="0" w:color="auto"/>
              </w:divBdr>
              <w:divsChild>
                <w:div w:id="1104810042">
                  <w:marLeft w:val="0"/>
                  <w:marRight w:val="0"/>
                  <w:marTop w:val="0"/>
                  <w:marBottom w:val="0"/>
                  <w:divBdr>
                    <w:top w:val="none" w:sz="0" w:space="0" w:color="auto"/>
                    <w:left w:val="none" w:sz="0" w:space="0" w:color="auto"/>
                    <w:bottom w:val="none" w:sz="0" w:space="0" w:color="auto"/>
                    <w:right w:val="none" w:sz="0" w:space="0" w:color="auto"/>
                  </w:divBdr>
                </w:div>
              </w:divsChild>
            </w:div>
            <w:div w:id="329214074">
              <w:marLeft w:val="0"/>
              <w:marRight w:val="0"/>
              <w:marTop w:val="0"/>
              <w:marBottom w:val="0"/>
              <w:divBdr>
                <w:top w:val="none" w:sz="0" w:space="0" w:color="auto"/>
                <w:left w:val="none" w:sz="0" w:space="0" w:color="auto"/>
                <w:bottom w:val="none" w:sz="0" w:space="0" w:color="auto"/>
                <w:right w:val="none" w:sz="0" w:space="0" w:color="auto"/>
              </w:divBdr>
              <w:divsChild>
                <w:div w:id="1927497770">
                  <w:marLeft w:val="0"/>
                  <w:marRight w:val="0"/>
                  <w:marTop w:val="0"/>
                  <w:marBottom w:val="0"/>
                  <w:divBdr>
                    <w:top w:val="none" w:sz="0" w:space="0" w:color="auto"/>
                    <w:left w:val="none" w:sz="0" w:space="0" w:color="auto"/>
                    <w:bottom w:val="none" w:sz="0" w:space="0" w:color="auto"/>
                    <w:right w:val="none" w:sz="0" w:space="0" w:color="auto"/>
                  </w:divBdr>
                </w:div>
              </w:divsChild>
            </w:div>
            <w:div w:id="121921781">
              <w:marLeft w:val="0"/>
              <w:marRight w:val="0"/>
              <w:marTop w:val="0"/>
              <w:marBottom w:val="0"/>
              <w:divBdr>
                <w:top w:val="none" w:sz="0" w:space="0" w:color="auto"/>
                <w:left w:val="none" w:sz="0" w:space="0" w:color="auto"/>
                <w:bottom w:val="none" w:sz="0" w:space="0" w:color="auto"/>
                <w:right w:val="none" w:sz="0" w:space="0" w:color="auto"/>
              </w:divBdr>
              <w:divsChild>
                <w:div w:id="675812941">
                  <w:marLeft w:val="0"/>
                  <w:marRight w:val="0"/>
                  <w:marTop w:val="0"/>
                  <w:marBottom w:val="0"/>
                  <w:divBdr>
                    <w:top w:val="none" w:sz="0" w:space="0" w:color="auto"/>
                    <w:left w:val="none" w:sz="0" w:space="0" w:color="auto"/>
                    <w:bottom w:val="none" w:sz="0" w:space="0" w:color="auto"/>
                    <w:right w:val="none" w:sz="0" w:space="0" w:color="auto"/>
                  </w:divBdr>
                </w:div>
              </w:divsChild>
            </w:div>
            <w:div w:id="2055692135">
              <w:marLeft w:val="0"/>
              <w:marRight w:val="0"/>
              <w:marTop w:val="0"/>
              <w:marBottom w:val="0"/>
              <w:divBdr>
                <w:top w:val="none" w:sz="0" w:space="0" w:color="auto"/>
                <w:left w:val="none" w:sz="0" w:space="0" w:color="auto"/>
                <w:bottom w:val="none" w:sz="0" w:space="0" w:color="auto"/>
                <w:right w:val="none" w:sz="0" w:space="0" w:color="auto"/>
              </w:divBdr>
              <w:divsChild>
                <w:div w:id="888997858">
                  <w:marLeft w:val="0"/>
                  <w:marRight w:val="0"/>
                  <w:marTop w:val="0"/>
                  <w:marBottom w:val="0"/>
                  <w:divBdr>
                    <w:top w:val="none" w:sz="0" w:space="0" w:color="auto"/>
                    <w:left w:val="none" w:sz="0" w:space="0" w:color="auto"/>
                    <w:bottom w:val="none" w:sz="0" w:space="0" w:color="auto"/>
                    <w:right w:val="none" w:sz="0" w:space="0" w:color="auto"/>
                  </w:divBdr>
                </w:div>
              </w:divsChild>
            </w:div>
            <w:div w:id="1367370817">
              <w:marLeft w:val="0"/>
              <w:marRight w:val="0"/>
              <w:marTop w:val="0"/>
              <w:marBottom w:val="0"/>
              <w:divBdr>
                <w:top w:val="none" w:sz="0" w:space="0" w:color="auto"/>
                <w:left w:val="none" w:sz="0" w:space="0" w:color="auto"/>
                <w:bottom w:val="none" w:sz="0" w:space="0" w:color="auto"/>
                <w:right w:val="none" w:sz="0" w:space="0" w:color="auto"/>
              </w:divBdr>
              <w:divsChild>
                <w:div w:id="5328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571">
          <w:marLeft w:val="0"/>
          <w:marRight w:val="0"/>
          <w:marTop w:val="0"/>
          <w:marBottom w:val="600"/>
          <w:divBdr>
            <w:top w:val="none" w:sz="0" w:space="0" w:color="auto"/>
            <w:left w:val="none" w:sz="0" w:space="0" w:color="auto"/>
            <w:bottom w:val="none" w:sz="0" w:space="0" w:color="auto"/>
            <w:right w:val="none" w:sz="0" w:space="0" w:color="auto"/>
          </w:divBdr>
        </w:div>
      </w:divsChild>
    </w:div>
    <w:div w:id="1641573346">
      <w:marLeft w:val="0"/>
      <w:marRight w:val="0"/>
      <w:marTop w:val="0"/>
      <w:marBottom w:val="0"/>
      <w:divBdr>
        <w:top w:val="none" w:sz="0" w:space="0" w:color="auto"/>
        <w:left w:val="none" w:sz="0" w:space="0" w:color="auto"/>
        <w:bottom w:val="none" w:sz="0" w:space="0" w:color="auto"/>
        <w:right w:val="none" w:sz="0" w:space="0" w:color="auto"/>
      </w:divBdr>
      <w:divsChild>
        <w:div w:id="657727010">
          <w:marLeft w:val="0"/>
          <w:marRight w:val="0"/>
          <w:marTop w:val="600"/>
          <w:marBottom w:val="0"/>
          <w:divBdr>
            <w:top w:val="none" w:sz="0" w:space="0" w:color="auto"/>
            <w:left w:val="none" w:sz="0" w:space="0" w:color="auto"/>
            <w:bottom w:val="none" w:sz="0" w:space="0" w:color="auto"/>
            <w:right w:val="none" w:sz="0" w:space="0" w:color="auto"/>
          </w:divBdr>
        </w:div>
        <w:div w:id="197863643">
          <w:marLeft w:val="0"/>
          <w:marRight w:val="0"/>
          <w:marTop w:val="0"/>
          <w:marBottom w:val="0"/>
          <w:divBdr>
            <w:top w:val="none" w:sz="0" w:space="0" w:color="auto"/>
            <w:left w:val="none" w:sz="0" w:space="0" w:color="auto"/>
            <w:bottom w:val="none" w:sz="0" w:space="0" w:color="auto"/>
            <w:right w:val="none" w:sz="0" w:space="0" w:color="auto"/>
          </w:divBdr>
        </w:div>
        <w:div w:id="1894073938">
          <w:marLeft w:val="0"/>
          <w:marRight w:val="0"/>
          <w:marTop w:val="0"/>
          <w:marBottom w:val="600"/>
          <w:divBdr>
            <w:top w:val="none" w:sz="0" w:space="0" w:color="auto"/>
            <w:left w:val="none" w:sz="0" w:space="0" w:color="auto"/>
            <w:bottom w:val="none" w:sz="0" w:space="0" w:color="auto"/>
            <w:right w:val="none" w:sz="0" w:space="0" w:color="auto"/>
          </w:divBdr>
        </w:div>
      </w:divsChild>
    </w:div>
    <w:div w:id="1647707551">
      <w:marLeft w:val="0"/>
      <w:marRight w:val="0"/>
      <w:marTop w:val="0"/>
      <w:marBottom w:val="0"/>
      <w:divBdr>
        <w:top w:val="none" w:sz="0" w:space="0" w:color="auto"/>
        <w:left w:val="none" w:sz="0" w:space="0" w:color="auto"/>
        <w:bottom w:val="none" w:sz="0" w:space="0" w:color="auto"/>
        <w:right w:val="none" w:sz="0" w:space="0" w:color="auto"/>
      </w:divBdr>
      <w:divsChild>
        <w:div w:id="1626229539">
          <w:marLeft w:val="0"/>
          <w:marRight w:val="0"/>
          <w:marTop w:val="600"/>
          <w:marBottom w:val="0"/>
          <w:divBdr>
            <w:top w:val="none" w:sz="0" w:space="0" w:color="auto"/>
            <w:left w:val="none" w:sz="0" w:space="0" w:color="auto"/>
            <w:bottom w:val="none" w:sz="0" w:space="0" w:color="auto"/>
            <w:right w:val="none" w:sz="0" w:space="0" w:color="auto"/>
          </w:divBdr>
        </w:div>
        <w:div w:id="393435284">
          <w:marLeft w:val="0"/>
          <w:marRight w:val="0"/>
          <w:marTop w:val="0"/>
          <w:marBottom w:val="0"/>
          <w:divBdr>
            <w:top w:val="none" w:sz="0" w:space="0" w:color="auto"/>
            <w:left w:val="none" w:sz="0" w:space="0" w:color="auto"/>
            <w:bottom w:val="none" w:sz="0" w:space="0" w:color="auto"/>
            <w:right w:val="none" w:sz="0" w:space="0" w:color="auto"/>
          </w:divBdr>
        </w:div>
        <w:div w:id="945771955">
          <w:marLeft w:val="0"/>
          <w:marRight w:val="0"/>
          <w:marTop w:val="0"/>
          <w:marBottom w:val="600"/>
          <w:divBdr>
            <w:top w:val="none" w:sz="0" w:space="0" w:color="auto"/>
            <w:left w:val="none" w:sz="0" w:space="0" w:color="auto"/>
            <w:bottom w:val="none" w:sz="0" w:space="0" w:color="auto"/>
            <w:right w:val="none" w:sz="0" w:space="0" w:color="auto"/>
          </w:divBdr>
        </w:div>
      </w:divsChild>
    </w:div>
    <w:div w:id="1670524843">
      <w:marLeft w:val="0"/>
      <w:marRight w:val="0"/>
      <w:marTop w:val="0"/>
      <w:marBottom w:val="0"/>
      <w:divBdr>
        <w:top w:val="none" w:sz="0" w:space="0" w:color="auto"/>
        <w:left w:val="none" w:sz="0" w:space="0" w:color="auto"/>
        <w:bottom w:val="none" w:sz="0" w:space="0" w:color="auto"/>
        <w:right w:val="none" w:sz="0" w:space="0" w:color="auto"/>
      </w:divBdr>
      <w:divsChild>
        <w:div w:id="1101146496">
          <w:marLeft w:val="0"/>
          <w:marRight w:val="0"/>
          <w:marTop w:val="600"/>
          <w:marBottom w:val="0"/>
          <w:divBdr>
            <w:top w:val="none" w:sz="0" w:space="0" w:color="auto"/>
            <w:left w:val="none" w:sz="0" w:space="0" w:color="auto"/>
            <w:bottom w:val="none" w:sz="0" w:space="0" w:color="auto"/>
            <w:right w:val="none" w:sz="0" w:space="0" w:color="auto"/>
          </w:divBdr>
        </w:div>
        <w:div w:id="852497601">
          <w:marLeft w:val="0"/>
          <w:marRight w:val="0"/>
          <w:marTop w:val="0"/>
          <w:marBottom w:val="0"/>
          <w:divBdr>
            <w:top w:val="none" w:sz="0" w:space="0" w:color="auto"/>
            <w:left w:val="none" w:sz="0" w:space="0" w:color="auto"/>
            <w:bottom w:val="none" w:sz="0" w:space="0" w:color="auto"/>
            <w:right w:val="none" w:sz="0" w:space="0" w:color="auto"/>
          </w:divBdr>
        </w:div>
        <w:div w:id="1293825070">
          <w:marLeft w:val="0"/>
          <w:marRight w:val="0"/>
          <w:marTop w:val="0"/>
          <w:marBottom w:val="600"/>
          <w:divBdr>
            <w:top w:val="none" w:sz="0" w:space="0" w:color="auto"/>
            <w:left w:val="none" w:sz="0" w:space="0" w:color="auto"/>
            <w:bottom w:val="none" w:sz="0" w:space="0" w:color="auto"/>
            <w:right w:val="none" w:sz="0" w:space="0" w:color="auto"/>
          </w:divBdr>
        </w:div>
      </w:divsChild>
    </w:div>
    <w:div w:id="1676029892">
      <w:marLeft w:val="0"/>
      <w:marRight w:val="0"/>
      <w:marTop w:val="0"/>
      <w:marBottom w:val="0"/>
      <w:divBdr>
        <w:top w:val="none" w:sz="0" w:space="0" w:color="auto"/>
        <w:left w:val="none" w:sz="0" w:space="0" w:color="auto"/>
        <w:bottom w:val="none" w:sz="0" w:space="0" w:color="auto"/>
        <w:right w:val="none" w:sz="0" w:space="0" w:color="auto"/>
      </w:divBdr>
      <w:divsChild>
        <w:div w:id="420562991">
          <w:marLeft w:val="0"/>
          <w:marRight w:val="0"/>
          <w:marTop w:val="600"/>
          <w:marBottom w:val="0"/>
          <w:divBdr>
            <w:top w:val="none" w:sz="0" w:space="0" w:color="auto"/>
            <w:left w:val="none" w:sz="0" w:space="0" w:color="auto"/>
            <w:bottom w:val="none" w:sz="0" w:space="0" w:color="auto"/>
            <w:right w:val="none" w:sz="0" w:space="0" w:color="auto"/>
          </w:divBdr>
        </w:div>
        <w:div w:id="1379014970">
          <w:marLeft w:val="0"/>
          <w:marRight w:val="0"/>
          <w:marTop w:val="0"/>
          <w:marBottom w:val="0"/>
          <w:divBdr>
            <w:top w:val="none" w:sz="0" w:space="0" w:color="auto"/>
            <w:left w:val="none" w:sz="0" w:space="0" w:color="auto"/>
            <w:bottom w:val="none" w:sz="0" w:space="0" w:color="auto"/>
            <w:right w:val="none" w:sz="0" w:space="0" w:color="auto"/>
          </w:divBdr>
        </w:div>
        <w:div w:id="1353144502">
          <w:marLeft w:val="0"/>
          <w:marRight w:val="0"/>
          <w:marTop w:val="0"/>
          <w:marBottom w:val="600"/>
          <w:divBdr>
            <w:top w:val="none" w:sz="0" w:space="0" w:color="auto"/>
            <w:left w:val="none" w:sz="0" w:space="0" w:color="auto"/>
            <w:bottom w:val="none" w:sz="0" w:space="0" w:color="auto"/>
            <w:right w:val="none" w:sz="0" w:space="0" w:color="auto"/>
          </w:divBdr>
        </w:div>
      </w:divsChild>
    </w:div>
    <w:div w:id="1701934338">
      <w:marLeft w:val="0"/>
      <w:marRight w:val="0"/>
      <w:marTop w:val="0"/>
      <w:marBottom w:val="0"/>
      <w:divBdr>
        <w:top w:val="none" w:sz="0" w:space="0" w:color="auto"/>
        <w:left w:val="none" w:sz="0" w:space="0" w:color="auto"/>
        <w:bottom w:val="none" w:sz="0" w:space="0" w:color="auto"/>
        <w:right w:val="none" w:sz="0" w:space="0" w:color="auto"/>
      </w:divBdr>
      <w:divsChild>
        <w:div w:id="1165391412">
          <w:marLeft w:val="0"/>
          <w:marRight w:val="0"/>
          <w:marTop w:val="600"/>
          <w:marBottom w:val="0"/>
          <w:divBdr>
            <w:top w:val="none" w:sz="0" w:space="0" w:color="auto"/>
            <w:left w:val="none" w:sz="0" w:space="0" w:color="auto"/>
            <w:bottom w:val="none" w:sz="0" w:space="0" w:color="auto"/>
            <w:right w:val="none" w:sz="0" w:space="0" w:color="auto"/>
          </w:divBdr>
        </w:div>
        <w:div w:id="1165508185">
          <w:marLeft w:val="0"/>
          <w:marRight w:val="0"/>
          <w:marTop w:val="0"/>
          <w:marBottom w:val="0"/>
          <w:divBdr>
            <w:top w:val="none" w:sz="0" w:space="0" w:color="auto"/>
            <w:left w:val="none" w:sz="0" w:space="0" w:color="auto"/>
            <w:bottom w:val="none" w:sz="0" w:space="0" w:color="auto"/>
            <w:right w:val="none" w:sz="0" w:space="0" w:color="auto"/>
          </w:divBdr>
        </w:div>
        <w:div w:id="1988364938">
          <w:marLeft w:val="0"/>
          <w:marRight w:val="0"/>
          <w:marTop w:val="0"/>
          <w:marBottom w:val="600"/>
          <w:divBdr>
            <w:top w:val="none" w:sz="0" w:space="0" w:color="auto"/>
            <w:left w:val="none" w:sz="0" w:space="0" w:color="auto"/>
            <w:bottom w:val="none" w:sz="0" w:space="0" w:color="auto"/>
            <w:right w:val="none" w:sz="0" w:space="0" w:color="auto"/>
          </w:divBdr>
        </w:div>
      </w:divsChild>
    </w:div>
    <w:div w:id="1718624593">
      <w:marLeft w:val="0"/>
      <w:marRight w:val="0"/>
      <w:marTop w:val="0"/>
      <w:marBottom w:val="0"/>
      <w:divBdr>
        <w:top w:val="none" w:sz="0" w:space="0" w:color="auto"/>
        <w:left w:val="none" w:sz="0" w:space="0" w:color="auto"/>
        <w:bottom w:val="none" w:sz="0" w:space="0" w:color="auto"/>
        <w:right w:val="none" w:sz="0" w:space="0" w:color="auto"/>
      </w:divBdr>
      <w:divsChild>
        <w:div w:id="555166753">
          <w:marLeft w:val="0"/>
          <w:marRight w:val="0"/>
          <w:marTop w:val="600"/>
          <w:marBottom w:val="0"/>
          <w:divBdr>
            <w:top w:val="none" w:sz="0" w:space="0" w:color="auto"/>
            <w:left w:val="none" w:sz="0" w:space="0" w:color="auto"/>
            <w:bottom w:val="none" w:sz="0" w:space="0" w:color="auto"/>
            <w:right w:val="none" w:sz="0" w:space="0" w:color="auto"/>
          </w:divBdr>
        </w:div>
        <w:div w:id="1927567810">
          <w:marLeft w:val="0"/>
          <w:marRight w:val="0"/>
          <w:marTop w:val="0"/>
          <w:marBottom w:val="0"/>
          <w:divBdr>
            <w:top w:val="none" w:sz="0" w:space="0" w:color="auto"/>
            <w:left w:val="none" w:sz="0" w:space="0" w:color="auto"/>
            <w:bottom w:val="none" w:sz="0" w:space="0" w:color="auto"/>
            <w:right w:val="none" w:sz="0" w:space="0" w:color="auto"/>
          </w:divBdr>
        </w:div>
        <w:div w:id="2027095950">
          <w:marLeft w:val="0"/>
          <w:marRight w:val="0"/>
          <w:marTop w:val="0"/>
          <w:marBottom w:val="600"/>
          <w:divBdr>
            <w:top w:val="none" w:sz="0" w:space="0" w:color="auto"/>
            <w:left w:val="none" w:sz="0" w:space="0" w:color="auto"/>
            <w:bottom w:val="none" w:sz="0" w:space="0" w:color="auto"/>
            <w:right w:val="none" w:sz="0" w:space="0" w:color="auto"/>
          </w:divBdr>
        </w:div>
      </w:divsChild>
    </w:div>
    <w:div w:id="1733845133">
      <w:marLeft w:val="0"/>
      <w:marRight w:val="0"/>
      <w:marTop w:val="0"/>
      <w:marBottom w:val="0"/>
      <w:divBdr>
        <w:top w:val="none" w:sz="0" w:space="0" w:color="auto"/>
        <w:left w:val="none" w:sz="0" w:space="0" w:color="auto"/>
        <w:bottom w:val="none" w:sz="0" w:space="0" w:color="auto"/>
        <w:right w:val="none" w:sz="0" w:space="0" w:color="auto"/>
      </w:divBdr>
      <w:divsChild>
        <w:div w:id="1233999807">
          <w:marLeft w:val="0"/>
          <w:marRight w:val="0"/>
          <w:marTop w:val="600"/>
          <w:marBottom w:val="0"/>
          <w:divBdr>
            <w:top w:val="none" w:sz="0" w:space="0" w:color="auto"/>
            <w:left w:val="none" w:sz="0" w:space="0" w:color="auto"/>
            <w:bottom w:val="none" w:sz="0" w:space="0" w:color="auto"/>
            <w:right w:val="none" w:sz="0" w:space="0" w:color="auto"/>
          </w:divBdr>
        </w:div>
        <w:div w:id="1808742163">
          <w:marLeft w:val="0"/>
          <w:marRight w:val="0"/>
          <w:marTop w:val="0"/>
          <w:marBottom w:val="0"/>
          <w:divBdr>
            <w:top w:val="none" w:sz="0" w:space="0" w:color="auto"/>
            <w:left w:val="none" w:sz="0" w:space="0" w:color="auto"/>
            <w:bottom w:val="none" w:sz="0" w:space="0" w:color="auto"/>
            <w:right w:val="none" w:sz="0" w:space="0" w:color="auto"/>
          </w:divBdr>
        </w:div>
        <w:div w:id="1508212494">
          <w:marLeft w:val="0"/>
          <w:marRight w:val="0"/>
          <w:marTop w:val="0"/>
          <w:marBottom w:val="600"/>
          <w:divBdr>
            <w:top w:val="none" w:sz="0" w:space="0" w:color="auto"/>
            <w:left w:val="none" w:sz="0" w:space="0" w:color="auto"/>
            <w:bottom w:val="none" w:sz="0" w:space="0" w:color="auto"/>
            <w:right w:val="none" w:sz="0" w:space="0" w:color="auto"/>
          </w:divBdr>
        </w:div>
      </w:divsChild>
    </w:div>
    <w:div w:id="1773864301">
      <w:marLeft w:val="0"/>
      <w:marRight w:val="0"/>
      <w:marTop w:val="0"/>
      <w:marBottom w:val="0"/>
      <w:divBdr>
        <w:top w:val="none" w:sz="0" w:space="0" w:color="auto"/>
        <w:left w:val="none" w:sz="0" w:space="0" w:color="auto"/>
        <w:bottom w:val="none" w:sz="0" w:space="0" w:color="auto"/>
        <w:right w:val="none" w:sz="0" w:space="0" w:color="auto"/>
      </w:divBdr>
      <w:divsChild>
        <w:div w:id="1550338862">
          <w:marLeft w:val="0"/>
          <w:marRight w:val="0"/>
          <w:marTop w:val="600"/>
          <w:marBottom w:val="0"/>
          <w:divBdr>
            <w:top w:val="none" w:sz="0" w:space="0" w:color="auto"/>
            <w:left w:val="none" w:sz="0" w:space="0" w:color="auto"/>
            <w:bottom w:val="none" w:sz="0" w:space="0" w:color="auto"/>
            <w:right w:val="none" w:sz="0" w:space="0" w:color="auto"/>
          </w:divBdr>
        </w:div>
        <w:div w:id="2137523006">
          <w:marLeft w:val="0"/>
          <w:marRight w:val="0"/>
          <w:marTop w:val="0"/>
          <w:marBottom w:val="0"/>
          <w:divBdr>
            <w:top w:val="none" w:sz="0" w:space="0" w:color="auto"/>
            <w:left w:val="none" w:sz="0" w:space="0" w:color="auto"/>
            <w:bottom w:val="none" w:sz="0" w:space="0" w:color="auto"/>
            <w:right w:val="none" w:sz="0" w:space="0" w:color="auto"/>
          </w:divBdr>
          <w:divsChild>
            <w:div w:id="1189761322">
              <w:marLeft w:val="547"/>
              <w:marRight w:val="0"/>
              <w:marTop w:val="0"/>
              <w:marBottom w:val="0"/>
              <w:divBdr>
                <w:top w:val="none" w:sz="0" w:space="0" w:color="auto"/>
                <w:left w:val="none" w:sz="0" w:space="0" w:color="auto"/>
                <w:bottom w:val="none" w:sz="0" w:space="0" w:color="auto"/>
                <w:right w:val="none" w:sz="0" w:space="0" w:color="auto"/>
              </w:divBdr>
            </w:div>
            <w:div w:id="1546527810">
              <w:marLeft w:val="547"/>
              <w:marRight w:val="0"/>
              <w:marTop w:val="0"/>
              <w:marBottom w:val="0"/>
              <w:divBdr>
                <w:top w:val="none" w:sz="0" w:space="0" w:color="auto"/>
                <w:left w:val="none" w:sz="0" w:space="0" w:color="auto"/>
                <w:bottom w:val="none" w:sz="0" w:space="0" w:color="auto"/>
                <w:right w:val="none" w:sz="0" w:space="0" w:color="auto"/>
              </w:divBdr>
            </w:div>
            <w:div w:id="2039158517">
              <w:marLeft w:val="547"/>
              <w:marRight w:val="0"/>
              <w:marTop w:val="0"/>
              <w:marBottom w:val="0"/>
              <w:divBdr>
                <w:top w:val="none" w:sz="0" w:space="0" w:color="auto"/>
                <w:left w:val="none" w:sz="0" w:space="0" w:color="auto"/>
                <w:bottom w:val="none" w:sz="0" w:space="0" w:color="auto"/>
                <w:right w:val="none" w:sz="0" w:space="0" w:color="auto"/>
              </w:divBdr>
            </w:div>
            <w:div w:id="1013800761">
              <w:marLeft w:val="547"/>
              <w:marRight w:val="0"/>
              <w:marTop w:val="0"/>
              <w:marBottom w:val="0"/>
              <w:divBdr>
                <w:top w:val="none" w:sz="0" w:space="0" w:color="auto"/>
                <w:left w:val="none" w:sz="0" w:space="0" w:color="auto"/>
                <w:bottom w:val="none" w:sz="0" w:space="0" w:color="auto"/>
                <w:right w:val="none" w:sz="0" w:space="0" w:color="auto"/>
              </w:divBdr>
            </w:div>
            <w:div w:id="1123841603">
              <w:marLeft w:val="547"/>
              <w:marRight w:val="0"/>
              <w:marTop w:val="0"/>
              <w:marBottom w:val="0"/>
              <w:divBdr>
                <w:top w:val="none" w:sz="0" w:space="0" w:color="auto"/>
                <w:left w:val="none" w:sz="0" w:space="0" w:color="auto"/>
                <w:bottom w:val="none" w:sz="0" w:space="0" w:color="auto"/>
                <w:right w:val="none" w:sz="0" w:space="0" w:color="auto"/>
              </w:divBdr>
            </w:div>
            <w:div w:id="182792798">
              <w:marLeft w:val="547"/>
              <w:marRight w:val="0"/>
              <w:marTop w:val="0"/>
              <w:marBottom w:val="0"/>
              <w:divBdr>
                <w:top w:val="none" w:sz="0" w:space="0" w:color="auto"/>
                <w:left w:val="none" w:sz="0" w:space="0" w:color="auto"/>
                <w:bottom w:val="none" w:sz="0" w:space="0" w:color="auto"/>
                <w:right w:val="none" w:sz="0" w:space="0" w:color="auto"/>
              </w:divBdr>
            </w:div>
            <w:div w:id="1755784030">
              <w:marLeft w:val="547"/>
              <w:marRight w:val="0"/>
              <w:marTop w:val="0"/>
              <w:marBottom w:val="0"/>
              <w:divBdr>
                <w:top w:val="none" w:sz="0" w:space="0" w:color="auto"/>
                <w:left w:val="none" w:sz="0" w:space="0" w:color="auto"/>
                <w:bottom w:val="none" w:sz="0" w:space="0" w:color="auto"/>
                <w:right w:val="none" w:sz="0" w:space="0" w:color="auto"/>
              </w:divBdr>
            </w:div>
            <w:div w:id="1629967440">
              <w:marLeft w:val="547"/>
              <w:marRight w:val="0"/>
              <w:marTop w:val="0"/>
              <w:marBottom w:val="0"/>
              <w:divBdr>
                <w:top w:val="none" w:sz="0" w:space="0" w:color="auto"/>
                <w:left w:val="none" w:sz="0" w:space="0" w:color="auto"/>
                <w:bottom w:val="none" w:sz="0" w:space="0" w:color="auto"/>
                <w:right w:val="none" w:sz="0" w:space="0" w:color="auto"/>
              </w:divBdr>
            </w:div>
            <w:div w:id="831717565">
              <w:marLeft w:val="547"/>
              <w:marRight w:val="0"/>
              <w:marTop w:val="0"/>
              <w:marBottom w:val="0"/>
              <w:divBdr>
                <w:top w:val="none" w:sz="0" w:space="0" w:color="auto"/>
                <w:left w:val="none" w:sz="0" w:space="0" w:color="auto"/>
                <w:bottom w:val="none" w:sz="0" w:space="0" w:color="auto"/>
                <w:right w:val="none" w:sz="0" w:space="0" w:color="auto"/>
              </w:divBdr>
            </w:div>
            <w:div w:id="1738893935">
              <w:marLeft w:val="547"/>
              <w:marRight w:val="0"/>
              <w:marTop w:val="0"/>
              <w:marBottom w:val="0"/>
              <w:divBdr>
                <w:top w:val="none" w:sz="0" w:space="0" w:color="auto"/>
                <w:left w:val="none" w:sz="0" w:space="0" w:color="auto"/>
                <w:bottom w:val="none" w:sz="0" w:space="0" w:color="auto"/>
                <w:right w:val="none" w:sz="0" w:space="0" w:color="auto"/>
              </w:divBdr>
            </w:div>
            <w:div w:id="1416589857">
              <w:marLeft w:val="547"/>
              <w:marRight w:val="0"/>
              <w:marTop w:val="0"/>
              <w:marBottom w:val="0"/>
              <w:divBdr>
                <w:top w:val="none" w:sz="0" w:space="0" w:color="auto"/>
                <w:left w:val="none" w:sz="0" w:space="0" w:color="auto"/>
                <w:bottom w:val="none" w:sz="0" w:space="0" w:color="auto"/>
                <w:right w:val="none" w:sz="0" w:space="0" w:color="auto"/>
              </w:divBdr>
            </w:div>
            <w:div w:id="221992286">
              <w:marLeft w:val="547"/>
              <w:marRight w:val="0"/>
              <w:marTop w:val="0"/>
              <w:marBottom w:val="0"/>
              <w:divBdr>
                <w:top w:val="none" w:sz="0" w:space="0" w:color="auto"/>
                <w:left w:val="none" w:sz="0" w:space="0" w:color="auto"/>
                <w:bottom w:val="none" w:sz="0" w:space="0" w:color="auto"/>
                <w:right w:val="none" w:sz="0" w:space="0" w:color="auto"/>
              </w:divBdr>
            </w:div>
            <w:div w:id="369304061">
              <w:marLeft w:val="547"/>
              <w:marRight w:val="0"/>
              <w:marTop w:val="0"/>
              <w:marBottom w:val="0"/>
              <w:divBdr>
                <w:top w:val="none" w:sz="0" w:space="0" w:color="auto"/>
                <w:left w:val="none" w:sz="0" w:space="0" w:color="auto"/>
                <w:bottom w:val="none" w:sz="0" w:space="0" w:color="auto"/>
                <w:right w:val="none" w:sz="0" w:space="0" w:color="auto"/>
              </w:divBdr>
            </w:div>
          </w:divsChild>
        </w:div>
        <w:div w:id="2029327628">
          <w:marLeft w:val="0"/>
          <w:marRight w:val="0"/>
          <w:marTop w:val="0"/>
          <w:marBottom w:val="600"/>
          <w:divBdr>
            <w:top w:val="none" w:sz="0" w:space="0" w:color="auto"/>
            <w:left w:val="none" w:sz="0" w:space="0" w:color="auto"/>
            <w:bottom w:val="none" w:sz="0" w:space="0" w:color="auto"/>
            <w:right w:val="none" w:sz="0" w:space="0" w:color="auto"/>
          </w:divBdr>
        </w:div>
      </w:divsChild>
    </w:div>
    <w:div w:id="1781953536">
      <w:marLeft w:val="0"/>
      <w:marRight w:val="0"/>
      <w:marTop w:val="0"/>
      <w:marBottom w:val="0"/>
      <w:divBdr>
        <w:top w:val="none" w:sz="0" w:space="0" w:color="auto"/>
        <w:left w:val="none" w:sz="0" w:space="0" w:color="auto"/>
        <w:bottom w:val="none" w:sz="0" w:space="0" w:color="auto"/>
        <w:right w:val="none" w:sz="0" w:space="0" w:color="auto"/>
      </w:divBdr>
      <w:divsChild>
        <w:div w:id="211037352">
          <w:marLeft w:val="0"/>
          <w:marRight w:val="0"/>
          <w:marTop w:val="600"/>
          <w:marBottom w:val="0"/>
          <w:divBdr>
            <w:top w:val="none" w:sz="0" w:space="0" w:color="auto"/>
            <w:left w:val="none" w:sz="0" w:space="0" w:color="auto"/>
            <w:bottom w:val="none" w:sz="0" w:space="0" w:color="auto"/>
            <w:right w:val="none" w:sz="0" w:space="0" w:color="auto"/>
          </w:divBdr>
        </w:div>
        <w:div w:id="487139099">
          <w:marLeft w:val="0"/>
          <w:marRight w:val="0"/>
          <w:marTop w:val="0"/>
          <w:marBottom w:val="0"/>
          <w:divBdr>
            <w:top w:val="none" w:sz="0" w:space="0" w:color="auto"/>
            <w:left w:val="none" w:sz="0" w:space="0" w:color="auto"/>
            <w:bottom w:val="none" w:sz="0" w:space="0" w:color="auto"/>
            <w:right w:val="none" w:sz="0" w:space="0" w:color="auto"/>
          </w:divBdr>
          <w:divsChild>
            <w:div w:id="893547292">
              <w:marLeft w:val="0"/>
              <w:marRight w:val="0"/>
              <w:marTop w:val="0"/>
              <w:marBottom w:val="0"/>
              <w:divBdr>
                <w:top w:val="none" w:sz="0" w:space="0" w:color="auto"/>
                <w:left w:val="none" w:sz="0" w:space="0" w:color="auto"/>
                <w:bottom w:val="none" w:sz="0" w:space="0" w:color="auto"/>
                <w:right w:val="none" w:sz="0" w:space="0" w:color="auto"/>
              </w:divBdr>
              <w:divsChild>
                <w:div w:id="1335255395">
                  <w:marLeft w:val="0"/>
                  <w:marRight w:val="0"/>
                  <w:marTop w:val="0"/>
                  <w:marBottom w:val="0"/>
                  <w:divBdr>
                    <w:top w:val="none" w:sz="0" w:space="0" w:color="auto"/>
                    <w:left w:val="none" w:sz="0" w:space="0" w:color="auto"/>
                    <w:bottom w:val="none" w:sz="0" w:space="0" w:color="auto"/>
                    <w:right w:val="none" w:sz="0" w:space="0" w:color="auto"/>
                  </w:divBdr>
                </w:div>
              </w:divsChild>
            </w:div>
            <w:div w:id="421147991">
              <w:marLeft w:val="0"/>
              <w:marRight w:val="0"/>
              <w:marTop w:val="0"/>
              <w:marBottom w:val="0"/>
              <w:divBdr>
                <w:top w:val="none" w:sz="0" w:space="0" w:color="auto"/>
                <w:left w:val="none" w:sz="0" w:space="0" w:color="auto"/>
                <w:bottom w:val="none" w:sz="0" w:space="0" w:color="auto"/>
                <w:right w:val="none" w:sz="0" w:space="0" w:color="auto"/>
              </w:divBdr>
              <w:divsChild>
                <w:div w:id="866522341">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sChild>
                <w:div w:id="1931618343">
                  <w:marLeft w:val="0"/>
                  <w:marRight w:val="0"/>
                  <w:marTop w:val="0"/>
                  <w:marBottom w:val="0"/>
                  <w:divBdr>
                    <w:top w:val="none" w:sz="0" w:space="0" w:color="auto"/>
                    <w:left w:val="none" w:sz="0" w:space="0" w:color="auto"/>
                    <w:bottom w:val="none" w:sz="0" w:space="0" w:color="auto"/>
                    <w:right w:val="none" w:sz="0" w:space="0" w:color="auto"/>
                  </w:divBdr>
                </w:div>
              </w:divsChild>
            </w:div>
            <w:div w:id="2071076810">
              <w:marLeft w:val="0"/>
              <w:marRight w:val="0"/>
              <w:marTop w:val="0"/>
              <w:marBottom w:val="0"/>
              <w:divBdr>
                <w:top w:val="none" w:sz="0" w:space="0" w:color="auto"/>
                <w:left w:val="none" w:sz="0" w:space="0" w:color="auto"/>
                <w:bottom w:val="none" w:sz="0" w:space="0" w:color="auto"/>
                <w:right w:val="none" w:sz="0" w:space="0" w:color="auto"/>
              </w:divBdr>
              <w:divsChild>
                <w:div w:id="306279378">
                  <w:marLeft w:val="0"/>
                  <w:marRight w:val="0"/>
                  <w:marTop w:val="0"/>
                  <w:marBottom w:val="0"/>
                  <w:divBdr>
                    <w:top w:val="none" w:sz="0" w:space="0" w:color="auto"/>
                    <w:left w:val="none" w:sz="0" w:space="0" w:color="auto"/>
                    <w:bottom w:val="none" w:sz="0" w:space="0" w:color="auto"/>
                    <w:right w:val="none" w:sz="0" w:space="0" w:color="auto"/>
                  </w:divBdr>
                </w:div>
              </w:divsChild>
            </w:div>
            <w:div w:id="1397319103">
              <w:marLeft w:val="0"/>
              <w:marRight w:val="0"/>
              <w:marTop w:val="0"/>
              <w:marBottom w:val="0"/>
              <w:divBdr>
                <w:top w:val="none" w:sz="0" w:space="0" w:color="auto"/>
                <w:left w:val="none" w:sz="0" w:space="0" w:color="auto"/>
                <w:bottom w:val="none" w:sz="0" w:space="0" w:color="auto"/>
                <w:right w:val="none" w:sz="0" w:space="0" w:color="auto"/>
              </w:divBdr>
              <w:divsChild>
                <w:div w:id="696664027">
                  <w:marLeft w:val="0"/>
                  <w:marRight w:val="0"/>
                  <w:marTop w:val="0"/>
                  <w:marBottom w:val="0"/>
                  <w:divBdr>
                    <w:top w:val="none" w:sz="0" w:space="0" w:color="auto"/>
                    <w:left w:val="none" w:sz="0" w:space="0" w:color="auto"/>
                    <w:bottom w:val="none" w:sz="0" w:space="0" w:color="auto"/>
                    <w:right w:val="none" w:sz="0" w:space="0" w:color="auto"/>
                  </w:divBdr>
                </w:div>
              </w:divsChild>
            </w:div>
            <w:div w:id="1386905341">
              <w:marLeft w:val="0"/>
              <w:marRight w:val="0"/>
              <w:marTop w:val="0"/>
              <w:marBottom w:val="0"/>
              <w:divBdr>
                <w:top w:val="none" w:sz="0" w:space="0" w:color="auto"/>
                <w:left w:val="none" w:sz="0" w:space="0" w:color="auto"/>
                <w:bottom w:val="none" w:sz="0" w:space="0" w:color="auto"/>
                <w:right w:val="none" w:sz="0" w:space="0" w:color="auto"/>
              </w:divBdr>
              <w:divsChild>
                <w:div w:id="1898204921">
                  <w:marLeft w:val="0"/>
                  <w:marRight w:val="0"/>
                  <w:marTop w:val="0"/>
                  <w:marBottom w:val="0"/>
                  <w:divBdr>
                    <w:top w:val="none" w:sz="0" w:space="0" w:color="auto"/>
                    <w:left w:val="none" w:sz="0" w:space="0" w:color="auto"/>
                    <w:bottom w:val="none" w:sz="0" w:space="0" w:color="auto"/>
                    <w:right w:val="none" w:sz="0" w:space="0" w:color="auto"/>
                  </w:divBdr>
                </w:div>
              </w:divsChild>
            </w:div>
            <w:div w:id="29770958">
              <w:marLeft w:val="0"/>
              <w:marRight w:val="0"/>
              <w:marTop w:val="0"/>
              <w:marBottom w:val="0"/>
              <w:divBdr>
                <w:top w:val="none" w:sz="0" w:space="0" w:color="auto"/>
                <w:left w:val="none" w:sz="0" w:space="0" w:color="auto"/>
                <w:bottom w:val="none" w:sz="0" w:space="0" w:color="auto"/>
                <w:right w:val="none" w:sz="0" w:space="0" w:color="auto"/>
              </w:divBdr>
              <w:divsChild>
                <w:div w:id="1317876222">
                  <w:marLeft w:val="0"/>
                  <w:marRight w:val="0"/>
                  <w:marTop w:val="0"/>
                  <w:marBottom w:val="0"/>
                  <w:divBdr>
                    <w:top w:val="none" w:sz="0" w:space="0" w:color="auto"/>
                    <w:left w:val="none" w:sz="0" w:space="0" w:color="auto"/>
                    <w:bottom w:val="none" w:sz="0" w:space="0" w:color="auto"/>
                    <w:right w:val="none" w:sz="0" w:space="0" w:color="auto"/>
                  </w:divBdr>
                </w:div>
              </w:divsChild>
            </w:div>
            <w:div w:id="1460614465">
              <w:marLeft w:val="0"/>
              <w:marRight w:val="0"/>
              <w:marTop w:val="0"/>
              <w:marBottom w:val="0"/>
              <w:divBdr>
                <w:top w:val="none" w:sz="0" w:space="0" w:color="auto"/>
                <w:left w:val="none" w:sz="0" w:space="0" w:color="auto"/>
                <w:bottom w:val="none" w:sz="0" w:space="0" w:color="auto"/>
                <w:right w:val="none" w:sz="0" w:space="0" w:color="auto"/>
              </w:divBdr>
              <w:divsChild>
                <w:div w:id="981156450">
                  <w:marLeft w:val="0"/>
                  <w:marRight w:val="0"/>
                  <w:marTop w:val="0"/>
                  <w:marBottom w:val="0"/>
                  <w:divBdr>
                    <w:top w:val="none" w:sz="0" w:space="0" w:color="auto"/>
                    <w:left w:val="none" w:sz="0" w:space="0" w:color="auto"/>
                    <w:bottom w:val="none" w:sz="0" w:space="0" w:color="auto"/>
                    <w:right w:val="none" w:sz="0" w:space="0" w:color="auto"/>
                  </w:divBdr>
                </w:div>
              </w:divsChild>
            </w:div>
            <w:div w:id="94448573">
              <w:marLeft w:val="0"/>
              <w:marRight w:val="0"/>
              <w:marTop w:val="0"/>
              <w:marBottom w:val="0"/>
              <w:divBdr>
                <w:top w:val="none" w:sz="0" w:space="0" w:color="auto"/>
                <w:left w:val="none" w:sz="0" w:space="0" w:color="auto"/>
                <w:bottom w:val="none" w:sz="0" w:space="0" w:color="auto"/>
                <w:right w:val="none" w:sz="0" w:space="0" w:color="auto"/>
              </w:divBdr>
              <w:divsChild>
                <w:div w:id="337002230">
                  <w:marLeft w:val="0"/>
                  <w:marRight w:val="0"/>
                  <w:marTop w:val="0"/>
                  <w:marBottom w:val="0"/>
                  <w:divBdr>
                    <w:top w:val="none" w:sz="0" w:space="0" w:color="auto"/>
                    <w:left w:val="none" w:sz="0" w:space="0" w:color="auto"/>
                    <w:bottom w:val="none" w:sz="0" w:space="0" w:color="auto"/>
                    <w:right w:val="none" w:sz="0" w:space="0" w:color="auto"/>
                  </w:divBdr>
                </w:div>
              </w:divsChild>
            </w:div>
            <w:div w:id="545878165">
              <w:marLeft w:val="0"/>
              <w:marRight w:val="0"/>
              <w:marTop w:val="0"/>
              <w:marBottom w:val="0"/>
              <w:divBdr>
                <w:top w:val="none" w:sz="0" w:space="0" w:color="auto"/>
                <w:left w:val="none" w:sz="0" w:space="0" w:color="auto"/>
                <w:bottom w:val="none" w:sz="0" w:space="0" w:color="auto"/>
                <w:right w:val="none" w:sz="0" w:space="0" w:color="auto"/>
              </w:divBdr>
              <w:divsChild>
                <w:div w:id="20529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0730">
          <w:marLeft w:val="0"/>
          <w:marRight w:val="0"/>
          <w:marTop w:val="0"/>
          <w:marBottom w:val="600"/>
          <w:divBdr>
            <w:top w:val="none" w:sz="0" w:space="0" w:color="auto"/>
            <w:left w:val="none" w:sz="0" w:space="0" w:color="auto"/>
            <w:bottom w:val="none" w:sz="0" w:space="0" w:color="auto"/>
            <w:right w:val="none" w:sz="0" w:space="0" w:color="auto"/>
          </w:divBdr>
        </w:div>
      </w:divsChild>
    </w:div>
    <w:div w:id="1799108555">
      <w:marLeft w:val="0"/>
      <w:marRight w:val="0"/>
      <w:marTop w:val="0"/>
      <w:marBottom w:val="0"/>
      <w:divBdr>
        <w:top w:val="none" w:sz="0" w:space="0" w:color="auto"/>
        <w:left w:val="none" w:sz="0" w:space="0" w:color="auto"/>
        <w:bottom w:val="none" w:sz="0" w:space="0" w:color="auto"/>
        <w:right w:val="none" w:sz="0" w:space="0" w:color="auto"/>
      </w:divBdr>
      <w:divsChild>
        <w:div w:id="1769739412">
          <w:marLeft w:val="0"/>
          <w:marRight w:val="0"/>
          <w:marTop w:val="600"/>
          <w:marBottom w:val="0"/>
          <w:divBdr>
            <w:top w:val="none" w:sz="0" w:space="0" w:color="auto"/>
            <w:left w:val="none" w:sz="0" w:space="0" w:color="auto"/>
            <w:bottom w:val="none" w:sz="0" w:space="0" w:color="auto"/>
            <w:right w:val="none" w:sz="0" w:space="0" w:color="auto"/>
          </w:divBdr>
        </w:div>
        <w:div w:id="1923950934">
          <w:marLeft w:val="0"/>
          <w:marRight w:val="0"/>
          <w:marTop w:val="0"/>
          <w:marBottom w:val="0"/>
          <w:divBdr>
            <w:top w:val="none" w:sz="0" w:space="0" w:color="auto"/>
            <w:left w:val="none" w:sz="0" w:space="0" w:color="auto"/>
            <w:bottom w:val="none" w:sz="0" w:space="0" w:color="auto"/>
            <w:right w:val="none" w:sz="0" w:space="0" w:color="auto"/>
          </w:divBdr>
        </w:div>
        <w:div w:id="1572078925">
          <w:marLeft w:val="0"/>
          <w:marRight w:val="0"/>
          <w:marTop w:val="0"/>
          <w:marBottom w:val="600"/>
          <w:divBdr>
            <w:top w:val="none" w:sz="0" w:space="0" w:color="auto"/>
            <w:left w:val="none" w:sz="0" w:space="0" w:color="auto"/>
            <w:bottom w:val="none" w:sz="0" w:space="0" w:color="auto"/>
            <w:right w:val="none" w:sz="0" w:space="0" w:color="auto"/>
          </w:divBdr>
        </w:div>
      </w:divsChild>
    </w:div>
    <w:div w:id="1801651497">
      <w:marLeft w:val="0"/>
      <w:marRight w:val="0"/>
      <w:marTop w:val="0"/>
      <w:marBottom w:val="0"/>
      <w:divBdr>
        <w:top w:val="none" w:sz="0" w:space="0" w:color="auto"/>
        <w:left w:val="none" w:sz="0" w:space="0" w:color="auto"/>
        <w:bottom w:val="none" w:sz="0" w:space="0" w:color="auto"/>
        <w:right w:val="none" w:sz="0" w:space="0" w:color="auto"/>
      </w:divBdr>
      <w:divsChild>
        <w:div w:id="656305560">
          <w:marLeft w:val="0"/>
          <w:marRight w:val="0"/>
          <w:marTop w:val="600"/>
          <w:marBottom w:val="0"/>
          <w:divBdr>
            <w:top w:val="none" w:sz="0" w:space="0" w:color="auto"/>
            <w:left w:val="none" w:sz="0" w:space="0" w:color="auto"/>
            <w:bottom w:val="none" w:sz="0" w:space="0" w:color="auto"/>
            <w:right w:val="none" w:sz="0" w:space="0" w:color="auto"/>
          </w:divBdr>
        </w:div>
        <w:div w:id="91703274">
          <w:marLeft w:val="0"/>
          <w:marRight w:val="0"/>
          <w:marTop w:val="0"/>
          <w:marBottom w:val="0"/>
          <w:divBdr>
            <w:top w:val="none" w:sz="0" w:space="0" w:color="auto"/>
            <w:left w:val="none" w:sz="0" w:space="0" w:color="auto"/>
            <w:bottom w:val="none" w:sz="0" w:space="0" w:color="auto"/>
            <w:right w:val="none" w:sz="0" w:space="0" w:color="auto"/>
          </w:divBdr>
        </w:div>
        <w:div w:id="2056807123">
          <w:marLeft w:val="0"/>
          <w:marRight w:val="0"/>
          <w:marTop w:val="0"/>
          <w:marBottom w:val="600"/>
          <w:divBdr>
            <w:top w:val="none" w:sz="0" w:space="0" w:color="auto"/>
            <w:left w:val="none" w:sz="0" w:space="0" w:color="auto"/>
            <w:bottom w:val="none" w:sz="0" w:space="0" w:color="auto"/>
            <w:right w:val="none" w:sz="0" w:space="0" w:color="auto"/>
          </w:divBdr>
        </w:div>
      </w:divsChild>
    </w:div>
    <w:div w:id="1811556023">
      <w:marLeft w:val="0"/>
      <w:marRight w:val="0"/>
      <w:marTop w:val="0"/>
      <w:marBottom w:val="0"/>
      <w:divBdr>
        <w:top w:val="none" w:sz="0" w:space="0" w:color="auto"/>
        <w:left w:val="none" w:sz="0" w:space="0" w:color="auto"/>
        <w:bottom w:val="none" w:sz="0" w:space="0" w:color="auto"/>
        <w:right w:val="none" w:sz="0" w:space="0" w:color="auto"/>
      </w:divBdr>
      <w:divsChild>
        <w:div w:id="1956979453">
          <w:marLeft w:val="0"/>
          <w:marRight w:val="0"/>
          <w:marTop w:val="600"/>
          <w:marBottom w:val="0"/>
          <w:divBdr>
            <w:top w:val="none" w:sz="0" w:space="0" w:color="auto"/>
            <w:left w:val="none" w:sz="0" w:space="0" w:color="auto"/>
            <w:bottom w:val="none" w:sz="0" w:space="0" w:color="auto"/>
            <w:right w:val="none" w:sz="0" w:space="0" w:color="auto"/>
          </w:divBdr>
        </w:div>
        <w:div w:id="1631401018">
          <w:marLeft w:val="0"/>
          <w:marRight w:val="0"/>
          <w:marTop w:val="0"/>
          <w:marBottom w:val="0"/>
          <w:divBdr>
            <w:top w:val="none" w:sz="0" w:space="0" w:color="auto"/>
            <w:left w:val="none" w:sz="0" w:space="0" w:color="auto"/>
            <w:bottom w:val="none" w:sz="0" w:space="0" w:color="auto"/>
            <w:right w:val="none" w:sz="0" w:space="0" w:color="auto"/>
          </w:divBdr>
        </w:div>
        <w:div w:id="702708417">
          <w:marLeft w:val="0"/>
          <w:marRight w:val="0"/>
          <w:marTop w:val="0"/>
          <w:marBottom w:val="600"/>
          <w:divBdr>
            <w:top w:val="none" w:sz="0" w:space="0" w:color="auto"/>
            <w:left w:val="none" w:sz="0" w:space="0" w:color="auto"/>
            <w:bottom w:val="none" w:sz="0" w:space="0" w:color="auto"/>
            <w:right w:val="none" w:sz="0" w:space="0" w:color="auto"/>
          </w:divBdr>
        </w:div>
      </w:divsChild>
    </w:div>
    <w:div w:id="1817793200">
      <w:marLeft w:val="0"/>
      <w:marRight w:val="0"/>
      <w:marTop w:val="0"/>
      <w:marBottom w:val="0"/>
      <w:divBdr>
        <w:top w:val="none" w:sz="0" w:space="0" w:color="auto"/>
        <w:left w:val="none" w:sz="0" w:space="0" w:color="auto"/>
        <w:bottom w:val="none" w:sz="0" w:space="0" w:color="auto"/>
        <w:right w:val="none" w:sz="0" w:space="0" w:color="auto"/>
      </w:divBdr>
      <w:divsChild>
        <w:div w:id="1818718897">
          <w:marLeft w:val="0"/>
          <w:marRight w:val="0"/>
          <w:marTop w:val="600"/>
          <w:marBottom w:val="0"/>
          <w:divBdr>
            <w:top w:val="none" w:sz="0" w:space="0" w:color="auto"/>
            <w:left w:val="none" w:sz="0" w:space="0" w:color="auto"/>
            <w:bottom w:val="none" w:sz="0" w:space="0" w:color="auto"/>
            <w:right w:val="none" w:sz="0" w:space="0" w:color="auto"/>
          </w:divBdr>
        </w:div>
        <w:div w:id="1740056099">
          <w:marLeft w:val="0"/>
          <w:marRight w:val="0"/>
          <w:marTop w:val="0"/>
          <w:marBottom w:val="0"/>
          <w:divBdr>
            <w:top w:val="none" w:sz="0" w:space="0" w:color="auto"/>
            <w:left w:val="none" w:sz="0" w:space="0" w:color="auto"/>
            <w:bottom w:val="none" w:sz="0" w:space="0" w:color="auto"/>
            <w:right w:val="none" w:sz="0" w:space="0" w:color="auto"/>
          </w:divBdr>
          <w:divsChild>
            <w:div w:id="1862621873">
              <w:marLeft w:val="0"/>
              <w:marRight w:val="0"/>
              <w:marTop w:val="0"/>
              <w:marBottom w:val="0"/>
              <w:divBdr>
                <w:top w:val="none" w:sz="0" w:space="0" w:color="auto"/>
                <w:left w:val="none" w:sz="0" w:space="0" w:color="auto"/>
                <w:bottom w:val="none" w:sz="0" w:space="0" w:color="auto"/>
                <w:right w:val="none" w:sz="0" w:space="0" w:color="auto"/>
              </w:divBdr>
              <w:divsChild>
                <w:div w:id="621108664">
                  <w:marLeft w:val="0"/>
                  <w:marRight w:val="0"/>
                  <w:marTop w:val="0"/>
                  <w:marBottom w:val="0"/>
                  <w:divBdr>
                    <w:top w:val="none" w:sz="0" w:space="0" w:color="auto"/>
                    <w:left w:val="none" w:sz="0" w:space="0" w:color="auto"/>
                    <w:bottom w:val="none" w:sz="0" w:space="0" w:color="auto"/>
                    <w:right w:val="none" w:sz="0" w:space="0" w:color="auto"/>
                  </w:divBdr>
                </w:div>
              </w:divsChild>
            </w:div>
            <w:div w:id="800919446">
              <w:marLeft w:val="0"/>
              <w:marRight w:val="0"/>
              <w:marTop w:val="0"/>
              <w:marBottom w:val="0"/>
              <w:divBdr>
                <w:top w:val="none" w:sz="0" w:space="0" w:color="auto"/>
                <w:left w:val="none" w:sz="0" w:space="0" w:color="auto"/>
                <w:bottom w:val="none" w:sz="0" w:space="0" w:color="auto"/>
                <w:right w:val="none" w:sz="0" w:space="0" w:color="auto"/>
              </w:divBdr>
              <w:divsChild>
                <w:div w:id="1287541050">
                  <w:marLeft w:val="0"/>
                  <w:marRight w:val="0"/>
                  <w:marTop w:val="0"/>
                  <w:marBottom w:val="0"/>
                  <w:divBdr>
                    <w:top w:val="none" w:sz="0" w:space="0" w:color="auto"/>
                    <w:left w:val="none" w:sz="0" w:space="0" w:color="auto"/>
                    <w:bottom w:val="none" w:sz="0" w:space="0" w:color="auto"/>
                    <w:right w:val="none" w:sz="0" w:space="0" w:color="auto"/>
                  </w:divBdr>
                </w:div>
              </w:divsChild>
            </w:div>
            <w:div w:id="1580603822">
              <w:marLeft w:val="0"/>
              <w:marRight w:val="0"/>
              <w:marTop w:val="0"/>
              <w:marBottom w:val="0"/>
              <w:divBdr>
                <w:top w:val="none" w:sz="0" w:space="0" w:color="auto"/>
                <w:left w:val="none" w:sz="0" w:space="0" w:color="auto"/>
                <w:bottom w:val="none" w:sz="0" w:space="0" w:color="auto"/>
                <w:right w:val="none" w:sz="0" w:space="0" w:color="auto"/>
              </w:divBdr>
              <w:divsChild>
                <w:div w:id="4593982">
                  <w:marLeft w:val="0"/>
                  <w:marRight w:val="0"/>
                  <w:marTop w:val="0"/>
                  <w:marBottom w:val="0"/>
                  <w:divBdr>
                    <w:top w:val="none" w:sz="0" w:space="0" w:color="auto"/>
                    <w:left w:val="none" w:sz="0" w:space="0" w:color="auto"/>
                    <w:bottom w:val="none" w:sz="0" w:space="0" w:color="auto"/>
                    <w:right w:val="none" w:sz="0" w:space="0" w:color="auto"/>
                  </w:divBdr>
                </w:div>
              </w:divsChild>
            </w:div>
            <w:div w:id="1926723610">
              <w:marLeft w:val="0"/>
              <w:marRight w:val="0"/>
              <w:marTop w:val="0"/>
              <w:marBottom w:val="0"/>
              <w:divBdr>
                <w:top w:val="none" w:sz="0" w:space="0" w:color="auto"/>
                <w:left w:val="none" w:sz="0" w:space="0" w:color="auto"/>
                <w:bottom w:val="none" w:sz="0" w:space="0" w:color="auto"/>
                <w:right w:val="none" w:sz="0" w:space="0" w:color="auto"/>
              </w:divBdr>
              <w:divsChild>
                <w:div w:id="932858067">
                  <w:marLeft w:val="0"/>
                  <w:marRight w:val="0"/>
                  <w:marTop w:val="0"/>
                  <w:marBottom w:val="0"/>
                  <w:divBdr>
                    <w:top w:val="none" w:sz="0" w:space="0" w:color="auto"/>
                    <w:left w:val="none" w:sz="0" w:space="0" w:color="auto"/>
                    <w:bottom w:val="none" w:sz="0" w:space="0" w:color="auto"/>
                    <w:right w:val="none" w:sz="0" w:space="0" w:color="auto"/>
                  </w:divBdr>
                </w:div>
              </w:divsChild>
            </w:div>
            <w:div w:id="1102071489">
              <w:marLeft w:val="0"/>
              <w:marRight w:val="0"/>
              <w:marTop w:val="0"/>
              <w:marBottom w:val="0"/>
              <w:divBdr>
                <w:top w:val="none" w:sz="0" w:space="0" w:color="auto"/>
                <w:left w:val="none" w:sz="0" w:space="0" w:color="auto"/>
                <w:bottom w:val="none" w:sz="0" w:space="0" w:color="auto"/>
                <w:right w:val="none" w:sz="0" w:space="0" w:color="auto"/>
              </w:divBdr>
              <w:divsChild>
                <w:div w:id="986514491">
                  <w:marLeft w:val="0"/>
                  <w:marRight w:val="0"/>
                  <w:marTop w:val="0"/>
                  <w:marBottom w:val="0"/>
                  <w:divBdr>
                    <w:top w:val="none" w:sz="0" w:space="0" w:color="auto"/>
                    <w:left w:val="none" w:sz="0" w:space="0" w:color="auto"/>
                    <w:bottom w:val="none" w:sz="0" w:space="0" w:color="auto"/>
                    <w:right w:val="none" w:sz="0" w:space="0" w:color="auto"/>
                  </w:divBdr>
                </w:div>
              </w:divsChild>
            </w:div>
            <w:div w:id="1613053159">
              <w:marLeft w:val="0"/>
              <w:marRight w:val="0"/>
              <w:marTop w:val="0"/>
              <w:marBottom w:val="0"/>
              <w:divBdr>
                <w:top w:val="none" w:sz="0" w:space="0" w:color="auto"/>
                <w:left w:val="none" w:sz="0" w:space="0" w:color="auto"/>
                <w:bottom w:val="none" w:sz="0" w:space="0" w:color="auto"/>
                <w:right w:val="none" w:sz="0" w:space="0" w:color="auto"/>
              </w:divBdr>
              <w:divsChild>
                <w:div w:id="1971863509">
                  <w:marLeft w:val="0"/>
                  <w:marRight w:val="0"/>
                  <w:marTop w:val="0"/>
                  <w:marBottom w:val="0"/>
                  <w:divBdr>
                    <w:top w:val="none" w:sz="0" w:space="0" w:color="auto"/>
                    <w:left w:val="none" w:sz="0" w:space="0" w:color="auto"/>
                    <w:bottom w:val="none" w:sz="0" w:space="0" w:color="auto"/>
                    <w:right w:val="none" w:sz="0" w:space="0" w:color="auto"/>
                  </w:divBdr>
                </w:div>
              </w:divsChild>
            </w:div>
            <w:div w:id="1291476236">
              <w:marLeft w:val="0"/>
              <w:marRight w:val="0"/>
              <w:marTop w:val="0"/>
              <w:marBottom w:val="0"/>
              <w:divBdr>
                <w:top w:val="none" w:sz="0" w:space="0" w:color="auto"/>
                <w:left w:val="none" w:sz="0" w:space="0" w:color="auto"/>
                <w:bottom w:val="none" w:sz="0" w:space="0" w:color="auto"/>
                <w:right w:val="none" w:sz="0" w:space="0" w:color="auto"/>
              </w:divBdr>
              <w:divsChild>
                <w:div w:id="2137983616">
                  <w:marLeft w:val="0"/>
                  <w:marRight w:val="0"/>
                  <w:marTop w:val="0"/>
                  <w:marBottom w:val="0"/>
                  <w:divBdr>
                    <w:top w:val="none" w:sz="0" w:space="0" w:color="auto"/>
                    <w:left w:val="none" w:sz="0" w:space="0" w:color="auto"/>
                    <w:bottom w:val="none" w:sz="0" w:space="0" w:color="auto"/>
                    <w:right w:val="none" w:sz="0" w:space="0" w:color="auto"/>
                  </w:divBdr>
                </w:div>
              </w:divsChild>
            </w:div>
            <w:div w:id="1506090582">
              <w:marLeft w:val="0"/>
              <w:marRight w:val="0"/>
              <w:marTop w:val="0"/>
              <w:marBottom w:val="0"/>
              <w:divBdr>
                <w:top w:val="none" w:sz="0" w:space="0" w:color="auto"/>
                <w:left w:val="none" w:sz="0" w:space="0" w:color="auto"/>
                <w:bottom w:val="none" w:sz="0" w:space="0" w:color="auto"/>
                <w:right w:val="none" w:sz="0" w:space="0" w:color="auto"/>
              </w:divBdr>
              <w:divsChild>
                <w:div w:id="1041056978">
                  <w:marLeft w:val="0"/>
                  <w:marRight w:val="0"/>
                  <w:marTop w:val="0"/>
                  <w:marBottom w:val="0"/>
                  <w:divBdr>
                    <w:top w:val="none" w:sz="0" w:space="0" w:color="auto"/>
                    <w:left w:val="none" w:sz="0" w:space="0" w:color="auto"/>
                    <w:bottom w:val="none" w:sz="0" w:space="0" w:color="auto"/>
                    <w:right w:val="none" w:sz="0" w:space="0" w:color="auto"/>
                  </w:divBdr>
                </w:div>
              </w:divsChild>
            </w:div>
            <w:div w:id="770781666">
              <w:marLeft w:val="0"/>
              <w:marRight w:val="0"/>
              <w:marTop w:val="0"/>
              <w:marBottom w:val="0"/>
              <w:divBdr>
                <w:top w:val="none" w:sz="0" w:space="0" w:color="auto"/>
                <w:left w:val="none" w:sz="0" w:space="0" w:color="auto"/>
                <w:bottom w:val="none" w:sz="0" w:space="0" w:color="auto"/>
                <w:right w:val="none" w:sz="0" w:space="0" w:color="auto"/>
              </w:divBdr>
              <w:divsChild>
                <w:div w:id="1383364537">
                  <w:marLeft w:val="0"/>
                  <w:marRight w:val="0"/>
                  <w:marTop w:val="0"/>
                  <w:marBottom w:val="0"/>
                  <w:divBdr>
                    <w:top w:val="none" w:sz="0" w:space="0" w:color="auto"/>
                    <w:left w:val="none" w:sz="0" w:space="0" w:color="auto"/>
                    <w:bottom w:val="none" w:sz="0" w:space="0" w:color="auto"/>
                    <w:right w:val="none" w:sz="0" w:space="0" w:color="auto"/>
                  </w:divBdr>
                </w:div>
              </w:divsChild>
            </w:div>
            <w:div w:id="2062898789">
              <w:marLeft w:val="0"/>
              <w:marRight w:val="0"/>
              <w:marTop w:val="0"/>
              <w:marBottom w:val="0"/>
              <w:divBdr>
                <w:top w:val="none" w:sz="0" w:space="0" w:color="auto"/>
                <w:left w:val="none" w:sz="0" w:space="0" w:color="auto"/>
                <w:bottom w:val="none" w:sz="0" w:space="0" w:color="auto"/>
                <w:right w:val="none" w:sz="0" w:space="0" w:color="auto"/>
              </w:divBdr>
              <w:divsChild>
                <w:div w:id="1156070237">
                  <w:marLeft w:val="0"/>
                  <w:marRight w:val="0"/>
                  <w:marTop w:val="0"/>
                  <w:marBottom w:val="0"/>
                  <w:divBdr>
                    <w:top w:val="none" w:sz="0" w:space="0" w:color="auto"/>
                    <w:left w:val="none" w:sz="0" w:space="0" w:color="auto"/>
                    <w:bottom w:val="none" w:sz="0" w:space="0" w:color="auto"/>
                    <w:right w:val="none" w:sz="0" w:space="0" w:color="auto"/>
                  </w:divBdr>
                </w:div>
              </w:divsChild>
            </w:div>
            <w:div w:id="690298824">
              <w:marLeft w:val="0"/>
              <w:marRight w:val="0"/>
              <w:marTop w:val="0"/>
              <w:marBottom w:val="0"/>
              <w:divBdr>
                <w:top w:val="none" w:sz="0" w:space="0" w:color="auto"/>
                <w:left w:val="none" w:sz="0" w:space="0" w:color="auto"/>
                <w:bottom w:val="none" w:sz="0" w:space="0" w:color="auto"/>
                <w:right w:val="none" w:sz="0" w:space="0" w:color="auto"/>
              </w:divBdr>
              <w:divsChild>
                <w:div w:id="161745438">
                  <w:marLeft w:val="0"/>
                  <w:marRight w:val="0"/>
                  <w:marTop w:val="0"/>
                  <w:marBottom w:val="0"/>
                  <w:divBdr>
                    <w:top w:val="none" w:sz="0" w:space="0" w:color="auto"/>
                    <w:left w:val="none" w:sz="0" w:space="0" w:color="auto"/>
                    <w:bottom w:val="none" w:sz="0" w:space="0" w:color="auto"/>
                    <w:right w:val="none" w:sz="0" w:space="0" w:color="auto"/>
                  </w:divBdr>
                </w:div>
              </w:divsChild>
            </w:div>
            <w:div w:id="1031804833">
              <w:marLeft w:val="0"/>
              <w:marRight w:val="0"/>
              <w:marTop w:val="0"/>
              <w:marBottom w:val="0"/>
              <w:divBdr>
                <w:top w:val="none" w:sz="0" w:space="0" w:color="auto"/>
                <w:left w:val="none" w:sz="0" w:space="0" w:color="auto"/>
                <w:bottom w:val="none" w:sz="0" w:space="0" w:color="auto"/>
                <w:right w:val="none" w:sz="0" w:space="0" w:color="auto"/>
              </w:divBdr>
              <w:divsChild>
                <w:div w:id="1063066771">
                  <w:marLeft w:val="0"/>
                  <w:marRight w:val="0"/>
                  <w:marTop w:val="0"/>
                  <w:marBottom w:val="0"/>
                  <w:divBdr>
                    <w:top w:val="none" w:sz="0" w:space="0" w:color="auto"/>
                    <w:left w:val="none" w:sz="0" w:space="0" w:color="auto"/>
                    <w:bottom w:val="none" w:sz="0" w:space="0" w:color="auto"/>
                    <w:right w:val="none" w:sz="0" w:space="0" w:color="auto"/>
                  </w:divBdr>
                </w:div>
              </w:divsChild>
            </w:div>
            <w:div w:id="1430153410">
              <w:marLeft w:val="0"/>
              <w:marRight w:val="0"/>
              <w:marTop w:val="0"/>
              <w:marBottom w:val="0"/>
              <w:divBdr>
                <w:top w:val="none" w:sz="0" w:space="0" w:color="auto"/>
                <w:left w:val="none" w:sz="0" w:space="0" w:color="auto"/>
                <w:bottom w:val="none" w:sz="0" w:space="0" w:color="auto"/>
                <w:right w:val="none" w:sz="0" w:space="0" w:color="auto"/>
              </w:divBdr>
              <w:divsChild>
                <w:div w:id="387413122">
                  <w:marLeft w:val="0"/>
                  <w:marRight w:val="0"/>
                  <w:marTop w:val="0"/>
                  <w:marBottom w:val="0"/>
                  <w:divBdr>
                    <w:top w:val="none" w:sz="0" w:space="0" w:color="auto"/>
                    <w:left w:val="none" w:sz="0" w:space="0" w:color="auto"/>
                    <w:bottom w:val="none" w:sz="0" w:space="0" w:color="auto"/>
                    <w:right w:val="none" w:sz="0" w:space="0" w:color="auto"/>
                  </w:divBdr>
                </w:div>
              </w:divsChild>
            </w:div>
            <w:div w:id="1835678184">
              <w:marLeft w:val="0"/>
              <w:marRight w:val="0"/>
              <w:marTop w:val="0"/>
              <w:marBottom w:val="0"/>
              <w:divBdr>
                <w:top w:val="none" w:sz="0" w:space="0" w:color="auto"/>
                <w:left w:val="none" w:sz="0" w:space="0" w:color="auto"/>
                <w:bottom w:val="none" w:sz="0" w:space="0" w:color="auto"/>
                <w:right w:val="none" w:sz="0" w:space="0" w:color="auto"/>
              </w:divBdr>
              <w:divsChild>
                <w:div w:id="4209100">
                  <w:marLeft w:val="0"/>
                  <w:marRight w:val="0"/>
                  <w:marTop w:val="0"/>
                  <w:marBottom w:val="0"/>
                  <w:divBdr>
                    <w:top w:val="none" w:sz="0" w:space="0" w:color="auto"/>
                    <w:left w:val="none" w:sz="0" w:space="0" w:color="auto"/>
                    <w:bottom w:val="none" w:sz="0" w:space="0" w:color="auto"/>
                    <w:right w:val="none" w:sz="0" w:space="0" w:color="auto"/>
                  </w:divBdr>
                </w:div>
              </w:divsChild>
            </w:div>
            <w:div w:id="1620649077">
              <w:marLeft w:val="0"/>
              <w:marRight w:val="0"/>
              <w:marTop w:val="0"/>
              <w:marBottom w:val="0"/>
              <w:divBdr>
                <w:top w:val="none" w:sz="0" w:space="0" w:color="auto"/>
                <w:left w:val="none" w:sz="0" w:space="0" w:color="auto"/>
                <w:bottom w:val="none" w:sz="0" w:space="0" w:color="auto"/>
                <w:right w:val="none" w:sz="0" w:space="0" w:color="auto"/>
              </w:divBdr>
              <w:divsChild>
                <w:div w:id="412703019">
                  <w:marLeft w:val="0"/>
                  <w:marRight w:val="0"/>
                  <w:marTop w:val="0"/>
                  <w:marBottom w:val="0"/>
                  <w:divBdr>
                    <w:top w:val="none" w:sz="0" w:space="0" w:color="auto"/>
                    <w:left w:val="none" w:sz="0" w:space="0" w:color="auto"/>
                    <w:bottom w:val="none" w:sz="0" w:space="0" w:color="auto"/>
                    <w:right w:val="none" w:sz="0" w:space="0" w:color="auto"/>
                  </w:divBdr>
                </w:div>
              </w:divsChild>
            </w:div>
            <w:div w:id="2016029456">
              <w:marLeft w:val="0"/>
              <w:marRight w:val="0"/>
              <w:marTop w:val="0"/>
              <w:marBottom w:val="0"/>
              <w:divBdr>
                <w:top w:val="none" w:sz="0" w:space="0" w:color="auto"/>
                <w:left w:val="none" w:sz="0" w:space="0" w:color="auto"/>
                <w:bottom w:val="none" w:sz="0" w:space="0" w:color="auto"/>
                <w:right w:val="none" w:sz="0" w:space="0" w:color="auto"/>
              </w:divBdr>
              <w:divsChild>
                <w:div w:id="655374780">
                  <w:marLeft w:val="0"/>
                  <w:marRight w:val="0"/>
                  <w:marTop w:val="0"/>
                  <w:marBottom w:val="0"/>
                  <w:divBdr>
                    <w:top w:val="none" w:sz="0" w:space="0" w:color="auto"/>
                    <w:left w:val="none" w:sz="0" w:space="0" w:color="auto"/>
                    <w:bottom w:val="none" w:sz="0" w:space="0" w:color="auto"/>
                    <w:right w:val="none" w:sz="0" w:space="0" w:color="auto"/>
                  </w:divBdr>
                </w:div>
              </w:divsChild>
            </w:div>
            <w:div w:id="1806193422">
              <w:marLeft w:val="0"/>
              <w:marRight w:val="0"/>
              <w:marTop w:val="0"/>
              <w:marBottom w:val="0"/>
              <w:divBdr>
                <w:top w:val="none" w:sz="0" w:space="0" w:color="auto"/>
                <w:left w:val="none" w:sz="0" w:space="0" w:color="auto"/>
                <w:bottom w:val="none" w:sz="0" w:space="0" w:color="auto"/>
                <w:right w:val="none" w:sz="0" w:space="0" w:color="auto"/>
              </w:divBdr>
              <w:divsChild>
                <w:div w:id="303122797">
                  <w:marLeft w:val="0"/>
                  <w:marRight w:val="0"/>
                  <w:marTop w:val="0"/>
                  <w:marBottom w:val="0"/>
                  <w:divBdr>
                    <w:top w:val="none" w:sz="0" w:space="0" w:color="auto"/>
                    <w:left w:val="none" w:sz="0" w:space="0" w:color="auto"/>
                    <w:bottom w:val="none" w:sz="0" w:space="0" w:color="auto"/>
                    <w:right w:val="none" w:sz="0" w:space="0" w:color="auto"/>
                  </w:divBdr>
                </w:div>
              </w:divsChild>
            </w:div>
            <w:div w:id="732313277">
              <w:marLeft w:val="0"/>
              <w:marRight w:val="0"/>
              <w:marTop w:val="0"/>
              <w:marBottom w:val="0"/>
              <w:divBdr>
                <w:top w:val="none" w:sz="0" w:space="0" w:color="auto"/>
                <w:left w:val="none" w:sz="0" w:space="0" w:color="auto"/>
                <w:bottom w:val="none" w:sz="0" w:space="0" w:color="auto"/>
                <w:right w:val="none" w:sz="0" w:space="0" w:color="auto"/>
              </w:divBdr>
              <w:divsChild>
                <w:div w:id="1838155487">
                  <w:marLeft w:val="0"/>
                  <w:marRight w:val="0"/>
                  <w:marTop w:val="0"/>
                  <w:marBottom w:val="0"/>
                  <w:divBdr>
                    <w:top w:val="none" w:sz="0" w:space="0" w:color="auto"/>
                    <w:left w:val="none" w:sz="0" w:space="0" w:color="auto"/>
                    <w:bottom w:val="none" w:sz="0" w:space="0" w:color="auto"/>
                    <w:right w:val="none" w:sz="0" w:space="0" w:color="auto"/>
                  </w:divBdr>
                </w:div>
              </w:divsChild>
            </w:div>
            <w:div w:id="1567566654">
              <w:marLeft w:val="0"/>
              <w:marRight w:val="0"/>
              <w:marTop w:val="0"/>
              <w:marBottom w:val="0"/>
              <w:divBdr>
                <w:top w:val="none" w:sz="0" w:space="0" w:color="auto"/>
                <w:left w:val="none" w:sz="0" w:space="0" w:color="auto"/>
                <w:bottom w:val="none" w:sz="0" w:space="0" w:color="auto"/>
                <w:right w:val="none" w:sz="0" w:space="0" w:color="auto"/>
              </w:divBdr>
              <w:divsChild>
                <w:div w:id="279998140">
                  <w:marLeft w:val="0"/>
                  <w:marRight w:val="0"/>
                  <w:marTop w:val="0"/>
                  <w:marBottom w:val="0"/>
                  <w:divBdr>
                    <w:top w:val="none" w:sz="0" w:space="0" w:color="auto"/>
                    <w:left w:val="none" w:sz="0" w:space="0" w:color="auto"/>
                    <w:bottom w:val="none" w:sz="0" w:space="0" w:color="auto"/>
                    <w:right w:val="none" w:sz="0" w:space="0" w:color="auto"/>
                  </w:divBdr>
                </w:div>
              </w:divsChild>
            </w:div>
            <w:div w:id="870461537">
              <w:marLeft w:val="0"/>
              <w:marRight w:val="0"/>
              <w:marTop w:val="0"/>
              <w:marBottom w:val="0"/>
              <w:divBdr>
                <w:top w:val="none" w:sz="0" w:space="0" w:color="auto"/>
                <w:left w:val="none" w:sz="0" w:space="0" w:color="auto"/>
                <w:bottom w:val="none" w:sz="0" w:space="0" w:color="auto"/>
                <w:right w:val="none" w:sz="0" w:space="0" w:color="auto"/>
              </w:divBdr>
              <w:divsChild>
                <w:div w:id="159735679">
                  <w:marLeft w:val="0"/>
                  <w:marRight w:val="0"/>
                  <w:marTop w:val="0"/>
                  <w:marBottom w:val="0"/>
                  <w:divBdr>
                    <w:top w:val="none" w:sz="0" w:space="0" w:color="auto"/>
                    <w:left w:val="none" w:sz="0" w:space="0" w:color="auto"/>
                    <w:bottom w:val="none" w:sz="0" w:space="0" w:color="auto"/>
                    <w:right w:val="none" w:sz="0" w:space="0" w:color="auto"/>
                  </w:divBdr>
                </w:div>
              </w:divsChild>
            </w:div>
            <w:div w:id="457073329">
              <w:marLeft w:val="0"/>
              <w:marRight w:val="0"/>
              <w:marTop w:val="0"/>
              <w:marBottom w:val="0"/>
              <w:divBdr>
                <w:top w:val="none" w:sz="0" w:space="0" w:color="auto"/>
                <w:left w:val="none" w:sz="0" w:space="0" w:color="auto"/>
                <w:bottom w:val="none" w:sz="0" w:space="0" w:color="auto"/>
                <w:right w:val="none" w:sz="0" w:space="0" w:color="auto"/>
              </w:divBdr>
              <w:divsChild>
                <w:div w:id="4795679">
                  <w:marLeft w:val="0"/>
                  <w:marRight w:val="0"/>
                  <w:marTop w:val="0"/>
                  <w:marBottom w:val="0"/>
                  <w:divBdr>
                    <w:top w:val="none" w:sz="0" w:space="0" w:color="auto"/>
                    <w:left w:val="none" w:sz="0" w:space="0" w:color="auto"/>
                    <w:bottom w:val="none" w:sz="0" w:space="0" w:color="auto"/>
                    <w:right w:val="none" w:sz="0" w:space="0" w:color="auto"/>
                  </w:divBdr>
                </w:div>
              </w:divsChild>
            </w:div>
            <w:div w:id="1394813499">
              <w:marLeft w:val="0"/>
              <w:marRight w:val="0"/>
              <w:marTop w:val="0"/>
              <w:marBottom w:val="0"/>
              <w:divBdr>
                <w:top w:val="none" w:sz="0" w:space="0" w:color="auto"/>
                <w:left w:val="none" w:sz="0" w:space="0" w:color="auto"/>
                <w:bottom w:val="none" w:sz="0" w:space="0" w:color="auto"/>
                <w:right w:val="none" w:sz="0" w:space="0" w:color="auto"/>
              </w:divBdr>
              <w:divsChild>
                <w:div w:id="884755050">
                  <w:marLeft w:val="0"/>
                  <w:marRight w:val="0"/>
                  <w:marTop w:val="0"/>
                  <w:marBottom w:val="0"/>
                  <w:divBdr>
                    <w:top w:val="none" w:sz="0" w:space="0" w:color="auto"/>
                    <w:left w:val="none" w:sz="0" w:space="0" w:color="auto"/>
                    <w:bottom w:val="none" w:sz="0" w:space="0" w:color="auto"/>
                    <w:right w:val="none" w:sz="0" w:space="0" w:color="auto"/>
                  </w:divBdr>
                </w:div>
              </w:divsChild>
            </w:div>
            <w:div w:id="438838191">
              <w:marLeft w:val="0"/>
              <w:marRight w:val="0"/>
              <w:marTop w:val="0"/>
              <w:marBottom w:val="0"/>
              <w:divBdr>
                <w:top w:val="none" w:sz="0" w:space="0" w:color="auto"/>
                <w:left w:val="none" w:sz="0" w:space="0" w:color="auto"/>
                <w:bottom w:val="none" w:sz="0" w:space="0" w:color="auto"/>
                <w:right w:val="none" w:sz="0" w:space="0" w:color="auto"/>
              </w:divBdr>
              <w:divsChild>
                <w:div w:id="2036225037">
                  <w:marLeft w:val="0"/>
                  <w:marRight w:val="0"/>
                  <w:marTop w:val="0"/>
                  <w:marBottom w:val="0"/>
                  <w:divBdr>
                    <w:top w:val="none" w:sz="0" w:space="0" w:color="auto"/>
                    <w:left w:val="none" w:sz="0" w:space="0" w:color="auto"/>
                    <w:bottom w:val="none" w:sz="0" w:space="0" w:color="auto"/>
                    <w:right w:val="none" w:sz="0" w:space="0" w:color="auto"/>
                  </w:divBdr>
                </w:div>
              </w:divsChild>
            </w:div>
            <w:div w:id="849178689">
              <w:marLeft w:val="0"/>
              <w:marRight w:val="0"/>
              <w:marTop w:val="0"/>
              <w:marBottom w:val="0"/>
              <w:divBdr>
                <w:top w:val="none" w:sz="0" w:space="0" w:color="auto"/>
                <w:left w:val="none" w:sz="0" w:space="0" w:color="auto"/>
                <w:bottom w:val="none" w:sz="0" w:space="0" w:color="auto"/>
                <w:right w:val="none" w:sz="0" w:space="0" w:color="auto"/>
              </w:divBdr>
              <w:divsChild>
                <w:div w:id="20480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433">
          <w:marLeft w:val="0"/>
          <w:marRight w:val="0"/>
          <w:marTop w:val="0"/>
          <w:marBottom w:val="600"/>
          <w:divBdr>
            <w:top w:val="none" w:sz="0" w:space="0" w:color="auto"/>
            <w:left w:val="none" w:sz="0" w:space="0" w:color="auto"/>
            <w:bottom w:val="none" w:sz="0" w:space="0" w:color="auto"/>
            <w:right w:val="none" w:sz="0" w:space="0" w:color="auto"/>
          </w:divBdr>
        </w:div>
      </w:divsChild>
    </w:div>
    <w:div w:id="1821455099">
      <w:marLeft w:val="0"/>
      <w:marRight w:val="0"/>
      <w:marTop w:val="0"/>
      <w:marBottom w:val="0"/>
      <w:divBdr>
        <w:top w:val="none" w:sz="0" w:space="0" w:color="auto"/>
        <w:left w:val="none" w:sz="0" w:space="0" w:color="auto"/>
        <w:bottom w:val="none" w:sz="0" w:space="0" w:color="auto"/>
        <w:right w:val="none" w:sz="0" w:space="0" w:color="auto"/>
      </w:divBdr>
      <w:divsChild>
        <w:div w:id="589503560">
          <w:marLeft w:val="0"/>
          <w:marRight w:val="0"/>
          <w:marTop w:val="600"/>
          <w:marBottom w:val="0"/>
          <w:divBdr>
            <w:top w:val="none" w:sz="0" w:space="0" w:color="auto"/>
            <w:left w:val="none" w:sz="0" w:space="0" w:color="auto"/>
            <w:bottom w:val="none" w:sz="0" w:space="0" w:color="auto"/>
            <w:right w:val="none" w:sz="0" w:space="0" w:color="auto"/>
          </w:divBdr>
        </w:div>
        <w:div w:id="143010727">
          <w:marLeft w:val="0"/>
          <w:marRight w:val="0"/>
          <w:marTop w:val="0"/>
          <w:marBottom w:val="0"/>
          <w:divBdr>
            <w:top w:val="none" w:sz="0" w:space="0" w:color="auto"/>
            <w:left w:val="none" w:sz="0" w:space="0" w:color="auto"/>
            <w:bottom w:val="none" w:sz="0" w:space="0" w:color="auto"/>
            <w:right w:val="none" w:sz="0" w:space="0" w:color="auto"/>
          </w:divBdr>
        </w:div>
        <w:div w:id="1072384868">
          <w:marLeft w:val="0"/>
          <w:marRight w:val="0"/>
          <w:marTop w:val="0"/>
          <w:marBottom w:val="600"/>
          <w:divBdr>
            <w:top w:val="none" w:sz="0" w:space="0" w:color="auto"/>
            <w:left w:val="none" w:sz="0" w:space="0" w:color="auto"/>
            <w:bottom w:val="none" w:sz="0" w:space="0" w:color="auto"/>
            <w:right w:val="none" w:sz="0" w:space="0" w:color="auto"/>
          </w:divBdr>
        </w:div>
      </w:divsChild>
    </w:div>
    <w:div w:id="1829638551">
      <w:marLeft w:val="0"/>
      <w:marRight w:val="0"/>
      <w:marTop w:val="0"/>
      <w:marBottom w:val="0"/>
      <w:divBdr>
        <w:top w:val="none" w:sz="0" w:space="0" w:color="auto"/>
        <w:left w:val="none" w:sz="0" w:space="0" w:color="auto"/>
        <w:bottom w:val="none" w:sz="0" w:space="0" w:color="auto"/>
        <w:right w:val="none" w:sz="0" w:space="0" w:color="auto"/>
      </w:divBdr>
      <w:divsChild>
        <w:div w:id="936211467">
          <w:marLeft w:val="0"/>
          <w:marRight w:val="0"/>
          <w:marTop w:val="600"/>
          <w:marBottom w:val="0"/>
          <w:divBdr>
            <w:top w:val="none" w:sz="0" w:space="0" w:color="auto"/>
            <w:left w:val="none" w:sz="0" w:space="0" w:color="auto"/>
            <w:bottom w:val="none" w:sz="0" w:space="0" w:color="auto"/>
            <w:right w:val="none" w:sz="0" w:space="0" w:color="auto"/>
          </w:divBdr>
        </w:div>
        <w:div w:id="2037463644">
          <w:marLeft w:val="0"/>
          <w:marRight w:val="0"/>
          <w:marTop w:val="0"/>
          <w:marBottom w:val="0"/>
          <w:divBdr>
            <w:top w:val="none" w:sz="0" w:space="0" w:color="auto"/>
            <w:left w:val="none" w:sz="0" w:space="0" w:color="auto"/>
            <w:bottom w:val="none" w:sz="0" w:space="0" w:color="auto"/>
            <w:right w:val="none" w:sz="0" w:space="0" w:color="auto"/>
          </w:divBdr>
          <w:divsChild>
            <w:div w:id="1849558853">
              <w:marLeft w:val="547"/>
              <w:marRight w:val="0"/>
              <w:marTop w:val="0"/>
              <w:marBottom w:val="0"/>
              <w:divBdr>
                <w:top w:val="none" w:sz="0" w:space="0" w:color="auto"/>
                <w:left w:val="none" w:sz="0" w:space="0" w:color="auto"/>
                <w:bottom w:val="none" w:sz="0" w:space="0" w:color="auto"/>
                <w:right w:val="none" w:sz="0" w:space="0" w:color="auto"/>
              </w:divBdr>
            </w:div>
          </w:divsChild>
        </w:div>
        <w:div w:id="70780764">
          <w:marLeft w:val="0"/>
          <w:marRight w:val="0"/>
          <w:marTop w:val="0"/>
          <w:marBottom w:val="600"/>
          <w:divBdr>
            <w:top w:val="none" w:sz="0" w:space="0" w:color="auto"/>
            <w:left w:val="none" w:sz="0" w:space="0" w:color="auto"/>
            <w:bottom w:val="none" w:sz="0" w:space="0" w:color="auto"/>
            <w:right w:val="none" w:sz="0" w:space="0" w:color="auto"/>
          </w:divBdr>
        </w:div>
      </w:divsChild>
    </w:div>
    <w:div w:id="1851796617">
      <w:marLeft w:val="0"/>
      <w:marRight w:val="0"/>
      <w:marTop w:val="0"/>
      <w:marBottom w:val="0"/>
      <w:divBdr>
        <w:top w:val="none" w:sz="0" w:space="0" w:color="auto"/>
        <w:left w:val="none" w:sz="0" w:space="0" w:color="auto"/>
        <w:bottom w:val="none" w:sz="0" w:space="0" w:color="auto"/>
        <w:right w:val="none" w:sz="0" w:space="0" w:color="auto"/>
      </w:divBdr>
      <w:divsChild>
        <w:div w:id="913006633">
          <w:marLeft w:val="0"/>
          <w:marRight w:val="0"/>
          <w:marTop w:val="600"/>
          <w:marBottom w:val="0"/>
          <w:divBdr>
            <w:top w:val="none" w:sz="0" w:space="0" w:color="auto"/>
            <w:left w:val="none" w:sz="0" w:space="0" w:color="auto"/>
            <w:bottom w:val="none" w:sz="0" w:space="0" w:color="auto"/>
            <w:right w:val="none" w:sz="0" w:space="0" w:color="auto"/>
          </w:divBdr>
        </w:div>
        <w:div w:id="421679512">
          <w:marLeft w:val="0"/>
          <w:marRight w:val="0"/>
          <w:marTop w:val="0"/>
          <w:marBottom w:val="0"/>
          <w:divBdr>
            <w:top w:val="none" w:sz="0" w:space="0" w:color="auto"/>
            <w:left w:val="none" w:sz="0" w:space="0" w:color="auto"/>
            <w:bottom w:val="none" w:sz="0" w:space="0" w:color="auto"/>
            <w:right w:val="none" w:sz="0" w:space="0" w:color="auto"/>
          </w:divBdr>
        </w:div>
        <w:div w:id="1465152072">
          <w:marLeft w:val="0"/>
          <w:marRight w:val="0"/>
          <w:marTop w:val="0"/>
          <w:marBottom w:val="600"/>
          <w:divBdr>
            <w:top w:val="none" w:sz="0" w:space="0" w:color="auto"/>
            <w:left w:val="none" w:sz="0" w:space="0" w:color="auto"/>
            <w:bottom w:val="none" w:sz="0" w:space="0" w:color="auto"/>
            <w:right w:val="none" w:sz="0" w:space="0" w:color="auto"/>
          </w:divBdr>
        </w:div>
      </w:divsChild>
    </w:div>
    <w:div w:id="1861238880">
      <w:marLeft w:val="0"/>
      <w:marRight w:val="0"/>
      <w:marTop w:val="0"/>
      <w:marBottom w:val="0"/>
      <w:divBdr>
        <w:top w:val="none" w:sz="0" w:space="0" w:color="auto"/>
        <w:left w:val="none" w:sz="0" w:space="0" w:color="auto"/>
        <w:bottom w:val="none" w:sz="0" w:space="0" w:color="auto"/>
        <w:right w:val="none" w:sz="0" w:space="0" w:color="auto"/>
      </w:divBdr>
      <w:divsChild>
        <w:div w:id="1835801685">
          <w:marLeft w:val="0"/>
          <w:marRight w:val="0"/>
          <w:marTop w:val="600"/>
          <w:marBottom w:val="0"/>
          <w:divBdr>
            <w:top w:val="none" w:sz="0" w:space="0" w:color="auto"/>
            <w:left w:val="none" w:sz="0" w:space="0" w:color="auto"/>
            <w:bottom w:val="none" w:sz="0" w:space="0" w:color="auto"/>
            <w:right w:val="none" w:sz="0" w:space="0" w:color="auto"/>
          </w:divBdr>
        </w:div>
        <w:div w:id="1102335027">
          <w:marLeft w:val="0"/>
          <w:marRight w:val="0"/>
          <w:marTop w:val="0"/>
          <w:marBottom w:val="0"/>
          <w:divBdr>
            <w:top w:val="none" w:sz="0" w:space="0" w:color="auto"/>
            <w:left w:val="none" w:sz="0" w:space="0" w:color="auto"/>
            <w:bottom w:val="none" w:sz="0" w:space="0" w:color="auto"/>
            <w:right w:val="none" w:sz="0" w:space="0" w:color="auto"/>
          </w:divBdr>
          <w:divsChild>
            <w:div w:id="1032027558">
              <w:marLeft w:val="0"/>
              <w:marRight w:val="0"/>
              <w:marTop w:val="0"/>
              <w:marBottom w:val="0"/>
              <w:divBdr>
                <w:top w:val="none" w:sz="0" w:space="0" w:color="auto"/>
                <w:left w:val="none" w:sz="0" w:space="0" w:color="auto"/>
                <w:bottom w:val="none" w:sz="0" w:space="0" w:color="auto"/>
                <w:right w:val="none" w:sz="0" w:space="0" w:color="auto"/>
              </w:divBdr>
              <w:divsChild>
                <w:div w:id="1745832713">
                  <w:marLeft w:val="0"/>
                  <w:marRight w:val="0"/>
                  <w:marTop w:val="0"/>
                  <w:marBottom w:val="0"/>
                  <w:divBdr>
                    <w:top w:val="none" w:sz="0" w:space="0" w:color="auto"/>
                    <w:left w:val="none" w:sz="0" w:space="0" w:color="auto"/>
                    <w:bottom w:val="none" w:sz="0" w:space="0" w:color="auto"/>
                    <w:right w:val="none" w:sz="0" w:space="0" w:color="auto"/>
                  </w:divBdr>
                </w:div>
              </w:divsChild>
            </w:div>
            <w:div w:id="2116436895">
              <w:marLeft w:val="0"/>
              <w:marRight w:val="0"/>
              <w:marTop w:val="0"/>
              <w:marBottom w:val="0"/>
              <w:divBdr>
                <w:top w:val="none" w:sz="0" w:space="0" w:color="auto"/>
                <w:left w:val="none" w:sz="0" w:space="0" w:color="auto"/>
                <w:bottom w:val="none" w:sz="0" w:space="0" w:color="auto"/>
                <w:right w:val="none" w:sz="0" w:space="0" w:color="auto"/>
              </w:divBdr>
              <w:divsChild>
                <w:div w:id="2108961378">
                  <w:marLeft w:val="0"/>
                  <w:marRight w:val="0"/>
                  <w:marTop w:val="0"/>
                  <w:marBottom w:val="0"/>
                  <w:divBdr>
                    <w:top w:val="none" w:sz="0" w:space="0" w:color="auto"/>
                    <w:left w:val="none" w:sz="0" w:space="0" w:color="auto"/>
                    <w:bottom w:val="none" w:sz="0" w:space="0" w:color="auto"/>
                    <w:right w:val="none" w:sz="0" w:space="0" w:color="auto"/>
                  </w:divBdr>
                </w:div>
              </w:divsChild>
            </w:div>
            <w:div w:id="1241796557">
              <w:marLeft w:val="0"/>
              <w:marRight w:val="0"/>
              <w:marTop w:val="0"/>
              <w:marBottom w:val="0"/>
              <w:divBdr>
                <w:top w:val="none" w:sz="0" w:space="0" w:color="auto"/>
                <w:left w:val="none" w:sz="0" w:space="0" w:color="auto"/>
                <w:bottom w:val="none" w:sz="0" w:space="0" w:color="auto"/>
                <w:right w:val="none" w:sz="0" w:space="0" w:color="auto"/>
              </w:divBdr>
              <w:divsChild>
                <w:div w:id="1508593178">
                  <w:marLeft w:val="0"/>
                  <w:marRight w:val="0"/>
                  <w:marTop w:val="0"/>
                  <w:marBottom w:val="0"/>
                  <w:divBdr>
                    <w:top w:val="none" w:sz="0" w:space="0" w:color="auto"/>
                    <w:left w:val="none" w:sz="0" w:space="0" w:color="auto"/>
                    <w:bottom w:val="none" w:sz="0" w:space="0" w:color="auto"/>
                    <w:right w:val="none" w:sz="0" w:space="0" w:color="auto"/>
                  </w:divBdr>
                </w:div>
              </w:divsChild>
            </w:div>
            <w:div w:id="588151415">
              <w:marLeft w:val="0"/>
              <w:marRight w:val="0"/>
              <w:marTop w:val="0"/>
              <w:marBottom w:val="0"/>
              <w:divBdr>
                <w:top w:val="none" w:sz="0" w:space="0" w:color="auto"/>
                <w:left w:val="none" w:sz="0" w:space="0" w:color="auto"/>
                <w:bottom w:val="none" w:sz="0" w:space="0" w:color="auto"/>
                <w:right w:val="none" w:sz="0" w:space="0" w:color="auto"/>
              </w:divBdr>
              <w:divsChild>
                <w:div w:id="6492719">
                  <w:marLeft w:val="0"/>
                  <w:marRight w:val="0"/>
                  <w:marTop w:val="0"/>
                  <w:marBottom w:val="0"/>
                  <w:divBdr>
                    <w:top w:val="none" w:sz="0" w:space="0" w:color="auto"/>
                    <w:left w:val="none" w:sz="0" w:space="0" w:color="auto"/>
                    <w:bottom w:val="none" w:sz="0" w:space="0" w:color="auto"/>
                    <w:right w:val="none" w:sz="0" w:space="0" w:color="auto"/>
                  </w:divBdr>
                </w:div>
              </w:divsChild>
            </w:div>
            <w:div w:id="222908454">
              <w:marLeft w:val="0"/>
              <w:marRight w:val="0"/>
              <w:marTop w:val="0"/>
              <w:marBottom w:val="0"/>
              <w:divBdr>
                <w:top w:val="none" w:sz="0" w:space="0" w:color="auto"/>
                <w:left w:val="none" w:sz="0" w:space="0" w:color="auto"/>
                <w:bottom w:val="none" w:sz="0" w:space="0" w:color="auto"/>
                <w:right w:val="none" w:sz="0" w:space="0" w:color="auto"/>
              </w:divBdr>
              <w:divsChild>
                <w:div w:id="1697384018">
                  <w:marLeft w:val="0"/>
                  <w:marRight w:val="0"/>
                  <w:marTop w:val="0"/>
                  <w:marBottom w:val="0"/>
                  <w:divBdr>
                    <w:top w:val="none" w:sz="0" w:space="0" w:color="auto"/>
                    <w:left w:val="none" w:sz="0" w:space="0" w:color="auto"/>
                    <w:bottom w:val="none" w:sz="0" w:space="0" w:color="auto"/>
                    <w:right w:val="none" w:sz="0" w:space="0" w:color="auto"/>
                  </w:divBdr>
                </w:div>
              </w:divsChild>
            </w:div>
            <w:div w:id="237593039">
              <w:marLeft w:val="0"/>
              <w:marRight w:val="0"/>
              <w:marTop w:val="0"/>
              <w:marBottom w:val="0"/>
              <w:divBdr>
                <w:top w:val="none" w:sz="0" w:space="0" w:color="auto"/>
                <w:left w:val="none" w:sz="0" w:space="0" w:color="auto"/>
                <w:bottom w:val="none" w:sz="0" w:space="0" w:color="auto"/>
                <w:right w:val="none" w:sz="0" w:space="0" w:color="auto"/>
              </w:divBdr>
              <w:divsChild>
                <w:div w:id="1932540455">
                  <w:marLeft w:val="0"/>
                  <w:marRight w:val="0"/>
                  <w:marTop w:val="0"/>
                  <w:marBottom w:val="0"/>
                  <w:divBdr>
                    <w:top w:val="none" w:sz="0" w:space="0" w:color="auto"/>
                    <w:left w:val="none" w:sz="0" w:space="0" w:color="auto"/>
                    <w:bottom w:val="none" w:sz="0" w:space="0" w:color="auto"/>
                    <w:right w:val="none" w:sz="0" w:space="0" w:color="auto"/>
                  </w:divBdr>
                </w:div>
              </w:divsChild>
            </w:div>
            <w:div w:id="540021345">
              <w:marLeft w:val="0"/>
              <w:marRight w:val="0"/>
              <w:marTop w:val="0"/>
              <w:marBottom w:val="0"/>
              <w:divBdr>
                <w:top w:val="none" w:sz="0" w:space="0" w:color="auto"/>
                <w:left w:val="none" w:sz="0" w:space="0" w:color="auto"/>
                <w:bottom w:val="none" w:sz="0" w:space="0" w:color="auto"/>
                <w:right w:val="none" w:sz="0" w:space="0" w:color="auto"/>
              </w:divBdr>
              <w:divsChild>
                <w:div w:id="1420177495">
                  <w:marLeft w:val="0"/>
                  <w:marRight w:val="0"/>
                  <w:marTop w:val="0"/>
                  <w:marBottom w:val="0"/>
                  <w:divBdr>
                    <w:top w:val="none" w:sz="0" w:space="0" w:color="auto"/>
                    <w:left w:val="none" w:sz="0" w:space="0" w:color="auto"/>
                    <w:bottom w:val="none" w:sz="0" w:space="0" w:color="auto"/>
                    <w:right w:val="none" w:sz="0" w:space="0" w:color="auto"/>
                  </w:divBdr>
                </w:div>
              </w:divsChild>
            </w:div>
            <w:div w:id="1892840089">
              <w:marLeft w:val="0"/>
              <w:marRight w:val="0"/>
              <w:marTop w:val="0"/>
              <w:marBottom w:val="0"/>
              <w:divBdr>
                <w:top w:val="none" w:sz="0" w:space="0" w:color="auto"/>
                <w:left w:val="none" w:sz="0" w:space="0" w:color="auto"/>
                <w:bottom w:val="none" w:sz="0" w:space="0" w:color="auto"/>
                <w:right w:val="none" w:sz="0" w:space="0" w:color="auto"/>
              </w:divBdr>
              <w:divsChild>
                <w:div w:id="628585396">
                  <w:marLeft w:val="0"/>
                  <w:marRight w:val="0"/>
                  <w:marTop w:val="0"/>
                  <w:marBottom w:val="0"/>
                  <w:divBdr>
                    <w:top w:val="none" w:sz="0" w:space="0" w:color="auto"/>
                    <w:left w:val="none" w:sz="0" w:space="0" w:color="auto"/>
                    <w:bottom w:val="none" w:sz="0" w:space="0" w:color="auto"/>
                    <w:right w:val="none" w:sz="0" w:space="0" w:color="auto"/>
                  </w:divBdr>
                </w:div>
              </w:divsChild>
            </w:div>
            <w:div w:id="842430257">
              <w:marLeft w:val="0"/>
              <w:marRight w:val="0"/>
              <w:marTop w:val="0"/>
              <w:marBottom w:val="0"/>
              <w:divBdr>
                <w:top w:val="none" w:sz="0" w:space="0" w:color="auto"/>
                <w:left w:val="none" w:sz="0" w:space="0" w:color="auto"/>
                <w:bottom w:val="none" w:sz="0" w:space="0" w:color="auto"/>
                <w:right w:val="none" w:sz="0" w:space="0" w:color="auto"/>
              </w:divBdr>
              <w:divsChild>
                <w:div w:id="171261951">
                  <w:marLeft w:val="0"/>
                  <w:marRight w:val="0"/>
                  <w:marTop w:val="0"/>
                  <w:marBottom w:val="0"/>
                  <w:divBdr>
                    <w:top w:val="none" w:sz="0" w:space="0" w:color="auto"/>
                    <w:left w:val="none" w:sz="0" w:space="0" w:color="auto"/>
                    <w:bottom w:val="none" w:sz="0" w:space="0" w:color="auto"/>
                    <w:right w:val="none" w:sz="0" w:space="0" w:color="auto"/>
                  </w:divBdr>
                </w:div>
              </w:divsChild>
            </w:div>
            <w:div w:id="1321272746">
              <w:marLeft w:val="0"/>
              <w:marRight w:val="0"/>
              <w:marTop w:val="0"/>
              <w:marBottom w:val="0"/>
              <w:divBdr>
                <w:top w:val="none" w:sz="0" w:space="0" w:color="auto"/>
                <w:left w:val="none" w:sz="0" w:space="0" w:color="auto"/>
                <w:bottom w:val="none" w:sz="0" w:space="0" w:color="auto"/>
                <w:right w:val="none" w:sz="0" w:space="0" w:color="auto"/>
              </w:divBdr>
              <w:divsChild>
                <w:div w:id="9787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5967">
          <w:marLeft w:val="0"/>
          <w:marRight w:val="0"/>
          <w:marTop w:val="0"/>
          <w:marBottom w:val="600"/>
          <w:divBdr>
            <w:top w:val="none" w:sz="0" w:space="0" w:color="auto"/>
            <w:left w:val="none" w:sz="0" w:space="0" w:color="auto"/>
            <w:bottom w:val="none" w:sz="0" w:space="0" w:color="auto"/>
            <w:right w:val="none" w:sz="0" w:space="0" w:color="auto"/>
          </w:divBdr>
        </w:div>
      </w:divsChild>
    </w:div>
    <w:div w:id="1864443676">
      <w:marLeft w:val="0"/>
      <w:marRight w:val="0"/>
      <w:marTop w:val="0"/>
      <w:marBottom w:val="0"/>
      <w:divBdr>
        <w:top w:val="none" w:sz="0" w:space="0" w:color="auto"/>
        <w:left w:val="none" w:sz="0" w:space="0" w:color="auto"/>
        <w:bottom w:val="none" w:sz="0" w:space="0" w:color="auto"/>
        <w:right w:val="none" w:sz="0" w:space="0" w:color="auto"/>
      </w:divBdr>
      <w:divsChild>
        <w:div w:id="190077087">
          <w:marLeft w:val="0"/>
          <w:marRight w:val="0"/>
          <w:marTop w:val="600"/>
          <w:marBottom w:val="0"/>
          <w:divBdr>
            <w:top w:val="none" w:sz="0" w:space="0" w:color="auto"/>
            <w:left w:val="none" w:sz="0" w:space="0" w:color="auto"/>
            <w:bottom w:val="none" w:sz="0" w:space="0" w:color="auto"/>
            <w:right w:val="none" w:sz="0" w:space="0" w:color="auto"/>
          </w:divBdr>
        </w:div>
        <w:div w:id="357899064">
          <w:marLeft w:val="0"/>
          <w:marRight w:val="0"/>
          <w:marTop w:val="0"/>
          <w:marBottom w:val="0"/>
          <w:divBdr>
            <w:top w:val="none" w:sz="0" w:space="0" w:color="auto"/>
            <w:left w:val="none" w:sz="0" w:space="0" w:color="auto"/>
            <w:bottom w:val="none" w:sz="0" w:space="0" w:color="auto"/>
            <w:right w:val="none" w:sz="0" w:space="0" w:color="auto"/>
          </w:divBdr>
          <w:divsChild>
            <w:div w:id="1311667776">
              <w:marLeft w:val="0"/>
              <w:marRight w:val="0"/>
              <w:marTop w:val="0"/>
              <w:marBottom w:val="0"/>
              <w:divBdr>
                <w:top w:val="none" w:sz="0" w:space="0" w:color="auto"/>
                <w:left w:val="none" w:sz="0" w:space="0" w:color="auto"/>
                <w:bottom w:val="none" w:sz="0" w:space="0" w:color="auto"/>
                <w:right w:val="none" w:sz="0" w:space="0" w:color="auto"/>
              </w:divBdr>
              <w:divsChild>
                <w:div w:id="2046713698">
                  <w:marLeft w:val="0"/>
                  <w:marRight w:val="0"/>
                  <w:marTop w:val="0"/>
                  <w:marBottom w:val="0"/>
                  <w:divBdr>
                    <w:top w:val="none" w:sz="0" w:space="0" w:color="auto"/>
                    <w:left w:val="none" w:sz="0" w:space="0" w:color="auto"/>
                    <w:bottom w:val="none" w:sz="0" w:space="0" w:color="auto"/>
                    <w:right w:val="none" w:sz="0" w:space="0" w:color="auto"/>
                  </w:divBdr>
                </w:div>
              </w:divsChild>
            </w:div>
            <w:div w:id="1728381995">
              <w:marLeft w:val="0"/>
              <w:marRight w:val="0"/>
              <w:marTop w:val="0"/>
              <w:marBottom w:val="0"/>
              <w:divBdr>
                <w:top w:val="none" w:sz="0" w:space="0" w:color="auto"/>
                <w:left w:val="none" w:sz="0" w:space="0" w:color="auto"/>
                <w:bottom w:val="none" w:sz="0" w:space="0" w:color="auto"/>
                <w:right w:val="none" w:sz="0" w:space="0" w:color="auto"/>
              </w:divBdr>
              <w:divsChild>
                <w:div w:id="686517925">
                  <w:marLeft w:val="0"/>
                  <w:marRight w:val="0"/>
                  <w:marTop w:val="0"/>
                  <w:marBottom w:val="0"/>
                  <w:divBdr>
                    <w:top w:val="none" w:sz="0" w:space="0" w:color="auto"/>
                    <w:left w:val="none" w:sz="0" w:space="0" w:color="auto"/>
                    <w:bottom w:val="none" w:sz="0" w:space="0" w:color="auto"/>
                    <w:right w:val="none" w:sz="0" w:space="0" w:color="auto"/>
                  </w:divBdr>
                </w:div>
              </w:divsChild>
            </w:div>
            <w:div w:id="463087522">
              <w:marLeft w:val="0"/>
              <w:marRight w:val="0"/>
              <w:marTop w:val="0"/>
              <w:marBottom w:val="0"/>
              <w:divBdr>
                <w:top w:val="none" w:sz="0" w:space="0" w:color="auto"/>
                <w:left w:val="none" w:sz="0" w:space="0" w:color="auto"/>
                <w:bottom w:val="none" w:sz="0" w:space="0" w:color="auto"/>
                <w:right w:val="none" w:sz="0" w:space="0" w:color="auto"/>
              </w:divBdr>
              <w:divsChild>
                <w:div w:id="1623615032">
                  <w:marLeft w:val="0"/>
                  <w:marRight w:val="0"/>
                  <w:marTop w:val="0"/>
                  <w:marBottom w:val="0"/>
                  <w:divBdr>
                    <w:top w:val="none" w:sz="0" w:space="0" w:color="auto"/>
                    <w:left w:val="none" w:sz="0" w:space="0" w:color="auto"/>
                    <w:bottom w:val="none" w:sz="0" w:space="0" w:color="auto"/>
                    <w:right w:val="none" w:sz="0" w:space="0" w:color="auto"/>
                  </w:divBdr>
                </w:div>
              </w:divsChild>
            </w:div>
            <w:div w:id="2096051168">
              <w:marLeft w:val="0"/>
              <w:marRight w:val="0"/>
              <w:marTop w:val="0"/>
              <w:marBottom w:val="0"/>
              <w:divBdr>
                <w:top w:val="none" w:sz="0" w:space="0" w:color="auto"/>
                <w:left w:val="none" w:sz="0" w:space="0" w:color="auto"/>
                <w:bottom w:val="none" w:sz="0" w:space="0" w:color="auto"/>
                <w:right w:val="none" w:sz="0" w:space="0" w:color="auto"/>
              </w:divBdr>
              <w:divsChild>
                <w:div w:id="325598142">
                  <w:marLeft w:val="0"/>
                  <w:marRight w:val="0"/>
                  <w:marTop w:val="0"/>
                  <w:marBottom w:val="0"/>
                  <w:divBdr>
                    <w:top w:val="none" w:sz="0" w:space="0" w:color="auto"/>
                    <w:left w:val="none" w:sz="0" w:space="0" w:color="auto"/>
                    <w:bottom w:val="none" w:sz="0" w:space="0" w:color="auto"/>
                    <w:right w:val="none" w:sz="0" w:space="0" w:color="auto"/>
                  </w:divBdr>
                </w:div>
              </w:divsChild>
            </w:div>
            <w:div w:id="606623914">
              <w:marLeft w:val="0"/>
              <w:marRight w:val="0"/>
              <w:marTop w:val="0"/>
              <w:marBottom w:val="0"/>
              <w:divBdr>
                <w:top w:val="none" w:sz="0" w:space="0" w:color="auto"/>
                <w:left w:val="none" w:sz="0" w:space="0" w:color="auto"/>
                <w:bottom w:val="none" w:sz="0" w:space="0" w:color="auto"/>
                <w:right w:val="none" w:sz="0" w:space="0" w:color="auto"/>
              </w:divBdr>
              <w:divsChild>
                <w:div w:id="575165974">
                  <w:marLeft w:val="0"/>
                  <w:marRight w:val="0"/>
                  <w:marTop w:val="0"/>
                  <w:marBottom w:val="0"/>
                  <w:divBdr>
                    <w:top w:val="none" w:sz="0" w:space="0" w:color="auto"/>
                    <w:left w:val="none" w:sz="0" w:space="0" w:color="auto"/>
                    <w:bottom w:val="none" w:sz="0" w:space="0" w:color="auto"/>
                    <w:right w:val="none" w:sz="0" w:space="0" w:color="auto"/>
                  </w:divBdr>
                </w:div>
              </w:divsChild>
            </w:div>
            <w:div w:id="1107505254">
              <w:marLeft w:val="0"/>
              <w:marRight w:val="0"/>
              <w:marTop w:val="0"/>
              <w:marBottom w:val="0"/>
              <w:divBdr>
                <w:top w:val="none" w:sz="0" w:space="0" w:color="auto"/>
                <w:left w:val="none" w:sz="0" w:space="0" w:color="auto"/>
                <w:bottom w:val="none" w:sz="0" w:space="0" w:color="auto"/>
                <w:right w:val="none" w:sz="0" w:space="0" w:color="auto"/>
              </w:divBdr>
              <w:divsChild>
                <w:div w:id="360012655">
                  <w:marLeft w:val="0"/>
                  <w:marRight w:val="0"/>
                  <w:marTop w:val="0"/>
                  <w:marBottom w:val="0"/>
                  <w:divBdr>
                    <w:top w:val="none" w:sz="0" w:space="0" w:color="auto"/>
                    <w:left w:val="none" w:sz="0" w:space="0" w:color="auto"/>
                    <w:bottom w:val="none" w:sz="0" w:space="0" w:color="auto"/>
                    <w:right w:val="none" w:sz="0" w:space="0" w:color="auto"/>
                  </w:divBdr>
                </w:div>
              </w:divsChild>
            </w:div>
            <w:div w:id="1615019438">
              <w:marLeft w:val="0"/>
              <w:marRight w:val="0"/>
              <w:marTop w:val="0"/>
              <w:marBottom w:val="0"/>
              <w:divBdr>
                <w:top w:val="none" w:sz="0" w:space="0" w:color="auto"/>
                <w:left w:val="none" w:sz="0" w:space="0" w:color="auto"/>
                <w:bottom w:val="none" w:sz="0" w:space="0" w:color="auto"/>
                <w:right w:val="none" w:sz="0" w:space="0" w:color="auto"/>
              </w:divBdr>
              <w:divsChild>
                <w:div w:id="1486433746">
                  <w:marLeft w:val="0"/>
                  <w:marRight w:val="0"/>
                  <w:marTop w:val="0"/>
                  <w:marBottom w:val="0"/>
                  <w:divBdr>
                    <w:top w:val="none" w:sz="0" w:space="0" w:color="auto"/>
                    <w:left w:val="none" w:sz="0" w:space="0" w:color="auto"/>
                    <w:bottom w:val="none" w:sz="0" w:space="0" w:color="auto"/>
                    <w:right w:val="none" w:sz="0" w:space="0" w:color="auto"/>
                  </w:divBdr>
                </w:div>
              </w:divsChild>
            </w:div>
            <w:div w:id="471018725">
              <w:marLeft w:val="0"/>
              <w:marRight w:val="0"/>
              <w:marTop w:val="0"/>
              <w:marBottom w:val="0"/>
              <w:divBdr>
                <w:top w:val="none" w:sz="0" w:space="0" w:color="auto"/>
                <w:left w:val="none" w:sz="0" w:space="0" w:color="auto"/>
                <w:bottom w:val="none" w:sz="0" w:space="0" w:color="auto"/>
                <w:right w:val="none" w:sz="0" w:space="0" w:color="auto"/>
              </w:divBdr>
              <w:divsChild>
                <w:div w:id="1211650181">
                  <w:marLeft w:val="0"/>
                  <w:marRight w:val="0"/>
                  <w:marTop w:val="0"/>
                  <w:marBottom w:val="0"/>
                  <w:divBdr>
                    <w:top w:val="none" w:sz="0" w:space="0" w:color="auto"/>
                    <w:left w:val="none" w:sz="0" w:space="0" w:color="auto"/>
                    <w:bottom w:val="none" w:sz="0" w:space="0" w:color="auto"/>
                    <w:right w:val="none" w:sz="0" w:space="0" w:color="auto"/>
                  </w:divBdr>
                </w:div>
              </w:divsChild>
            </w:div>
            <w:div w:id="1796750222">
              <w:marLeft w:val="0"/>
              <w:marRight w:val="0"/>
              <w:marTop w:val="0"/>
              <w:marBottom w:val="0"/>
              <w:divBdr>
                <w:top w:val="none" w:sz="0" w:space="0" w:color="auto"/>
                <w:left w:val="none" w:sz="0" w:space="0" w:color="auto"/>
                <w:bottom w:val="none" w:sz="0" w:space="0" w:color="auto"/>
                <w:right w:val="none" w:sz="0" w:space="0" w:color="auto"/>
              </w:divBdr>
              <w:divsChild>
                <w:div w:id="1855605391">
                  <w:marLeft w:val="0"/>
                  <w:marRight w:val="0"/>
                  <w:marTop w:val="0"/>
                  <w:marBottom w:val="0"/>
                  <w:divBdr>
                    <w:top w:val="none" w:sz="0" w:space="0" w:color="auto"/>
                    <w:left w:val="none" w:sz="0" w:space="0" w:color="auto"/>
                    <w:bottom w:val="none" w:sz="0" w:space="0" w:color="auto"/>
                    <w:right w:val="none" w:sz="0" w:space="0" w:color="auto"/>
                  </w:divBdr>
                </w:div>
              </w:divsChild>
            </w:div>
            <w:div w:id="1733969734">
              <w:marLeft w:val="0"/>
              <w:marRight w:val="0"/>
              <w:marTop w:val="0"/>
              <w:marBottom w:val="0"/>
              <w:divBdr>
                <w:top w:val="none" w:sz="0" w:space="0" w:color="auto"/>
                <w:left w:val="none" w:sz="0" w:space="0" w:color="auto"/>
                <w:bottom w:val="none" w:sz="0" w:space="0" w:color="auto"/>
                <w:right w:val="none" w:sz="0" w:space="0" w:color="auto"/>
              </w:divBdr>
              <w:divsChild>
                <w:div w:id="1275670994">
                  <w:marLeft w:val="0"/>
                  <w:marRight w:val="0"/>
                  <w:marTop w:val="0"/>
                  <w:marBottom w:val="0"/>
                  <w:divBdr>
                    <w:top w:val="none" w:sz="0" w:space="0" w:color="auto"/>
                    <w:left w:val="none" w:sz="0" w:space="0" w:color="auto"/>
                    <w:bottom w:val="none" w:sz="0" w:space="0" w:color="auto"/>
                    <w:right w:val="none" w:sz="0" w:space="0" w:color="auto"/>
                  </w:divBdr>
                </w:div>
              </w:divsChild>
            </w:div>
            <w:div w:id="239297494">
              <w:marLeft w:val="0"/>
              <w:marRight w:val="0"/>
              <w:marTop w:val="0"/>
              <w:marBottom w:val="0"/>
              <w:divBdr>
                <w:top w:val="none" w:sz="0" w:space="0" w:color="auto"/>
                <w:left w:val="none" w:sz="0" w:space="0" w:color="auto"/>
                <w:bottom w:val="none" w:sz="0" w:space="0" w:color="auto"/>
                <w:right w:val="none" w:sz="0" w:space="0" w:color="auto"/>
              </w:divBdr>
              <w:divsChild>
                <w:div w:id="1744989952">
                  <w:marLeft w:val="0"/>
                  <w:marRight w:val="0"/>
                  <w:marTop w:val="0"/>
                  <w:marBottom w:val="0"/>
                  <w:divBdr>
                    <w:top w:val="none" w:sz="0" w:space="0" w:color="auto"/>
                    <w:left w:val="none" w:sz="0" w:space="0" w:color="auto"/>
                    <w:bottom w:val="none" w:sz="0" w:space="0" w:color="auto"/>
                    <w:right w:val="none" w:sz="0" w:space="0" w:color="auto"/>
                  </w:divBdr>
                </w:div>
              </w:divsChild>
            </w:div>
            <w:div w:id="1785536418">
              <w:marLeft w:val="0"/>
              <w:marRight w:val="0"/>
              <w:marTop w:val="0"/>
              <w:marBottom w:val="0"/>
              <w:divBdr>
                <w:top w:val="none" w:sz="0" w:space="0" w:color="auto"/>
                <w:left w:val="none" w:sz="0" w:space="0" w:color="auto"/>
                <w:bottom w:val="none" w:sz="0" w:space="0" w:color="auto"/>
                <w:right w:val="none" w:sz="0" w:space="0" w:color="auto"/>
              </w:divBdr>
              <w:divsChild>
                <w:div w:id="913315724">
                  <w:marLeft w:val="0"/>
                  <w:marRight w:val="0"/>
                  <w:marTop w:val="0"/>
                  <w:marBottom w:val="0"/>
                  <w:divBdr>
                    <w:top w:val="none" w:sz="0" w:space="0" w:color="auto"/>
                    <w:left w:val="none" w:sz="0" w:space="0" w:color="auto"/>
                    <w:bottom w:val="none" w:sz="0" w:space="0" w:color="auto"/>
                    <w:right w:val="none" w:sz="0" w:space="0" w:color="auto"/>
                  </w:divBdr>
                </w:div>
              </w:divsChild>
            </w:div>
            <w:div w:id="979697880">
              <w:marLeft w:val="0"/>
              <w:marRight w:val="0"/>
              <w:marTop w:val="0"/>
              <w:marBottom w:val="0"/>
              <w:divBdr>
                <w:top w:val="none" w:sz="0" w:space="0" w:color="auto"/>
                <w:left w:val="none" w:sz="0" w:space="0" w:color="auto"/>
                <w:bottom w:val="none" w:sz="0" w:space="0" w:color="auto"/>
                <w:right w:val="none" w:sz="0" w:space="0" w:color="auto"/>
              </w:divBdr>
              <w:divsChild>
                <w:div w:id="533035011">
                  <w:marLeft w:val="0"/>
                  <w:marRight w:val="0"/>
                  <w:marTop w:val="0"/>
                  <w:marBottom w:val="0"/>
                  <w:divBdr>
                    <w:top w:val="none" w:sz="0" w:space="0" w:color="auto"/>
                    <w:left w:val="none" w:sz="0" w:space="0" w:color="auto"/>
                    <w:bottom w:val="none" w:sz="0" w:space="0" w:color="auto"/>
                    <w:right w:val="none" w:sz="0" w:space="0" w:color="auto"/>
                  </w:divBdr>
                </w:div>
              </w:divsChild>
            </w:div>
            <w:div w:id="195461050">
              <w:marLeft w:val="0"/>
              <w:marRight w:val="0"/>
              <w:marTop w:val="0"/>
              <w:marBottom w:val="0"/>
              <w:divBdr>
                <w:top w:val="none" w:sz="0" w:space="0" w:color="auto"/>
                <w:left w:val="none" w:sz="0" w:space="0" w:color="auto"/>
                <w:bottom w:val="none" w:sz="0" w:space="0" w:color="auto"/>
                <w:right w:val="none" w:sz="0" w:space="0" w:color="auto"/>
              </w:divBdr>
              <w:divsChild>
                <w:div w:id="1873692183">
                  <w:marLeft w:val="0"/>
                  <w:marRight w:val="0"/>
                  <w:marTop w:val="0"/>
                  <w:marBottom w:val="0"/>
                  <w:divBdr>
                    <w:top w:val="none" w:sz="0" w:space="0" w:color="auto"/>
                    <w:left w:val="none" w:sz="0" w:space="0" w:color="auto"/>
                    <w:bottom w:val="none" w:sz="0" w:space="0" w:color="auto"/>
                    <w:right w:val="none" w:sz="0" w:space="0" w:color="auto"/>
                  </w:divBdr>
                </w:div>
              </w:divsChild>
            </w:div>
            <w:div w:id="1935674425">
              <w:marLeft w:val="0"/>
              <w:marRight w:val="0"/>
              <w:marTop w:val="0"/>
              <w:marBottom w:val="0"/>
              <w:divBdr>
                <w:top w:val="none" w:sz="0" w:space="0" w:color="auto"/>
                <w:left w:val="none" w:sz="0" w:space="0" w:color="auto"/>
                <w:bottom w:val="none" w:sz="0" w:space="0" w:color="auto"/>
                <w:right w:val="none" w:sz="0" w:space="0" w:color="auto"/>
              </w:divBdr>
              <w:divsChild>
                <w:div w:id="614487656">
                  <w:marLeft w:val="0"/>
                  <w:marRight w:val="0"/>
                  <w:marTop w:val="0"/>
                  <w:marBottom w:val="0"/>
                  <w:divBdr>
                    <w:top w:val="none" w:sz="0" w:space="0" w:color="auto"/>
                    <w:left w:val="none" w:sz="0" w:space="0" w:color="auto"/>
                    <w:bottom w:val="none" w:sz="0" w:space="0" w:color="auto"/>
                    <w:right w:val="none" w:sz="0" w:space="0" w:color="auto"/>
                  </w:divBdr>
                </w:div>
              </w:divsChild>
            </w:div>
            <w:div w:id="320012576">
              <w:marLeft w:val="0"/>
              <w:marRight w:val="0"/>
              <w:marTop w:val="0"/>
              <w:marBottom w:val="0"/>
              <w:divBdr>
                <w:top w:val="none" w:sz="0" w:space="0" w:color="auto"/>
                <w:left w:val="none" w:sz="0" w:space="0" w:color="auto"/>
                <w:bottom w:val="none" w:sz="0" w:space="0" w:color="auto"/>
                <w:right w:val="none" w:sz="0" w:space="0" w:color="auto"/>
              </w:divBdr>
              <w:divsChild>
                <w:div w:id="1821458370">
                  <w:marLeft w:val="0"/>
                  <w:marRight w:val="0"/>
                  <w:marTop w:val="0"/>
                  <w:marBottom w:val="0"/>
                  <w:divBdr>
                    <w:top w:val="none" w:sz="0" w:space="0" w:color="auto"/>
                    <w:left w:val="none" w:sz="0" w:space="0" w:color="auto"/>
                    <w:bottom w:val="none" w:sz="0" w:space="0" w:color="auto"/>
                    <w:right w:val="none" w:sz="0" w:space="0" w:color="auto"/>
                  </w:divBdr>
                </w:div>
              </w:divsChild>
            </w:div>
            <w:div w:id="1868252995">
              <w:marLeft w:val="0"/>
              <w:marRight w:val="0"/>
              <w:marTop w:val="0"/>
              <w:marBottom w:val="0"/>
              <w:divBdr>
                <w:top w:val="none" w:sz="0" w:space="0" w:color="auto"/>
                <w:left w:val="none" w:sz="0" w:space="0" w:color="auto"/>
                <w:bottom w:val="none" w:sz="0" w:space="0" w:color="auto"/>
                <w:right w:val="none" w:sz="0" w:space="0" w:color="auto"/>
              </w:divBdr>
              <w:divsChild>
                <w:div w:id="521824309">
                  <w:marLeft w:val="0"/>
                  <w:marRight w:val="0"/>
                  <w:marTop w:val="0"/>
                  <w:marBottom w:val="0"/>
                  <w:divBdr>
                    <w:top w:val="none" w:sz="0" w:space="0" w:color="auto"/>
                    <w:left w:val="none" w:sz="0" w:space="0" w:color="auto"/>
                    <w:bottom w:val="none" w:sz="0" w:space="0" w:color="auto"/>
                    <w:right w:val="none" w:sz="0" w:space="0" w:color="auto"/>
                  </w:divBdr>
                </w:div>
              </w:divsChild>
            </w:div>
            <w:div w:id="1284728171">
              <w:marLeft w:val="0"/>
              <w:marRight w:val="0"/>
              <w:marTop w:val="0"/>
              <w:marBottom w:val="0"/>
              <w:divBdr>
                <w:top w:val="none" w:sz="0" w:space="0" w:color="auto"/>
                <w:left w:val="none" w:sz="0" w:space="0" w:color="auto"/>
                <w:bottom w:val="none" w:sz="0" w:space="0" w:color="auto"/>
                <w:right w:val="none" w:sz="0" w:space="0" w:color="auto"/>
              </w:divBdr>
              <w:divsChild>
                <w:div w:id="1867252758">
                  <w:marLeft w:val="0"/>
                  <w:marRight w:val="0"/>
                  <w:marTop w:val="0"/>
                  <w:marBottom w:val="0"/>
                  <w:divBdr>
                    <w:top w:val="none" w:sz="0" w:space="0" w:color="auto"/>
                    <w:left w:val="none" w:sz="0" w:space="0" w:color="auto"/>
                    <w:bottom w:val="none" w:sz="0" w:space="0" w:color="auto"/>
                    <w:right w:val="none" w:sz="0" w:space="0" w:color="auto"/>
                  </w:divBdr>
                </w:div>
              </w:divsChild>
            </w:div>
            <w:div w:id="1656688131">
              <w:marLeft w:val="0"/>
              <w:marRight w:val="0"/>
              <w:marTop w:val="0"/>
              <w:marBottom w:val="0"/>
              <w:divBdr>
                <w:top w:val="none" w:sz="0" w:space="0" w:color="auto"/>
                <w:left w:val="none" w:sz="0" w:space="0" w:color="auto"/>
                <w:bottom w:val="none" w:sz="0" w:space="0" w:color="auto"/>
                <w:right w:val="none" w:sz="0" w:space="0" w:color="auto"/>
              </w:divBdr>
              <w:divsChild>
                <w:div w:id="1712028596">
                  <w:marLeft w:val="0"/>
                  <w:marRight w:val="0"/>
                  <w:marTop w:val="0"/>
                  <w:marBottom w:val="0"/>
                  <w:divBdr>
                    <w:top w:val="none" w:sz="0" w:space="0" w:color="auto"/>
                    <w:left w:val="none" w:sz="0" w:space="0" w:color="auto"/>
                    <w:bottom w:val="none" w:sz="0" w:space="0" w:color="auto"/>
                    <w:right w:val="none" w:sz="0" w:space="0" w:color="auto"/>
                  </w:divBdr>
                </w:div>
              </w:divsChild>
            </w:div>
            <w:div w:id="997685062">
              <w:marLeft w:val="0"/>
              <w:marRight w:val="0"/>
              <w:marTop w:val="0"/>
              <w:marBottom w:val="0"/>
              <w:divBdr>
                <w:top w:val="none" w:sz="0" w:space="0" w:color="auto"/>
                <w:left w:val="none" w:sz="0" w:space="0" w:color="auto"/>
                <w:bottom w:val="none" w:sz="0" w:space="0" w:color="auto"/>
                <w:right w:val="none" w:sz="0" w:space="0" w:color="auto"/>
              </w:divBdr>
              <w:divsChild>
                <w:div w:id="539633355">
                  <w:marLeft w:val="0"/>
                  <w:marRight w:val="0"/>
                  <w:marTop w:val="0"/>
                  <w:marBottom w:val="0"/>
                  <w:divBdr>
                    <w:top w:val="none" w:sz="0" w:space="0" w:color="auto"/>
                    <w:left w:val="none" w:sz="0" w:space="0" w:color="auto"/>
                    <w:bottom w:val="none" w:sz="0" w:space="0" w:color="auto"/>
                    <w:right w:val="none" w:sz="0" w:space="0" w:color="auto"/>
                  </w:divBdr>
                </w:div>
              </w:divsChild>
            </w:div>
            <w:div w:id="1365137741">
              <w:marLeft w:val="0"/>
              <w:marRight w:val="0"/>
              <w:marTop w:val="0"/>
              <w:marBottom w:val="0"/>
              <w:divBdr>
                <w:top w:val="none" w:sz="0" w:space="0" w:color="auto"/>
                <w:left w:val="none" w:sz="0" w:space="0" w:color="auto"/>
                <w:bottom w:val="none" w:sz="0" w:space="0" w:color="auto"/>
                <w:right w:val="none" w:sz="0" w:space="0" w:color="auto"/>
              </w:divBdr>
              <w:divsChild>
                <w:div w:id="1714579639">
                  <w:marLeft w:val="0"/>
                  <w:marRight w:val="0"/>
                  <w:marTop w:val="0"/>
                  <w:marBottom w:val="0"/>
                  <w:divBdr>
                    <w:top w:val="none" w:sz="0" w:space="0" w:color="auto"/>
                    <w:left w:val="none" w:sz="0" w:space="0" w:color="auto"/>
                    <w:bottom w:val="none" w:sz="0" w:space="0" w:color="auto"/>
                    <w:right w:val="none" w:sz="0" w:space="0" w:color="auto"/>
                  </w:divBdr>
                </w:div>
              </w:divsChild>
            </w:div>
            <w:div w:id="28577392">
              <w:marLeft w:val="0"/>
              <w:marRight w:val="0"/>
              <w:marTop w:val="0"/>
              <w:marBottom w:val="0"/>
              <w:divBdr>
                <w:top w:val="none" w:sz="0" w:space="0" w:color="auto"/>
                <w:left w:val="none" w:sz="0" w:space="0" w:color="auto"/>
                <w:bottom w:val="none" w:sz="0" w:space="0" w:color="auto"/>
                <w:right w:val="none" w:sz="0" w:space="0" w:color="auto"/>
              </w:divBdr>
              <w:divsChild>
                <w:div w:id="1957716939">
                  <w:marLeft w:val="0"/>
                  <w:marRight w:val="0"/>
                  <w:marTop w:val="0"/>
                  <w:marBottom w:val="0"/>
                  <w:divBdr>
                    <w:top w:val="none" w:sz="0" w:space="0" w:color="auto"/>
                    <w:left w:val="none" w:sz="0" w:space="0" w:color="auto"/>
                    <w:bottom w:val="none" w:sz="0" w:space="0" w:color="auto"/>
                    <w:right w:val="none" w:sz="0" w:space="0" w:color="auto"/>
                  </w:divBdr>
                </w:div>
              </w:divsChild>
            </w:div>
            <w:div w:id="1941984608">
              <w:marLeft w:val="0"/>
              <w:marRight w:val="0"/>
              <w:marTop w:val="0"/>
              <w:marBottom w:val="0"/>
              <w:divBdr>
                <w:top w:val="none" w:sz="0" w:space="0" w:color="auto"/>
                <w:left w:val="none" w:sz="0" w:space="0" w:color="auto"/>
                <w:bottom w:val="none" w:sz="0" w:space="0" w:color="auto"/>
                <w:right w:val="none" w:sz="0" w:space="0" w:color="auto"/>
              </w:divBdr>
              <w:divsChild>
                <w:div w:id="1922056096">
                  <w:marLeft w:val="0"/>
                  <w:marRight w:val="0"/>
                  <w:marTop w:val="0"/>
                  <w:marBottom w:val="0"/>
                  <w:divBdr>
                    <w:top w:val="none" w:sz="0" w:space="0" w:color="auto"/>
                    <w:left w:val="none" w:sz="0" w:space="0" w:color="auto"/>
                    <w:bottom w:val="none" w:sz="0" w:space="0" w:color="auto"/>
                    <w:right w:val="none" w:sz="0" w:space="0" w:color="auto"/>
                  </w:divBdr>
                </w:div>
              </w:divsChild>
            </w:div>
            <w:div w:id="341400219">
              <w:marLeft w:val="0"/>
              <w:marRight w:val="0"/>
              <w:marTop w:val="0"/>
              <w:marBottom w:val="0"/>
              <w:divBdr>
                <w:top w:val="none" w:sz="0" w:space="0" w:color="auto"/>
                <w:left w:val="none" w:sz="0" w:space="0" w:color="auto"/>
                <w:bottom w:val="none" w:sz="0" w:space="0" w:color="auto"/>
                <w:right w:val="none" w:sz="0" w:space="0" w:color="auto"/>
              </w:divBdr>
              <w:divsChild>
                <w:div w:id="1666661467">
                  <w:marLeft w:val="0"/>
                  <w:marRight w:val="0"/>
                  <w:marTop w:val="0"/>
                  <w:marBottom w:val="0"/>
                  <w:divBdr>
                    <w:top w:val="none" w:sz="0" w:space="0" w:color="auto"/>
                    <w:left w:val="none" w:sz="0" w:space="0" w:color="auto"/>
                    <w:bottom w:val="none" w:sz="0" w:space="0" w:color="auto"/>
                    <w:right w:val="none" w:sz="0" w:space="0" w:color="auto"/>
                  </w:divBdr>
                </w:div>
              </w:divsChild>
            </w:div>
            <w:div w:id="564680167">
              <w:marLeft w:val="0"/>
              <w:marRight w:val="0"/>
              <w:marTop w:val="0"/>
              <w:marBottom w:val="0"/>
              <w:divBdr>
                <w:top w:val="none" w:sz="0" w:space="0" w:color="auto"/>
                <w:left w:val="none" w:sz="0" w:space="0" w:color="auto"/>
                <w:bottom w:val="none" w:sz="0" w:space="0" w:color="auto"/>
                <w:right w:val="none" w:sz="0" w:space="0" w:color="auto"/>
              </w:divBdr>
              <w:divsChild>
                <w:div w:id="351539442">
                  <w:marLeft w:val="0"/>
                  <w:marRight w:val="0"/>
                  <w:marTop w:val="0"/>
                  <w:marBottom w:val="0"/>
                  <w:divBdr>
                    <w:top w:val="none" w:sz="0" w:space="0" w:color="auto"/>
                    <w:left w:val="none" w:sz="0" w:space="0" w:color="auto"/>
                    <w:bottom w:val="none" w:sz="0" w:space="0" w:color="auto"/>
                    <w:right w:val="none" w:sz="0" w:space="0" w:color="auto"/>
                  </w:divBdr>
                </w:div>
              </w:divsChild>
            </w:div>
            <w:div w:id="1818036787">
              <w:marLeft w:val="0"/>
              <w:marRight w:val="0"/>
              <w:marTop w:val="0"/>
              <w:marBottom w:val="0"/>
              <w:divBdr>
                <w:top w:val="none" w:sz="0" w:space="0" w:color="auto"/>
                <w:left w:val="none" w:sz="0" w:space="0" w:color="auto"/>
                <w:bottom w:val="none" w:sz="0" w:space="0" w:color="auto"/>
                <w:right w:val="none" w:sz="0" w:space="0" w:color="auto"/>
              </w:divBdr>
              <w:divsChild>
                <w:div w:id="482086722">
                  <w:marLeft w:val="0"/>
                  <w:marRight w:val="0"/>
                  <w:marTop w:val="0"/>
                  <w:marBottom w:val="0"/>
                  <w:divBdr>
                    <w:top w:val="none" w:sz="0" w:space="0" w:color="auto"/>
                    <w:left w:val="none" w:sz="0" w:space="0" w:color="auto"/>
                    <w:bottom w:val="none" w:sz="0" w:space="0" w:color="auto"/>
                    <w:right w:val="none" w:sz="0" w:space="0" w:color="auto"/>
                  </w:divBdr>
                </w:div>
              </w:divsChild>
            </w:div>
            <w:div w:id="1185559438">
              <w:marLeft w:val="0"/>
              <w:marRight w:val="0"/>
              <w:marTop w:val="0"/>
              <w:marBottom w:val="0"/>
              <w:divBdr>
                <w:top w:val="none" w:sz="0" w:space="0" w:color="auto"/>
                <w:left w:val="none" w:sz="0" w:space="0" w:color="auto"/>
                <w:bottom w:val="none" w:sz="0" w:space="0" w:color="auto"/>
                <w:right w:val="none" w:sz="0" w:space="0" w:color="auto"/>
              </w:divBdr>
              <w:divsChild>
                <w:div w:id="1331568237">
                  <w:marLeft w:val="0"/>
                  <w:marRight w:val="0"/>
                  <w:marTop w:val="0"/>
                  <w:marBottom w:val="0"/>
                  <w:divBdr>
                    <w:top w:val="none" w:sz="0" w:space="0" w:color="auto"/>
                    <w:left w:val="none" w:sz="0" w:space="0" w:color="auto"/>
                    <w:bottom w:val="none" w:sz="0" w:space="0" w:color="auto"/>
                    <w:right w:val="none" w:sz="0" w:space="0" w:color="auto"/>
                  </w:divBdr>
                </w:div>
              </w:divsChild>
            </w:div>
            <w:div w:id="243145213">
              <w:marLeft w:val="0"/>
              <w:marRight w:val="0"/>
              <w:marTop w:val="0"/>
              <w:marBottom w:val="0"/>
              <w:divBdr>
                <w:top w:val="none" w:sz="0" w:space="0" w:color="auto"/>
                <w:left w:val="none" w:sz="0" w:space="0" w:color="auto"/>
                <w:bottom w:val="none" w:sz="0" w:space="0" w:color="auto"/>
                <w:right w:val="none" w:sz="0" w:space="0" w:color="auto"/>
              </w:divBdr>
              <w:divsChild>
                <w:div w:id="17352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0625">
          <w:marLeft w:val="0"/>
          <w:marRight w:val="0"/>
          <w:marTop w:val="0"/>
          <w:marBottom w:val="600"/>
          <w:divBdr>
            <w:top w:val="none" w:sz="0" w:space="0" w:color="auto"/>
            <w:left w:val="none" w:sz="0" w:space="0" w:color="auto"/>
            <w:bottom w:val="none" w:sz="0" w:space="0" w:color="auto"/>
            <w:right w:val="none" w:sz="0" w:space="0" w:color="auto"/>
          </w:divBdr>
        </w:div>
      </w:divsChild>
    </w:div>
    <w:div w:id="1870869830">
      <w:marLeft w:val="0"/>
      <w:marRight w:val="0"/>
      <w:marTop w:val="0"/>
      <w:marBottom w:val="0"/>
      <w:divBdr>
        <w:top w:val="none" w:sz="0" w:space="0" w:color="auto"/>
        <w:left w:val="none" w:sz="0" w:space="0" w:color="auto"/>
        <w:bottom w:val="none" w:sz="0" w:space="0" w:color="auto"/>
        <w:right w:val="none" w:sz="0" w:space="0" w:color="auto"/>
      </w:divBdr>
      <w:divsChild>
        <w:div w:id="1366909629">
          <w:marLeft w:val="0"/>
          <w:marRight w:val="0"/>
          <w:marTop w:val="600"/>
          <w:marBottom w:val="0"/>
          <w:divBdr>
            <w:top w:val="none" w:sz="0" w:space="0" w:color="auto"/>
            <w:left w:val="none" w:sz="0" w:space="0" w:color="auto"/>
            <w:bottom w:val="none" w:sz="0" w:space="0" w:color="auto"/>
            <w:right w:val="none" w:sz="0" w:space="0" w:color="auto"/>
          </w:divBdr>
        </w:div>
        <w:div w:id="109710267">
          <w:marLeft w:val="0"/>
          <w:marRight w:val="0"/>
          <w:marTop w:val="0"/>
          <w:marBottom w:val="0"/>
          <w:divBdr>
            <w:top w:val="none" w:sz="0" w:space="0" w:color="auto"/>
            <w:left w:val="none" w:sz="0" w:space="0" w:color="auto"/>
            <w:bottom w:val="none" w:sz="0" w:space="0" w:color="auto"/>
            <w:right w:val="none" w:sz="0" w:space="0" w:color="auto"/>
          </w:divBdr>
        </w:div>
        <w:div w:id="286936082">
          <w:marLeft w:val="0"/>
          <w:marRight w:val="0"/>
          <w:marTop w:val="0"/>
          <w:marBottom w:val="600"/>
          <w:divBdr>
            <w:top w:val="none" w:sz="0" w:space="0" w:color="auto"/>
            <w:left w:val="none" w:sz="0" w:space="0" w:color="auto"/>
            <w:bottom w:val="none" w:sz="0" w:space="0" w:color="auto"/>
            <w:right w:val="none" w:sz="0" w:space="0" w:color="auto"/>
          </w:divBdr>
        </w:div>
      </w:divsChild>
    </w:div>
    <w:div w:id="1876504473">
      <w:marLeft w:val="0"/>
      <w:marRight w:val="0"/>
      <w:marTop w:val="0"/>
      <w:marBottom w:val="0"/>
      <w:divBdr>
        <w:top w:val="none" w:sz="0" w:space="0" w:color="auto"/>
        <w:left w:val="none" w:sz="0" w:space="0" w:color="auto"/>
        <w:bottom w:val="none" w:sz="0" w:space="0" w:color="auto"/>
        <w:right w:val="none" w:sz="0" w:space="0" w:color="auto"/>
      </w:divBdr>
      <w:divsChild>
        <w:div w:id="1895462176">
          <w:marLeft w:val="0"/>
          <w:marRight w:val="0"/>
          <w:marTop w:val="600"/>
          <w:marBottom w:val="0"/>
          <w:divBdr>
            <w:top w:val="none" w:sz="0" w:space="0" w:color="auto"/>
            <w:left w:val="none" w:sz="0" w:space="0" w:color="auto"/>
            <w:bottom w:val="none" w:sz="0" w:space="0" w:color="auto"/>
            <w:right w:val="none" w:sz="0" w:space="0" w:color="auto"/>
          </w:divBdr>
        </w:div>
        <w:div w:id="2096170905">
          <w:marLeft w:val="0"/>
          <w:marRight w:val="0"/>
          <w:marTop w:val="0"/>
          <w:marBottom w:val="0"/>
          <w:divBdr>
            <w:top w:val="none" w:sz="0" w:space="0" w:color="auto"/>
            <w:left w:val="none" w:sz="0" w:space="0" w:color="auto"/>
            <w:bottom w:val="none" w:sz="0" w:space="0" w:color="auto"/>
            <w:right w:val="none" w:sz="0" w:space="0" w:color="auto"/>
          </w:divBdr>
        </w:div>
        <w:div w:id="2013725953">
          <w:marLeft w:val="0"/>
          <w:marRight w:val="0"/>
          <w:marTop w:val="0"/>
          <w:marBottom w:val="600"/>
          <w:divBdr>
            <w:top w:val="none" w:sz="0" w:space="0" w:color="auto"/>
            <w:left w:val="none" w:sz="0" w:space="0" w:color="auto"/>
            <w:bottom w:val="none" w:sz="0" w:space="0" w:color="auto"/>
            <w:right w:val="none" w:sz="0" w:space="0" w:color="auto"/>
          </w:divBdr>
        </w:div>
      </w:divsChild>
    </w:div>
    <w:div w:id="1912618901">
      <w:marLeft w:val="0"/>
      <w:marRight w:val="0"/>
      <w:marTop w:val="0"/>
      <w:marBottom w:val="0"/>
      <w:divBdr>
        <w:top w:val="none" w:sz="0" w:space="0" w:color="auto"/>
        <w:left w:val="none" w:sz="0" w:space="0" w:color="auto"/>
        <w:bottom w:val="none" w:sz="0" w:space="0" w:color="auto"/>
        <w:right w:val="none" w:sz="0" w:space="0" w:color="auto"/>
      </w:divBdr>
      <w:divsChild>
        <w:div w:id="801658645">
          <w:marLeft w:val="0"/>
          <w:marRight w:val="0"/>
          <w:marTop w:val="600"/>
          <w:marBottom w:val="0"/>
          <w:divBdr>
            <w:top w:val="none" w:sz="0" w:space="0" w:color="auto"/>
            <w:left w:val="none" w:sz="0" w:space="0" w:color="auto"/>
            <w:bottom w:val="none" w:sz="0" w:space="0" w:color="auto"/>
            <w:right w:val="none" w:sz="0" w:space="0" w:color="auto"/>
          </w:divBdr>
        </w:div>
        <w:div w:id="1990330251">
          <w:marLeft w:val="0"/>
          <w:marRight w:val="0"/>
          <w:marTop w:val="0"/>
          <w:marBottom w:val="0"/>
          <w:divBdr>
            <w:top w:val="none" w:sz="0" w:space="0" w:color="auto"/>
            <w:left w:val="none" w:sz="0" w:space="0" w:color="auto"/>
            <w:bottom w:val="none" w:sz="0" w:space="0" w:color="auto"/>
            <w:right w:val="none" w:sz="0" w:space="0" w:color="auto"/>
          </w:divBdr>
          <w:divsChild>
            <w:div w:id="1735085217">
              <w:marLeft w:val="547"/>
              <w:marRight w:val="0"/>
              <w:marTop w:val="0"/>
              <w:marBottom w:val="0"/>
              <w:divBdr>
                <w:top w:val="none" w:sz="0" w:space="0" w:color="auto"/>
                <w:left w:val="none" w:sz="0" w:space="0" w:color="auto"/>
                <w:bottom w:val="none" w:sz="0" w:space="0" w:color="auto"/>
                <w:right w:val="none" w:sz="0" w:space="0" w:color="auto"/>
              </w:divBdr>
            </w:div>
            <w:div w:id="1530215890">
              <w:marLeft w:val="547"/>
              <w:marRight w:val="0"/>
              <w:marTop w:val="0"/>
              <w:marBottom w:val="0"/>
              <w:divBdr>
                <w:top w:val="none" w:sz="0" w:space="0" w:color="auto"/>
                <w:left w:val="none" w:sz="0" w:space="0" w:color="auto"/>
                <w:bottom w:val="none" w:sz="0" w:space="0" w:color="auto"/>
                <w:right w:val="none" w:sz="0" w:space="0" w:color="auto"/>
              </w:divBdr>
            </w:div>
            <w:div w:id="996491350">
              <w:marLeft w:val="547"/>
              <w:marRight w:val="0"/>
              <w:marTop w:val="0"/>
              <w:marBottom w:val="0"/>
              <w:divBdr>
                <w:top w:val="none" w:sz="0" w:space="0" w:color="auto"/>
                <w:left w:val="none" w:sz="0" w:space="0" w:color="auto"/>
                <w:bottom w:val="none" w:sz="0" w:space="0" w:color="auto"/>
                <w:right w:val="none" w:sz="0" w:space="0" w:color="auto"/>
              </w:divBdr>
            </w:div>
            <w:div w:id="914586631">
              <w:marLeft w:val="547"/>
              <w:marRight w:val="0"/>
              <w:marTop w:val="0"/>
              <w:marBottom w:val="0"/>
              <w:divBdr>
                <w:top w:val="none" w:sz="0" w:space="0" w:color="auto"/>
                <w:left w:val="none" w:sz="0" w:space="0" w:color="auto"/>
                <w:bottom w:val="none" w:sz="0" w:space="0" w:color="auto"/>
                <w:right w:val="none" w:sz="0" w:space="0" w:color="auto"/>
              </w:divBdr>
            </w:div>
            <w:div w:id="1134833215">
              <w:marLeft w:val="547"/>
              <w:marRight w:val="0"/>
              <w:marTop w:val="0"/>
              <w:marBottom w:val="0"/>
              <w:divBdr>
                <w:top w:val="none" w:sz="0" w:space="0" w:color="auto"/>
                <w:left w:val="none" w:sz="0" w:space="0" w:color="auto"/>
                <w:bottom w:val="none" w:sz="0" w:space="0" w:color="auto"/>
                <w:right w:val="none" w:sz="0" w:space="0" w:color="auto"/>
              </w:divBdr>
            </w:div>
            <w:div w:id="1281034716">
              <w:marLeft w:val="547"/>
              <w:marRight w:val="0"/>
              <w:marTop w:val="0"/>
              <w:marBottom w:val="0"/>
              <w:divBdr>
                <w:top w:val="none" w:sz="0" w:space="0" w:color="auto"/>
                <w:left w:val="none" w:sz="0" w:space="0" w:color="auto"/>
                <w:bottom w:val="none" w:sz="0" w:space="0" w:color="auto"/>
                <w:right w:val="none" w:sz="0" w:space="0" w:color="auto"/>
              </w:divBdr>
            </w:div>
            <w:div w:id="1385832654">
              <w:marLeft w:val="547"/>
              <w:marRight w:val="0"/>
              <w:marTop w:val="0"/>
              <w:marBottom w:val="0"/>
              <w:divBdr>
                <w:top w:val="none" w:sz="0" w:space="0" w:color="auto"/>
                <w:left w:val="none" w:sz="0" w:space="0" w:color="auto"/>
                <w:bottom w:val="none" w:sz="0" w:space="0" w:color="auto"/>
                <w:right w:val="none" w:sz="0" w:space="0" w:color="auto"/>
              </w:divBdr>
            </w:div>
            <w:div w:id="74207217">
              <w:marLeft w:val="547"/>
              <w:marRight w:val="0"/>
              <w:marTop w:val="0"/>
              <w:marBottom w:val="0"/>
              <w:divBdr>
                <w:top w:val="none" w:sz="0" w:space="0" w:color="auto"/>
                <w:left w:val="none" w:sz="0" w:space="0" w:color="auto"/>
                <w:bottom w:val="none" w:sz="0" w:space="0" w:color="auto"/>
                <w:right w:val="none" w:sz="0" w:space="0" w:color="auto"/>
              </w:divBdr>
            </w:div>
          </w:divsChild>
        </w:div>
        <w:div w:id="2090617721">
          <w:marLeft w:val="0"/>
          <w:marRight w:val="0"/>
          <w:marTop w:val="0"/>
          <w:marBottom w:val="600"/>
          <w:divBdr>
            <w:top w:val="none" w:sz="0" w:space="0" w:color="auto"/>
            <w:left w:val="none" w:sz="0" w:space="0" w:color="auto"/>
            <w:bottom w:val="none" w:sz="0" w:space="0" w:color="auto"/>
            <w:right w:val="none" w:sz="0" w:space="0" w:color="auto"/>
          </w:divBdr>
        </w:div>
      </w:divsChild>
    </w:div>
    <w:div w:id="1941252354">
      <w:marLeft w:val="0"/>
      <w:marRight w:val="0"/>
      <w:marTop w:val="0"/>
      <w:marBottom w:val="0"/>
      <w:divBdr>
        <w:top w:val="none" w:sz="0" w:space="0" w:color="auto"/>
        <w:left w:val="none" w:sz="0" w:space="0" w:color="auto"/>
        <w:bottom w:val="none" w:sz="0" w:space="0" w:color="auto"/>
        <w:right w:val="none" w:sz="0" w:space="0" w:color="auto"/>
      </w:divBdr>
      <w:divsChild>
        <w:div w:id="312221626">
          <w:marLeft w:val="0"/>
          <w:marRight w:val="0"/>
          <w:marTop w:val="600"/>
          <w:marBottom w:val="0"/>
          <w:divBdr>
            <w:top w:val="none" w:sz="0" w:space="0" w:color="auto"/>
            <w:left w:val="none" w:sz="0" w:space="0" w:color="auto"/>
            <w:bottom w:val="none" w:sz="0" w:space="0" w:color="auto"/>
            <w:right w:val="none" w:sz="0" w:space="0" w:color="auto"/>
          </w:divBdr>
        </w:div>
        <w:div w:id="547113282">
          <w:marLeft w:val="0"/>
          <w:marRight w:val="0"/>
          <w:marTop w:val="0"/>
          <w:marBottom w:val="0"/>
          <w:divBdr>
            <w:top w:val="none" w:sz="0" w:space="0" w:color="auto"/>
            <w:left w:val="none" w:sz="0" w:space="0" w:color="auto"/>
            <w:bottom w:val="none" w:sz="0" w:space="0" w:color="auto"/>
            <w:right w:val="none" w:sz="0" w:space="0" w:color="auto"/>
          </w:divBdr>
        </w:div>
        <w:div w:id="2037004068">
          <w:marLeft w:val="0"/>
          <w:marRight w:val="0"/>
          <w:marTop w:val="0"/>
          <w:marBottom w:val="600"/>
          <w:divBdr>
            <w:top w:val="none" w:sz="0" w:space="0" w:color="auto"/>
            <w:left w:val="none" w:sz="0" w:space="0" w:color="auto"/>
            <w:bottom w:val="none" w:sz="0" w:space="0" w:color="auto"/>
            <w:right w:val="none" w:sz="0" w:space="0" w:color="auto"/>
          </w:divBdr>
        </w:div>
      </w:divsChild>
    </w:div>
    <w:div w:id="1943217928">
      <w:marLeft w:val="0"/>
      <w:marRight w:val="0"/>
      <w:marTop w:val="0"/>
      <w:marBottom w:val="0"/>
      <w:divBdr>
        <w:top w:val="none" w:sz="0" w:space="0" w:color="auto"/>
        <w:left w:val="none" w:sz="0" w:space="0" w:color="auto"/>
        <w:bottom w:val="none" w:sz="0" w:space="0" w:color="auto"/>
        <w:right w:val="none" w:sz="0" w:space="0" w:color="auto"/>
      </w:divBdr>
      <w:divsChild>
        <w:div w:id="1083262827">
          <w:marLeft w:val="0"/>
          <w:marRight w:val="0"/>
          <w:marTop w:val="600"/>
          <w:marBottom w:val="0"/>
          <w:divBdr>
            <w:top w:val="none" w:sz="0" w:space="0" w:color="auto"/>
            <w:left w:val="none" w:sz="0" w:space="0" w:color="auto"/>
            <w:bottom w:val="none" w:sz="0" w:space="0" w:color="auto"/>
            <w:right w:val="none" w:sz="0" w:space="0" w:color="auto"/>
          </w:divBdr>
        </w:div>
        <w:div w:id="1653633271">
          <w:marLeft w:val="0"/>
          <w:marRight w:val="0"/>
          <w:marTop w:val="0"/>
          <w:marBottom w:val="0"/>
          <w:divBdr>
            <w:top w:val="none" w:sz="0" w:space="0" w:color="auto"/>
            <w:left w:val="none" w:sz="0" w:space="0" w:color="auto"/>
            <w:bottom w:val="none" w:sz="0" w:space="0" w:color="auto"/>
            <w:right w:val="none" w:sz="0" w:space="0" w:color="auto"/>
          </w:divBdr>
        </w:div>
        <w:div w:id="1807772836">
          <w:marLeft w:val="0"/>
          <w:marRight w:val="0"/>
          <w:marTop w:val="0"/>
          <w:marBottom w:val="600"/>
          <w:divBdr>
            <w:top w:val="none" w:sz="0" w:space="0" w:color="auto"/>
            <w:left w:val="none" w:sz="0" w:space="0" w:color="auto"/>
            <w:bottom w:val="none" w:sz="0" w:space="0" w:color="auto"/>
            <w:right w:val="none" w:sz="0" w:space="0" w:color="auto"/>
          </w:divBdr>
        </w:div>
      </w:divsChild>
    </w:div>
    <w:div w:id="1952348807">
      <w:marLeft w:val="0"/>
      <w:marRight w:val="0"/>
      <w:marTop w:val="0"/>
      <w:marBottom w:val="0"/>
      <w:divBdr>
        <w:top w:val="none" w:sz="0" w:space="0" w:color="auto"/>
        <w:left w:val="none" w:sz="0" w:space="0" w:color="auto"/>
        <w:bottom w:val="none" w:sz="0" w:space="0" w:color="auto"/>
        <w:right w:val="none" w:sz="0" w:space="0" w:color="auto"/>
      </w:divBdr>
      <w:divsChild>
        <w:div w:id="1881625045">
          <w:marLeft w:val="0"/>
          <w:marRight w:val="0"/>
          <w:marTop w:val="600"/>
          <w:marBottom w:val="0"/>
          <w:divBdr>
            <w:top w:val="none" w:sz="0" w:space="0" w:color="auto"/>
            <w:left w:val="none" w:sz="0" w:space="0" w:color="auto"/>
            <w:bottom w:val="none" w:sz="0" w:space="0" w:color="auto"/>
            <w:right w:val="none" w:sz="0" w:space="0" w:color="auto"/>
          </w:divBdr>
        </w:div>
        <w:div w:id="1746218240">
          <w:marLeft w:val="0"/>
          <w:marRight w:val="0"/>
          <w:marTop w:val="0"/>
          <w:marBottom w:val="0"/>
          <w:divBdr>
            <w:top w:val="none" w:sz="0" w:space="0" w:color="auto"/>
            <w:left w:val="none" w:sz="0" w:space="0" w:color="auto"/>
            <w:bottom w:val="none" w:sz="0" w:space="0" w:color="auto"/>
            <w:right w:val="none" w:sz="0" w:space="0" w:color="auto"/>
          </w:divBdr>
        </w:div>
        <w:div w:id="1943872631">
          <w:marLeft w:val="0"/>
          <w:marRight w:val="0"/>
          <w:marTop w:val="0"/>
          <w:marBottom w:val="600"/>
          <w:divBdr>
            <w:top w:val="none" w:sz="0" w:space="0" w:color="auto"/>
            <w:left w:val="none" w:sz="0" w:space="0" w:color="auto"/>
            <w:bottom w:val="none" w:sz="0" w:space="0" w:color="auto"/>
            <w:right w:val="none" w:sz="0" w:space="0" w:color="auto"/>
          </w:divBdr>
        </w:div>
      </w:divsChild>
    </w:div>
    <w:div w:id="1952394999">
      <w:marLeft w:val="0"/>
      <w:marRight w:val="0"/>
      <w:marTop w:val="0"/>
      <w:marBottom w:val="0"/>
      <w:divBdr>
        <w:top w:val="none" w:sz="0" w:space="0" w:color="auto"/>
        <w:left w:val="none" w:sz="0" w:space="0" w:color="auto"/>
        <w:bottom w:val="none" w:sz="0" w:space="0" w:color="auto"/>
        <w:right w:val="none" w:sz="0" w:space="0" w:color="auto"/>
      </w:divBdr>
      <w:divsChild>
        <w:div w:id="636186439">
          <w:marLeft w:val="0"/>
          <w:marRight w:val="0"/>
          <w:marTop w:val="600"/>
          <w:marBottom w:val="0"/>
          <w:divBdr>
            <w:top w:val="none" w:sz="0" w:space="0" w:color="auto"/>
            <w:left w:val="none" w:sz="0" w:space="0" w:color="auto"/>
            <w:bottom w:val="none" w:sz="0" w:space="0" w:color="auto"/>
            <w:right w:val="none" w:sz="0" w:space="0" w:color="auto"/>
          </w:divBdr>
        </w:div>
        <w:div w:id="188185189">
          <w:marLeft w:val="0"/>
          <w:marRight w:val="0"/>
          <w:marTop w:val="0"/>
          <w:marBottom w:val="0"/>
          <w:divBdr>
            <w:top w:val="none" w:sz="0" w:space="0" w:color="auto"/>
            <w:left w:val="none" w:sz="0" w:space="0" w:color="auto"/>
            <w:bottom w:val="none" w:sz="0" w:space="0" w:color="auto"/>
            <w:right w:val="none" w:sz="0" w:space="0" w:color="auto"/>
          </w:divBdr>
          <w:divsChild>
            <w:div w:id="608585157">
              <w:marLeft w:val="547"/>
              <w:marRight w:val="0"/>
              <w:marTop w:val="0"/>
              <w:marBottom w:val="0"/>
              <w:divBdr>
                <w:top w:val="none" w:sz="0" w:space="0" w:color="auto"/>
                <w:left w:val="none" w:sz="0" w:space="0" w:color="auto"/>
                <w:bottom w:val="none" w:sz="0" w:space="0" w:color="auto"/>
                <w:right w:val="none" w:sz="0" w:space="0" w:color="auto"/>
              </w:divBdr>
            </w:div>
            <w:div w:id="819228398">
              <w:marLeft w:val="547"/>
              <w:marRight w:val="0"/>
              <w:marTop w:val="0"/>
              <w:marBottom w:val="0"/>
              <w:divBdr>
                <w:top w:val="none" w:sz="0" w:space="0" w:color="auto"/>
                <w:left w:val="none" w:sz="0" w:space="0" w:color="auto"/>
                <w:bottom w:val="none" w:sz="0" w:space="0" w:color="auto"/>
                <w:right w:val="none" w:sz="0" w:space="0" w:color="auto"/>
              </w:divBdr>
            </w:div>
            <w:div w:id="1481267477">
              <w:marLeft w:val="547"/>
              <w:marRight w:val="0"/>
              <w:marTop w:val="0"/>
              <w:marBottom w:val="0"/>
              <w:divBdr>
                <w:top w:val="none" w:sz="0" w:space="0" w:color="auto"/>
                <w:left w:val="none" w:sz="0" w:space="0" w:color="auto"/>
                <w:bottom w:val="none" w:sz="0" w:space="0" w:color="auto"/>
                <w:right w:val="none" w:sz="0" w:space="0" w:color="auto"/>
              </w:divBdr>
            </w:div>
            <w:div w:id="176894507">
              <w:marLeft w:val="547"/>
              <w:marRight w:val="0"/>
              <w:marTop w:val="0"/>
              <w:marBottom w:val="0"/>
              <w:divBdr>
                <w:top w:val="none" w:sz="0" w:space="0" w:color="auto"/>
                <w:left w:val="none" w:sz="0" w:space="0" w:color="auto"/>
                <w:bottom w:val="none" w:sz="0" w:space="0" w:color="auto"/>
                <w:right w:val="none" w:sz="0" w:space="0" w:color="auto"/>
              </w:divBdr>
            </w:div>
            <w:div w:id="970553516">
              <w:marLeft w:val="547"/>
              <w:marRight w:val="0"/>
              <w:marTop w:val="0"/>
              <w:marBottom w:val="0"/>
              <w:divBdr>
                <w:top w:val="none" w:sz="0" w:space="0" w:color="auto"/>
                <w:left w:val="none" w:sz="0" w:space="0" w:color="auto"/>
                <w:bottom w:val="none" w:sz="0" w:space="0" w:color="auto"/>
                <w:right w:val="none" w:sz="0" w:space="0" w:color="auto"/>
              </w:divBdr>
            </w:div>
            <w:div w:id="305596118">
              <w:marLeft w:val="547"/>
              <w:marRight w:val="0"/>
              <w:marTop w:val="0"/>
              <w:marBottom w:val="0"/>
              <w:divBdr>
                <w:top w:val="none" w:sz="0" w:space="0" w:color="auto"/>
                <w:left w:val="none" w:sz="0" w:space="0" w:color="auto"/>
                <w:bottom w:val="none" w:sz="0" w:space="0" w:color="auto"/>
                <w:right w:val="none" w:sz="0" w:space="0" w:color="auto"/>
              </w:divBdr>
            </w:div>
            <w:div w:id="1387529458">
              <w:marLeft w:val="547"/>
              <w:marRight w:val="0"/>
              <w:marTop w:val="0"/>
              <w:marBottom w:val="0"/>
              <w:divBdr>
                <w:top w:val="none" w:sz="0" w:space="0" w:color="auto"/>
                <w:left w:val="none" w:sz="0" w:space="0" w:color="auto"/>
                <w:bottom w:val="none" w:sz="0" w:space="0" w:color="auto"/>
                <w:right w:val="none" w:sz="0" w:space="0" w:color="auto"/>
              </w:divBdr>
            </w:div>
            <w:div w:id="1097091133">
              <w:marLeft w:val="547"/>
              <w:marRight w:val="0"/>
              <w:marTop w:val="0"/>
              <w:marBottom w:val="0"/>
              <w:divBdr>
                <w:top w:val="none" w:sz="0" w:space="0" w:color="auto"/>
                <w:left w:val="none" w:sz="0" w:space="0" w:color="auto"/>
                <w:bottom w:val="none" w:sz="0" w:space="0" w:color="auto"/>
                <w:right w:val="none" w:sz="0" w:space="0" w:color="auto"/>
              </w:divBdr>
            </w:div>
            <w:div w:id="1633318884">
              <w:marLeft w:val="547"/>
              <w:marRight w:val="0"/>
              <w:marTop w:val="0"/>
              <w:marBottom w:val="0"/>
              <w:divBdr>
                <w:top w:val="none" w:sz="0" w:space="0" w:color="auto"/>
                <w:left w:val="none" w:sz="0" w:space="0" w:color="auto"/>
                <w:bottom w:val="none" w:sz="0" w:space="0" w:color="auto"/>
                <w:right w:val="none" w:sz="0" w:space="0" w:color="auto"/>
              </w:divBdr>
            </w:div>
            <w:div w:id="432821217">
              <w:marLeft w:val="547"/>
              <w:marRight w:val="0"/>
              <w:marTop w:val="0"/>
              <w:marBottom w:val="0"/>
              <w:divBdr>
                <w:top w:val="none" w:sz="0" w:space="0" w:color="auto"/>
                <w:left w:val="none" w:sz="0" w:space="0" w:color="auto"/>
                <w:bottom w:val="none" w:sz="0" w:space="0" w:color="auto"/>
                <w:right w:val="none" w:sz="0" w:space="0" w:color="auto"/>
              </w:divBdr>
            </w:div>
            <w:div w:id="2086032010">
              <w:marLeft w:val="547"/>
              <w:marRight w:val="0"/>
              <w:marTop w:val="0"/>
              <w:marBottom w:val="0"/>
              <w:divBdr>
                <w:top w:val="none" w:sz="0" w:space="0" w:color="auto"/>
                <w:left w:val="none" w:sz="0" w:space="0" w:color="auto"/>
                <w:bottom w:val="none" w:sz="0" w:space="0" w:color="auto"/>
                <w:right w:val="none" w:sz="0" w:space="0" w:color="auto"/>
              </w:divBdr>
            </w:div>
            <w:div w:id="411002946">
              <w:marLeft w:val="547"/>
              <w:marRight w:val="0"/>
              <w:marTop w:val="0"/>
              <w:marBottom w:val="0"/>
              <w:divBdr>
                <w:top w:val="none" w:sz="0" w:space="0" w:color="auto"/>
                <w:left w:val="none" w:sz="0" w:space="0" w:color="auto"/>
                <w:bottom w:val="none" w:sz="0" w:space="0" w:color="auto"/>
                <w:right w:val="none" w:sz="0" w:space="0" w:color="auto"/>
              </w:divBdr>
            </w:div>
            <w:div w:id="1144470849">
              <w:marLeft w:val="547"/>
              <w:marRight w:val="0"/>
              <w:marTop w:val="0"/>
              <w:marBottom w:val="0"/>
              <w:divBdr>
                <w:top w:val="none" w:sz="0" w:space="0" w:color="auto"/>
                <w:left w:val="none" w:sz="0" w:space="0" w:color="auto"/>
                <w:bottom w:val="none" w:sz="0" w:space="0" w:color="auto"/>
                <w:right w:val="none" w:sz="0" w:space="0" w:color="auto"/>
              </w:divBdr>
            </w:div>
            <w:div w:id="224804992">
              <w:marLeft w:val="547"/>
              <w:marRight w:val="0"/>
              <w:marTop w:val="0"/>
              <w:marBottom w:val="0"/>
              <w:divBdr>
                <w:top w:val="none" w:sz="0" w:space="0" w:color="auto"/>
                <w:left w:val="none" w:sz="0" w:space="0" w:color="auto"/>
                <w:bottom w:val="none" w:sz="0" w:space="0" w:color="auto"/>
                <w:right w:val="none" w:sz="0" w:space="0" w:color="auto"/>
              </w:divBdr>
            </w:div>
            <w:div w:id="163784370">
              <w:marLeft w:val="547"/>
              <w:marRight w:val="0"/>
              <w:marTop w:val="0"/>
              <w:marBottom w:val="0"/>
              <w:divBdr>
                <w:top w:val="none" w:sz="0" w:space="0" w:color="auto"/>
                <w:left w:val="none" w:sz="0" w:space="0" w:color="auto"/>
                <w:bottom w:val="none" w:sz="0" w:space="0" w:color="auto"/>
                <w:right w:val="none" w:sz="0" w:space="0" w:color="auto"/>
              </w:divBdr>
            </w:div>
            <w:div w:id="2134015424">
              <w:marLeft w:val="547"/>
              <w:marRight w:val="0"/>
              <w:marTop w:val="0"/>
              <w:marBottom w:val="0"/>
              <w:divBdr>
                <w:top w:val="none" w:sz="0" w:space="0" w:color="auto"/>
                <w:left w:val="none" w:sz="0" w:space="0" w:color="auto"/>
                <w:bottom w:val="none" w:sz="0" w:space="0" w:color="auto"/>
                <w:right w:val="none" w:sz="0" w:space="0" w:color="auto"/>
              </w:divBdr>
            </w:div>
            <w:div w:id="1497070851">
              <w:marLeft w:val="547"/>
              <w:marRight w:val="0"/>
              <w:marTop w:val="0"/>
              <w:marBottom w:val="0"/>
              <w:divBdr>
                <w:top w:val="none" w:sz="0" w:space="0" w:color="auto"/>
                <w:left w:val="none" w:sz="0" w:space="0" w:color="auto"/>
                <w:bottom w:val="none" w:sz="0" w:space="0" w:color="auto"/>
                <w:right w:val="none" w:sz="0" w:space="0" w:color="auto"/>
              </w:divBdr>
            </w:div>
          </w:divsChild>
        </w:div>
        <w:div w:id="458763670">
          <w:marLeft w:val="0"/>
          <w:marRight w:val="0"/>
          <w:marTop w:val="0"/>
          <w:marBottom w:val="600"/>
          <w:divBdr>
            <w:top w:val="none" w:sz="0" w:space="0" w:color="auto"/>
            <w:left w:val="none" w:sz="0" w:space="0" w:color="auto"/>
            <w:bottom w:val="none" w:sz="0" w:space="0" w:color="auto"/>
            <w:right w:val="none" w:sz="0" w:space="0" w:color="auto"/>
          </w:divBdr>
        </w:div>
      </w:divsChild>
    </w:div>
    <w:div w:id="1963228501">
      <w:marLeft w:val="0"/>
      <w:marRight w:val="0"/>
      <w:marTop w:val="0"/>
      <w:marBottom w:val="0"/>
      <w:divBdr>
        <w:top w:val="none" w:sz="0" w:space="0" w:color="auto"/>
        <w:left w:val="none" w:sz="0" w:space="0" w:color="auto"/>
        <w:bottom w:val="none" w:sz="0" w:space="0" w:color="auto"/>
        <w:right w:val="none" w:sz="0" w:space="0" w:color="auto"/>
      </w:divBdr>
      <w:divsChild>
        <w:div w:id="1605112553">
          <w:marLeft w:val="0"/>
          <w:marRight w:val="0"/>
          <w:marTop w:val="600"/>
          <w:marBottom w:val="0"/>
          <w:divBdr>
            <w:top w:val="none" w:sz="0" w:space="0" w:color="auto"/>
            <w:left w:val="none" w:sz="0" w:space="0" w:color="auto"/>
            <w:bottom w:val="none" w:sz="0" w:space="0" w:color="auto"/>
            <w:right w:val="none" w:sz="0" w:space="0" w:color="auto"/>
          </w:divBdr>
        </w:div>
        <w:div w:id="1715542251">
          <w:marLeft w:val="0"/>
          <w:marRight w:val="0"/>
          <w:marTop w:val="0"/>
          <w:marBottom w:val="0"/>
          <w:divBdr>
            <w:top w:val="none" w:sz="0" w:space="0" w:color="auto"/>
            <w:left w:val="none" w:sz="0" w:space="0" w:color="auto"/>
            <w:bottom w:val="none" w:sz="0" w:space="0" w:color="auto"/>
            <w:right w:val="none" w:sz="0" w:space="0" w:color="auto"/>
          </w:divBdr>
          <w:divsChild>
            <w:div w:id="186021561">
              <w:marLeft w:val="0"/>
              <w:marRight w:val="0"/>
              <w:marTop w:val="0"/>
              <w:marBottom w:val="0"/>
              <w:divBdr>
                <w:top w:val="none" w:sz="0" w:space="0" w:color="auto"/>
                <w:left w:val="none" w:sz="0" w:space="0" w:color="auto"/>
                <w:bottom w:val="none" w:sz="0" w:space="0" w:color="auto"/>
                <w:right w:val="none" w:sz="0" w:space="0" w:color="auto"/>
              </w:divBdr>
              <w:divsChild>
                <w:div w:id="1868253139">
                  <w:marLeft w:val="0"/>
                  <w:marRight w:val="0"/>
                  <w:marTop w:val="0"/>
                  <w:marBottom w:val="0"/>
                  <w:divBdr>
                    <w:top w:val="none" w:sz="0" w:space="0" w:color="auto"/>
                    <w:left w:val="none" w:sz="0" w:space="0" w:color="auto"/>
                    <w:bottom w:val="none" w:sz="0" w:space="0" w:color="auto"/>
                    <w:right w:val="none" w:sz="0" w:space="0" w:color="auto"/>
                  </w:divBdr>
                </w:div>
              </w:divsChild>
            </w:div>
            <w:div w:id="1159082144">
              <w:marLeft w:val="0"/>
              <w:marRight w:val="0"/>
              <w:marTop w:val="0"/>
              <w:marBottom w:val="0"/>
              <w:divBdr>
                <w:top w:val="none" w:sz="0" w:space="0" w:color="auto"/>
                <w:left w:val="none" w:sz="0" w:space="0" w:color="auto"/>
                <w:bottom w:val="none" w:sz="0" w:space="0" w:color="auto"/>
                <w:right w:val="none" w:sz="0" w:space="0" w:color="auto"/>
              </w:divBdr>
              <w:divsChild>
                <w:div w:id="1220288102">
                  <w:marLeft w:val="0"/>
                  <w:marRight w:val="0"/>
                  <w:marTop w:val="0"/>
                  <w:marBottom w:val="0"/>
                  <w:divBdr>
                    <w:top w:val="none" w:sz="0" w:space="0" w:color="auto"/>
                    <w:left w:val="none" w:sz="0" w:space="0" w:color="auto"/>
                    <w:bottom w:val="none" w:sz="0" w:space="0" w:color="auto"/>
                    <w:right w:val="none" w:sz="0" w:space="0" w:color="auto"/>
                  </w:divBdr>
                </w:div>
              </w:divsChild>
            </w:div>
            <w:div w:id="256912611">
              <w:marLeft w:val="0"/>
              <w:marRight w:val="0"/>
              <w:marTop w:val="0"/>
              <w:marBottom w:val="0"/>
              <w:divBdr>
                <w:top w:val="none" w:sz="0" w:space="0" w:color="auto"/>
                <w:left w:val="none" w:sz="0" w:space="0" w:color="auto"/>
                <w:bottom w:val="none" w:sz="0" w:space="0" w:color="auto"/>
                <w:right w:val="none" w:sz="0" w:space="0" w:color="auto"/>
              </w:divBdr>
              <w:divsChild>
                <w:div w:id="2135251855">
                  <w:marLeft w:val="0"/>
                  <w:marRight w:val="0"/>
                  <w:marTop w:val="0"/>
                  <w:marBottom w:val="0"/>
                  <w:divBdr>
                    <w:top w:val="none" w:sz="0" w:space="0" w:color="auto"/>
                    <w:left w:val="none" w:sz="0" w:space="0" w:color="auto"/>
                    <w:bottom w:val="none" w:sz="0" w:space="0" w:color="auto"/>
                    <w:right w:val="none" w:sz="0" w:space="0" w:color="auto"/>
                  </w:divBdr>
                </w:div>
              </w:divsChild>
            </w:div>
            <w:div w:id="532689126">
              <w:marLeft w:val="0"/>
              <w:marRight w:val="0"/>
              <w:marTop w:val="0"/>
              <w:marBottom w:val="0"/>
              <w:divBdr>
                <w:top w:val="none" w:sz="0" w:space="0" w:color="auto"/>
                <w:left w:val="none" w:sz="0" w:space="0" w:color="auto"/>
                <w:bottom w:val="none" w:sz="0" w:space="0" w:color="auto"/>
                <w:right w:val="none" w:sz="0" w:space="0" w:color="auto"/>
              </w:divBdr>
              <w:divsChild>
                <w:div w:id="433939867">
                  <w:marLeft w:val="0"/>
                  <w:marRight w:val="0"/>
                  <w:marTop w:val="0"/>
                  <w:marBottom w:val="0"/>
                  <w:divBdr>
                    <w:top w:val="none" w:sz="0" w:space="0" w:color="auto"/>
                    <w:left w:val="none" w:sz="0" w:space="0" w:color="auto"/>
                    <w:bottom w:val="none" w:sz="0" w:space="0" w:color="auto"/>
                    <w:right w:val="none" w:sz="0" w:space="0" w:color="auto"/>
                  </w:divBdr>
                </w:div>
              </w:divsChild>
            </w:div>
            <w:div w:id="1161963077">
              <w:marLeft w:val="0"/>
              <w:marRight w:val="0"/>
              <w:marTop w:val="0"/>
              <w:marBottom w:val="0"/>
              <w:divBdr>
                <w:top w:val="none" w:sz="0" w:space="0" w:color="auto"/>
                <w:left w:val="none" w:sz="0" w:space="0" w:color="auto"/>
                <w:bottom w:val="none" w:sz="0" w:space="0" w:color="auto"/>
                <w:right w:val="none" w:sz="0" w:space="0" w:color="auto"/>
              </w:divBdr>
              <w:divsChild>
                <w:div w:id="2065055450">
                  <w:marLeft w:val="0"/>
                  <w:marRight w:val="0"/>
                  <w:marTop w:val="0"/>
                  <w:marBottom w:val="0"/>
                  <w:divBdr>
                    <w:top w:val="none" w:sz="0" w:space="0" w:color="auto"/>
                    <w:left w:val="none" w:sz="0" w:space="0" w:color="auto"/>
                    <w:bottom w:val="none" w:sz="0" w:space="0" w:color="auto"/>
                    <w:right w:val="none" w:sz="0" w:space="0" w:color="auto"/>
                  </w:divBdr>
                </w:div>
              </w:divsChild>
            </w:div>
            <w:div w:id="1663966325">
              <w:marLeft w:val="0"/>
              <w:marRight w:val="0"/>
              <w:marTop w:val="0"/>
              <w:marBottom w:val="0"/>
              <w:divBdr>
                <w:top w:val="none" w:sz="0" w:space="0" w:color="auto"/>
                <w:left w:val="none" w:sz="0" w:space="0" w:color="auto"/>
                <w:bottom w:val="none" w:sz="0" w:space="0" w:color="auto"/>
                <w:right w:val="none" w:sz="0" w:space="0" w:color="auto"/>
              </w:divBdr>
              <w:divsChild>
                <w:div w:id="701050722">
                  <w:marLeft w:val="0"/>
                  <w:marRight w:val="0"/>
                  <w:marTop w:val="0"/>
                  <w:marBottom w:val="0"/>
                  <w:divBdr>
                    <w:top w:val="none" w:sz="0" w:space="0" w:color="auto"/>
                    <w:left w:val="none" w:sz="0" w:space="0" w:color="auto"/>
                    <w:bottom w:val="none" w:sz="0" w:space="0" w:color="auto"/>
                    <w:right w:val="none" w:sz="0" w:space="0" w:color="auto"/>
                  </w:divBdr>
                </w:div>
              </w:divsChild>
            </w:div>
            <w:div w:id="2117407216">
              <w:marLeft w:val="0"/>
              <w:marRight w:val="0"/>
              <w:marTop w:val="0"/>
              <w:marBottom w:val="0"/>
              <w:divBdr>
                <w:top w:val="none" w:sz="0" w:space="0" w:color="auto"/>
                <w:left w:val="none" w:sz="0" w:space="0" w:color="auto"/>
                <w:bottom w:val="none" w:sz="0" w:space="0" w:color="auto"/>
                <w:right w:val="none" w:sz="0" w:space="0" w:color="auto"/>
              </w:divBdr>
              <w:divsChild>
                <w:div w:id="1420567791">
                  <w:marLeft w:val="0"/>
                  <w:marRight w:val="0"/>
                  <w:marTop w:val="0"/>
                  <w:marBottom w:val="0"/>
                  <w:divBdr>
                    <w:top w:val="none" w:sz="0" w:space="0" w:color="auto"/>
                    <w:left w:val="none" w:sz="0" w:space="0" w:color="auto"/>
                    <w:bottom w:val="none" w:sz="0" w:space="0" w:color="auto"/>
                    <w:right w:val="none" w:sz="0" w:space="0" w:color="auto"/>
                  </w:divBdr>
                </w:div>
              </w:divsChild>
            </w:div>
            <w:div w:id="44451654">
              <w:marLeft w:val="0"/>
              <w:marRight w:val="0"/>
              <w:marTop w:val="0"/>
              <w:marBottom w:val="0"/>
              <w:divBdr>
                <w:top w:val="none" w:sz="0" w:space="0" w:color="auto"/>
                <w:left w:val="none" w:sz="0" w:space="0" w:color="auto"/>
                <w:bottom w:val="none" w:sz="0" w:space="0" w:color="auto"/>
                <w:right w:val="none" w:sz="0" w:space="0" w:color="auto"/>
              </w:divBdr>
              <w:divsChild>
                <w:div w:id="900023364">
                  <w:marLeft w:val="0"/>
                  <w:marRight w:val="0"/>
                  <w:marTop w:val="0"/>
                  <w:marBottom w:val="0"/>
                  <w:divBdr>
                    <w:top w:val="none" w:sz="0" w:space="0" w:color="auto"/>
                    <w:left w:val="none" w:sz="0" w:space="0" w:color="auto"/>
                    <w:bottom w:val="none" w:sz="0" w:space="0" w:color="auto"/>
                    <w:right w:val="none" w:sz="0" w:space="0" w:color="auto"/>
                  </w:divBdr>
                </w:div>
              </w:divsChild>
            </w:div>
            <w:div w:id="2109886097">
              <w:marLeft w:val="0"/>
              <w:marRight w:val="0"/>
              <w:marTop w:val="0"/>
              <w:marBottom w:val="0"/>
              <w:divBdr>
                <w:top w:val="none" w:sz="0" w:space="0" w:color="auto"/>
                <w:left w:val="none" w:sz="0" w:space="0" w:color="auto"/>
                <w:bottom w:val="none" w:sz="0" w:space="0" w:color="auto"/>
                <w:right w:val="none" w:sz="0" w:space="0" w:color="auto"/>
              </w:divBdr>
              <w:divsChild>
                <w:div w:id="1729570268">
                  <w:marLeft w:val="0"/>
                  <w:marRight w:val="0"/>
                  <w:marTop w:val="0"/>
                  <w:marBottom w:val="0"/>
                  <w:divBdr>
                    <w:top w:val="none" w:sz="0" w:space="0" w:color="auto"/>
                    <w:left w:val="none" w:sz="0" w:space="0" w:color="auto"/>
                    <w:bottom w:val="none" w:sz="0" w:space="0" w:color="auto"/>
                    <w:right w:val="none" w:sz="0" w:space="0" w:color="auto"/>
                  </w:divBdr>
                </w:div>
              </w:divsChild>
            </w:div>
            <w:div w:id="49421758">
              <w:marLeft w:val="0"/>
              <w:marRight w:val="0"/>
              <w:marTop w:val="0"/>
              <w:marBottom w:val="0"/>
              <w:divBdr>
                <w:top w:val="none" w:sz="0" w:space="0" w:color="auto"/>
                <w:left w:val="none" w:sz="0" w:space="0" w:color="auto"/>
                <w:bottom w:val="none" w:sz="0" w:space="0" w:color="auto"/>
                <w:right w:val="none" w:sz="0" w:space="0" w:color="auto"/>
              </w:divBdr>
              <w:divsChild>
                <w:div w:id="7498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416">
          <w:marLeft w:val="0"/>
          <w:marRight w:val="0"/>
          <w:marTop w:val="0"/>
          <w:marBottom w:val="600"/>
          <w:divBdr>
            <w:top w:val="none" w:sz="0" w:space="0" w:color="auto"/>
            <w:left w:val="none" w:sz="0" w:space="0" w:color="auto"/>
            <w:bottom w:val="none" w:sz="0" w:space="0" w:color="auto"/>
            <w:right w:val="none" w:sz="0" w:space="0" w:color="auto"/>
          </w:divBdr>
        </w:div>
      </w:divsChild>
    </w:div>
    <w:div w:id="1968850964">
      <w:marLeft w:val="0"/>
      <w:marRight w:val="0"/>
      <w:marTop w:val="0"/>
      <w:marBottom w:val="0"/>
      <w:divBdr>
        <w:top w:val="none" w:sz="0" w:space="0" w:color="auto"/>
        <w:left w:val="none" w:sz="0" w:space="0" w:color="auto"/>
        <w:bottom w:val="none" w:sz="0" w:space="0" w:color="auto"/>
        <w:right w:val="none" w:sz="0" w:space="0" w:color="auto"/>
      </w:divBdr>
      <w:divsChild>
        <w:div w:id="422655144">
          <w:marLeft w:val="0"/>
          <w:marRight w:val="0"/>
          <w:marTop w:val="600"/>
          <w:marBottom w:val="0"/>
          <w:divBdr>
            <w:top w:val="none" w:sz="0" w:space="0" w:color="auto"/>
            <w:left w:val="none" w:sz="0" w:space="0" w:color="auto"/>
            <w:bottom w:val="none" w:sz="0" w:space="0" w:color="auto"/>
            <w:right w:val="none" w:sz="0" w:space="0" w:color="auto"/>
          </w:divBdr>
        </w:div>
        <w:div w:id="989603415">
          <w:marLeft w:val="0"/>
          <w:marRight w:val="0"/>
          <w:marTop w:val="0"/>
          <w:marBottom w:val="0"/>
          <w:divBdr>
            <w:top w:val="none" w:sz="0" w:space="0" w:color="auto"/>
            <w:left w:val="none" w:sz="0" w:space="0" w:color="auto"/>
            <w:bottom w:val="none" w:sz="0" w:space="0" w:color="auto"/>
            <w:right w:val="none" w:sz="0" w:space="0" w:color="auto"/>
          </w:divBdr>
        </w:div>
        <w:div w:id="2099131342">
          <w:marLeft w:val="0"/>
          <w:marRight w:val="0"/>
          <w:marTop w:val="0"/>
          <w:marBottom w:val="600"/>
          <w:divBdr>
            <w:top w:val="none" w:sz="0" w:space="0" w:color="auto"/>
            <w:left w:val="none" w:sz="0" w:space="0" w:color="auto"/>
            <w:bottom w:val="none" w:sz="0" w:space="0" w:color="auto"/>
            <w:right w:val="none" w:sz="0" w:space="0" w:color="auto"/>
          </w:divBdr>
        </w:div>
      </w:divsChild>
    </w:div>
    <w:div w:id="1979921524">
      <w:marLeft w:val="0"/>
      <w:marRight w:val="0"/>
      <w:marTop w:val="0"/>
      <w:marBottom w:val="0"/>
      <w:divBdr>
        <w:top w:val="none" w:sz="0" w:space="0" w:color="auto"/>
        <w:left w:val="none" w:sz="0" w:space="0" w:color="auto"/>
        <w:bottom w:val="none" w:sz="0" w:space="0" w:color="auto"/>
        <w:right w:val="none" w:sz="0" w:space="0" w:color="auto"/>
      </w:divBdr>
      <w:divsChild>
        <w:div w:id="1757938842">
          <w:marLeft w:val="0"/>
          <w:marRight w:val="0"/>
          <w:marTop w:val="600"/>
          <w:marBottom w:val="0"/>
          <w:divBdr>
            <w:top w:val="none" w:sz="0" w:space="0" w:color="auto"/>
            <w:left w:val="none" w:sz="0" w:space="0" w:color="auto"/>
            <w:bottom w:val="none" w:sz="0" w:space="0" w:color="auto"/>
            <w:right w:val="none" w:sz="0" w:space="0" w:color="auto"/>
          </w:divBdr>
        </w:div>
        <w:div w:id="1606886938">
          <w:marLeft w:val="0"/>
          <w:marRight w:val="0"/>
          <w:marTop w:val="0"/>
          <w:marBottom w:val="0"/>
          <w:divBdr>
            <w:top w:val="none" w:sz="0" w:space="0" w:color="auto"/>
            <w:left w:val="none" w:sz="0" w:space="0" w:color="auto"/>
            <w:bottom w:val="none" w:sz="0" w:space="0" w:color="auto"/>
            <w:right w:val="none" w:sz="0" w:space="0" w:color="auto"/>
          </w:divBdr>
          <w:divsChild>
            <w:div w:id="1943605855">
              <w:marLeft w:val="0"/>
              <w:marRight w:val="0"/>
              <w:marTop w:val="0"/>
              <w:marBottom w:val="0"/>
              <w:divBdr>
                <w:top w:val="none" w:sz="0" w:space="0" w:color="auto"/>
                <w:left w:val="none" w:sz="0" w:space="0" w:color="auto"/>
                <w:bottom w:val="none" w:sz="0" w:space="0" w:color="auto"/>
                <w:right w:val="none" w:sz="0" w:space="0" w:color="auto"/>
              </w:divBdr>
              <w:divsChild>
                <w:div w:id="113255533">
                  <w:marLeft w:val="0"/>
                  <w:marRight w:val="0"/>
                  <w:marTop w:val="0"/>
                  <w:marBottom w:val="0"/>
                  <w:divBdr>
                    <w:top w:val="none" w:sz="0" w:space="0" w:color="auto"/>
                    <w:left w:val="none" w:sz="0" w:space="0" w:color="auto"/>
                    <w:bottom w:val="none" w:sz="0" w:space="0" w:color="auto"/>
                    <w:right w:val="none" w:sz="0" w:space="0" w:color="auto"/>
                  </w:divBdr>
                </w:div>
              </w:divsChild>
            </w:div>
            <w:div w:id="1453355614">
              <w:marLeft w:val="0"/>
              <w:marRight w:val="0"/>
              <w:marTop w:val="0"/>
              <w:marBottom w:val="0"/>
              <w:divBdr>
                <w:top w:val="none" w:sz="0" w:space="0" w:color="auto"/>
                <w:left w:val="none" w:sz="0" w:space="0" w:color="auto"/>
                <w:bottom w:val="none" w:sz="0" w:space="0" w:color="auto"/>
                <w:right w:val="none" w:sz="0" w:space="0" w:color="auto"/>
              </w:divBdr>
              <w:divsChild>
                <w:div w:id="1097602175">
                  <w:marLeft w:val="0"/>
                  <w:marRight w:val="0"/>
                  <w:marTop w:val="0"/>
                  <w:marBottom w:val="0"/>
                  <w:divBdr>
                    <w:top w:val="none" w:sz="0" w:space="0" w:color="auto"/>
                    <w:left w:val="none" w:sz="0" w:space="0" w:color="auto"/>
                    <w:bottom w:val="none" w:sz="0" w:space="0" w:color="auto"/>
                    <w:right w:val="none" w:sz="0" w:space="0" w:color="auto"/>
                  </w:divBdr>
                </w:div>
              </w:divsChild>
            </w:div>
            <w:div w:id="1171069626">
              <w:marLeft w:val="0"/>
              <w:marRight w:val="0"/>
              <w:marTop w:val="0"/>
              <w:marBottom w:val="0"/>
              <w:divBdr>
                <w:top w:val="none" w:sz="0" w:space="0" w:color="auto"/>
                <w:left w:val="none" w:sz="0" w:space="0" w:color="auto"/>
                <w:bottom w:val="none" w:sz="0" w:space="0" w:color="auto"/>
                <w:right w:val="none" w:sz="0" w:space="0" w:color="auto"/>
              </w:divBdr>
              <w:divsChild>
                <w:div w:id="893664362">
                  <w:marLeft w:val="0"/>
                  <w:marRight w:val="0"/>
                  <w:marTop w:val="0"/>
                  <w:marBottom w:val="0"/>
                  <w:divBdr>
                    <w:top w:val="none" w:sz="0" w:space="0" w:color="auto"/>
                    <w:left w:val="none" w:sz="0" w:space="0" w:color="auto"/>
                    <w:bottom w:val="none" w:sz="0" w:space="0" w:color="auto"/>
                    <w:right w:val="none" w:sz="0" w:space="0" w:color="auto"/>
                  </w:divBdr>
                </w:div>
              </w:divsChild>
            </w:div>
            <w:div w:id="1890267572">
              <w:marLeft w:val="0"/>
              <w:marRight w:val="0"/>
              <w:marTop w:val="0"/>
              <w:marBottom w:val="0"/>
              <w:divBdr>
                <w:top w:val="none" w:sz="0" w:space="0" w:color="auto"/>
                <w:left w:val="none" w:sz="0" w:space="0" w:color="auto"/>
                <w:bottom w:val="none" w:sz="0" w:space="0" w:color="auto"/>
                <w:right w:val="none" w:sz="0" w:space="0" w:color="auto"/>
              </w:divBdr>
              <w:divsChild>
                <w:div w:id="1633560098">
                  <w:marLeft w:val="0"/>
                  <w:marRight w:val="0"/>
                  <w:marTop w:val="0"/>
                  <w:marBottom w:val="0"/>
                  <w:divBdr>
                    <w:top w:val="none" w:sz="0" w:space="0" w:color="auto"/>
                    <w:left w:val="none" w:sz="0" w:space="0" w:color="auto"/>
                    <w:bottom w:val="none" w:sz="0" w:space="0" w:color="auto"/>
                    <w:right w:val="none" w:sz="0" w:space="0" w:color="auto"/>
                  </w:divBdr>
                </w:div>
              </w:divsChild>
            </w:div>
            <w:div w:id="546645347">
              <w:marLeft w:val="0"/>
              <w:marRight w:val="0"/>
              <w:marTop w:val="0"/>
              <w:marBottom w:val="0"/>
              <w:divBdr>
                <w:top w:val="none" w:sz="0" w:space="0" w:color="auto"/>
                <w:left w:val="none" w:sz="0" w:space="0" w:color="auto"/>
                <w:bottom w:val="none" w:sz="0" w:space="0" w:color="auto"/>
                <w:right w:val="none" w:sz="0" w:space="0" w:color="auto"/>
              </w:divBdr>
              <w:divsChild>
                <w:div w:id="1781800332">
                  <w:marLeft w:val="0"/>
                  <w:marRight w:val="0"/>
                  <w:marTop w:val="0"/>
                  <w:marBottom w:val="0"/>
                  <w:divBdr>
                    <w:top w:val="none" w:sz="0" w:space="0" w:color="auto"/>
                    <w:left w:val="none" w:sz="0" w:space="0" w:color="auto"/>
                    <w:bottom w:val="none" w:sz="0" w:space="0" w:color="auto"/>
                    <w:right w:val="none" w:sz="0" w:space="0" w:color="auto"/>
                  </w:divBdr>
                </w:div>
              </w:divsChild>
            </w:div>
            <w:div w:id="1596327302">
              <w:marLeft w:val="0"/>
              <w:marRight w:val="0"/>
              <w:marTop w:val="0"/>
              <w:marBottom w:val="0"/>
              <w:divBdr>
                <w:top w:val="none" w:sz="0" w:space="0" w:color="auto"/>
                <w:left w:val="none" w:sz="0" w:space="0" w:color="auto"/>
                <w:bottom w:val="none" w:sz="0" w:space="0" w:color="auto"/>
                <w:right w:val="none" w:sz="0" w:space="0" w:color="auto"/>
              </w:divBdr>
              <w:divsChild>
                <w:div w:id="1572155354">
                  <w:marLeft w:val="0"/>
                  <w:marRight w:val="0"/>
                  <w:marTop w:val="0"/>
                  <w:marBottom w:val="0"/>
                  <w:divBdr>
                    <w:top w:val="none" w:sz="0" w:space="0" w:color="auto"/>
                    <w:left w:val="none" w:sz="0" w:space="0" w:color="auto"/>
                    <w:bottom w:val="none" w:sz="0" w:space="0" w:color="auto"/>
                    <w:right w:val="none" w:sz="0" w:space="0" w:color="auto"/>
                  </w:divBdr>
                </w:div>
              </w:divsChild>
            </w:div>
            <w:div w:id="886792613">
              <w:marLeft w:val="0"/>
              <w:marRight w:val="0"/>
              <w:marTop w:val="0"/>
              <w:marBottom w:val="0"/>
              <w:divBdr>
                <w:top w:val="none" w:sz="0" w:space="0" w:color="auto"/>
                <w:left w:val="none" w:sz="0" w:space="0" w:color="auto"/>
                <w:bottom w:val="none" w:sz="0" w:space="0" w:color="auto"/>
                <w:right w:val="none" w:sz="0" w:space="0" w:color="auto"/>
              </w:divBdr>
              <w:divsChild>
                <w:div w:id="1979071850">
                  <w:marLeft w:val="0"/>
                  <w:marRight w:val="0"/>
                  <w:marTop w:val="0"/>
                  <w:marBottom w:val="0"/>
                  <w:divBdr>
                    <w:top w:val="none" w:sz="0" w:space="0" w:color="auto"/>
                    <w:left w:val="none" w:sz="0" w:space="0" w:color="auto"/>
                    <w:bottom w:val="none" w:sz="0" w:space="0" w:color="auto"/>
                    <w:right w:val="none" w:sz="0" w:space="0" w:color="auto"/>
                  </w:divBdr>
                </w:div>
              </w:divsChild>
            </w:div>
            <w:div w:id="1110779691">
              <w:marLeft w:val="0"/>
              <w:marRight w:val="0"/>
              <w:marTop w:val="0"/>
              <w:marBottom w:val="0"/>
              <w:divBdr>
                <w:top w:val="none" w:sz="0" w:space="0" w:color="auto"/>
                <w:left w:val="none" w:sz="0" w:space="0" w:color="auto"/>
                <w:bottom w:val="none" w:sz="0" w:space="0" w:color="auto"/>
                <w:right w:val="none" w:sz="0" w:space="0" w:color="auto"/>
              </w:divBdr>
              <w:divsChild>
                <w:div w:id="147091692">
                  <w:marLeft w:val="0"/>
                  <w:marRight w:val="0"/>
                  <w:marTop w:val="0"/>
                  <w:marBottom w:val="0"/>
                  <w:divBdr>
                    <w:top w:val="none" w:sz="0" w:space="0" w:color="auto"/>
                    <w:left w:val="none" w:sz="0" w:space="0" w:color="auto"/>
                    <w:bottom w:val="none" w:sz="0" w:space="0" w:color="auto"/>
                    <w:right w:val="none" w:sz="0" w:space="0" w:color="auto"/>
                  </w:divBdr>
                </w:div>
              </w:divsChild>
            </w:div>
            <w:div w:id="110324699">
              <w:marLeft w:val="0"/>
              <w:marRight w:val="0"/>
              <w:marTop w:val="0"/>
              <w:marBottom w:val="0"/>
              <w:divBdr>
                <w:top w:val="none" w:sz="0" w:space="0" w:color="auto"/>
                <w:left w:val="none" w:sz="0" w:space="0" w:color="auto"/>
                <w:bottom w:val="none" w:sz="0" w:space="0" w:color="auto"/>
                <w:right w:val="none" w:sz="0" w:space="0" w:color="auto"/>
              </w:divBdr>
              <w:divsChild>
                <w:div w:id="600915742">
                  <w:marLeft w:val="0"/>
                  <w:marRight w:val="0"/>
                  <w:marTop w:val="0"/>
                  <w:marBottom w:val="0"/>
                  <w:divBdr>
                    <w:top w:val="none" w:sz="0" w:space="0" w:color="auto"/>
                    <w:left w:val="none" w:sz="0" w:space="0" w:color="auto"/>
                    <w:bottom w:val="none" w:sz="0" w:space="0" w:color="auto"/>
                    <w:right w:val="none" w:sz="0" w:space="0" w:color="auto"/>
                  </w:divBdr>
                </w:div>
              </w:divsChild>
            </w:div>
            <w:div w:id="1072579093">
              <w:marLeft w:val="0"/>
              <w:marRight w:val="0"/>
              <w:marTop w:val="0"/>
              <w:marBottom w:val="0"/>
              <w:divBdr>
                <w:top w:val="none" w:sz="0" w:space="0" w:color="auto"/>
                <w:left w:val="none" w:sz="0" w:space="0" w:color="auto"/>
                <w:bottom w:val="none" w:sz="0" w:space="0" w:color="auto"/>
                <w:right w:val="none" w:sz="0" w:space="0" w:color="auto"/>
              </w:divBdr>
              <w:divsChild>
                <w:div w:id="1205756243">
                  <w:marLeft w:val="0"/>
                  <w:marRight w:val="0"/>
                  <w:marTop w:val="0"/>
                  <w:marBottom w:val="0"/>
                  <w:divBdr>
                    <w:top w:val="none" w:sz="0" w:space="0" w:color="auto"/>
                    <w:left w:val="none" w:sz="0" w:space="0" w:color="auto"/>
                    <w:bottom w:val="none" w:sz="0" w:space="0" w:color="auto"/>
                    <w:right w:val="none" w:sz="0" w:space="0" w:color="auto"/>
                  </w:divBdr>
                </w:div>
              </w:divsChild>
            </w:div>
            <w:div w:id="1830052068">
              <w:marLeft w:val="0"/>
              <w:marRight w:val="0"/>
              <w:marTop w:val="0"/>
              <w:marBottom w:val="0"/>
              <w:divBdr>
                <w:top w:val="none" w:sz="0" w:space="0" w:color="auto"/>
                <w:left w:val="none" w:sz="0" w:space="0" w:color="auto"/>
                <w:bottom w:val="none" w:sz="0" w:space="0" w:color="auto"/>
                <w:right w:val="none" w:sz="0" w:space="0" w:color="auto"/>
              </w:divBdr>
              <w:divsChild>
                <w:div w:id="820728620">
                  <w:marLeft w:val="0"/>
                  <w:marRight w:val="0"/>
                  <w:marTop w:val="0"/>
                  <w:marBottom w:val="0"/>
                  <w:divBdr>
                    <w:top w:val="none" w:sz="0" w:space="0" w:color="auto"/>
                    <w:left w:val="none" w:sz="0" w:space="0" w:color="auto"/>
                    <w:bottom w:val="none" w:sz="0" w:space="0" w:color="auto"/>
                    <w:right w:val="none" w:sz="0" w:space="0" w:color="auto"/>
                  </w:divBdr>
                </w:div>
              </w:divsChild>
            </w:div>
            <w:div w:id="807166163">
              <w:marLeft w:val="0"/>
              <w:marRight w:val="0"/>
              <w:marTop w:val="0"/>
              <w:marBottom w:val="0"/>
              <w:divBdr>
                <w:top w:val="none" w:sz="0" w:space="0" w:color="auto"/>
                <w:left w:val="none" w:sz="0" w:space="0" w:color="auto"/>
                <w:bottom w:val="none" w:sz="0" w:space="0" w:color="auto"/>
                <w:right w:val="none" w:sz="0" w:space="0" w:color="auto"/>
              </w:divBdr>
              <w:divsChild>
                <w:div w:id="931666246">
                  <w:marLeft w:val="0"/>
                  <w:marRight w:val="0"/>
                  <w:marTop w:val="0"/>
                  <w:marBottom w:val="0"/>
                  <w:divBdr>
                    <w:top w:val="none" w:sz="0" w:space="0" w:color="auto"/>
                    <w:left w:val="none" w:sz="0" w:space="0" w:color="auto"/>
                    <w:bottom w:val="none" w:sz="0" w:space="0" w:color="auto"/>
                    <w:right w:val="none" w:sz="0" w:space="0" w:color="auto"/>
                  </w:divBdr>
                </w:div>
              </w:divsChild>
            </w:div>
            <w:div w:id="93936817">
              <w:marLeft w:val="0"/>
              <w:marRight w:val="0"/>
              <w:marTop w:val="0"/>
              <w:marBottom w:val="0"/>
              <w:divBdr>
                <w:top w:val="none" w:sz="0" w:space="0" w:color="auto"/>
                <w:left w:val="none" w:sz="0" w:space="0" w:color="auto"/>
                <w:bottom w:val="none" w:sz="0" w:space="0" w:color="auto"/>
                <w:right w:val="none" w:sz="0" w:space="0" w:color="auto"/>
              </w:divBdr>
              <w:divsChild>
                <w:div w:id="377291009">
                  <w:marLeft w:val="0"/>
                  <w:marRight w:val="0"/>
                  <w:marTop w:val="0"/>
                  <w:marBottom w:val="0"/>
                  <w:divBdr>
                    <w:top w:val="none" w:sz="0" w:space="0" w:color="auto"/>
                    <w:left w:val="none" w:sz="0" w:space="0" w:color="auto"/>
                    <w:bottom w:val="none" w:sz="0" w:space="0" w:color="auto"/>
                    <w:right w:val="none" w:sz="0" w:space="0" w:color="auto"/>
                  </w:divBdr>
                </w:div>
              </w:divsChild>
            </w:div>
            <w:div w:id="1140877336">
              <w:marLeft w:val="0"/>
              <w:marRight w:val="0"/>
              <w:marTop w:val="0"/>
              <w:marBottom w:val="0"/>
              <w:divBdr>
                <w:top w:val="none" w:sz="0" w:space="0" w:color="auto"/>
                <w:left w:val="none" w:sz="0" w:space="0" w:color="auto"/>
                <w:bottom w:val="none" w:sz="0" w:space="0" w:color="auto"/>
                <w:right w:val="none" w:sz="0" w:space="0" w:color="auto"/>
              </w:divBdr>
              <w:divsChild>
                <w:div w:id="689601470">
                  <w:marLeft w:val="0"/>
                  <w:marRight w:val="0"/>
                  <w:marTop w:val="0"/>
                  <w:marBottom w:val="0"/>
                  <w:divBdr>
                    <w:top w:val="none" w:sz="0" w:space="0" w:color="auto"/>
                    <w:left w:val="none" w:sz="0" w:space="0" w:color="auto"/>
                    <w:bottom w:val="none" w:sz="0" w:space="0" w:color="auto"/>
                    <w:right w:val="none" w:sz="0" w:space="0" w:color="auto"/>
                  </w:divBdr>
                </w:div>
              </w:divsChild>
            </w:div>
            <w:div w:id="676008224">
              <w:marLeft w:val="0"/>
              <w:marRight w:val="0"/>
              <w:marTop w:val="0"/>
              <w:marBottom w:val="0"/>
              <w:divBdr>
                <w:top w:val="none" w:sz="0" w:space="0" w:color="auto"/>
                <w:left w:val="none" w:sz="0" w:space="0" w:color="auto"/>
                <w:bottom w:val="none" w:sz="0" w:space="0" w:color="auto"/>
                <w:right w:val="none" w:sz="0" w:space="0" w:color="auto"/>
              </w:divBdr>
              <w:divsChild>
                <w:div w:id="420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8308">
          <w:marLeft w:val="0"/>
          <w:marRight w:val="0"/>
          <w:marTop w:val="0"/>
          <w:marBottom w:val="600"/>
          <w:divBdr>
            <w:top w:val="none" w:sz="0" w:space="0" w:color="auto"/>
            <w:left w:val="none" w:sz="0" w:space="0" w:color="auto"/>
            <w:bottom w:val="none" w:sz="0" w:space="0" w:color="auto"/>
            <w:right w:val="none" w:sz="0" w:space="0" w:color="auto"/>
          </w:divBdr>
        </w:div>
      </w:divsChild>
    </w:div>
    <w:div w:id="2039424744">
      <w:marLeft w:val="0"/>
      <w:marRight w:val="0"/>
      <w:marTop w:val="0"/>
      <w:marBottom w:val="0"/>
      <w:divBdr>
        <w:top w:val="none" w:sz="0" w:space="0" w:color="auto"/>
        <w:left w:val="none" w:sz="0" w:space="0" w:color="auto"/>
        <w:bottom w:val="none" w:sz="0" w:space="0" w:color="auto"/>
        <w:right w:val="none" w:sz="0" w:space="0" w:color="auto"/>
      </w:divBdr>
      <w:divsChild>
        <w:div w:id="1625034978">
          <w:marLeft w:val="0"/>
          <w:marRight w:val="0"/>
          <w:marTop w:val="600"/>
          <w:marBottom w:val="0"/>
          <w:divBdr>
            <w:top w:val="none" w:sz="0" w:space="0" w:color="auto"/>
            <w:left w:val="none" w:sz="0" w:space="0" w:color="auto"/>
            <w:bottom w:val="none" w:sz="0" w:space="0" w:color="auto"/>
            <w:right w:val="none" w:sz="0" w:space="0" w:color="auto"/>
          </w:divBdr>
        </w:div>
        <w:div w:id="1003782050">
          <w:marLeft w:val="0"/>
          <w:marRight w:val="0"/>
          <w:marTop w:val="0"/>
          <w:marBottom w:val="0"/>
          <w:divBdr>
            <w:top w:val="none" w:sz="0" w:space="0" w:color="auto"/>
            <w:left w:val="none" w:sz="0" w:space="0" w:color="auto"/>
            <w:bottom w:val="none" w:sz="0" w:space="0" w:color="auto"/>
            <w:right w:val="none" w:sz="0" w:space="0" w:color="auto"/>
          </w:divBdr>
        </w:div>
        <w:div w:id="354381338">
          <w:marLeft w:val="0"/>
          <w:marRight w:val="0"/>
          <w:marTop w:val="0"/>
          <w:marBottom w:val="600"/>
          <w:divBdr>
            <w:top w:val="none" w:sz="0" w:space="0" w:color="auto"/>
            <w:left w:val="none" w:sz="0" w:space="0" w:color="auto"/>
            <w:bottom w:val="none" w:sz="0" w:space="0" w:color="auto"/>
            <w:right w:val="none" w:sz="0" w:space="0" w:color="auto"/>
          </w:divBdr>
        </w:div>
      </w:divsChild>
    </w:div>
    <w:div w:id="2053531780">
      <w:marLeft w:val="0"/>
      <w:marRight w:val="0"/>
      <w:marTop w:val="0"/>
      <w:marBottom w:val="0"/>
      <w:divBdr>
        <w:top w:val="none" w:sz="0" w:space="0" w:color="auto"/>
        <w:left w:val="none" w:sz="0" w:space="0" w:color="auto"/>
        <w:bottom w:val="none" w:sz="0" w:space="0" w:color="auto"/>
        <w:right w:val="none" w:sz="0" w:space="0" w:color="auto"/>
      </w:divBdr>
      <w:divsChild>
        <w:div w:id="1952517038">
          <w:marLeft w:val="0"/>
          <w:marRight w:val="0"/>
          <w:marTop w:val="60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33457322">
          <w:marLeft w:val="0"/>
          <w:marRight w:val="0"/>
          <w:marTop w:val="0"/>
          <w:marBottom w:val="600"/>
          <w:divBdr>
            <w:top w:val="none" w:sz="0" w:space="0" w:color="auto"/>
            <w:left w:val="none" w:sz="0" w:space="0" w:color="auto"/>
            <w:bottom w:val="none" w:sz="0" w:space="0" w:color="auto"/>
            <w:right w:val="none" w:sz="0" w:space="0" w:color="auto"/>
          </w:divBdr>
        </w:div>
      </w:divsChild>
    </w:div>
    <w:div w:id="2062441699">
      <w:marLeft w:val="0"/>
      <w:marRight w:val="0"/>
      <w:marTop w:val="0"/>
      <w:marBottom w:val="0"/>
      <w:divBdr>
        <w:top w:val="none" w:sz="0" w:space="0" w:color="auto"/>
        <w:left w:val="none" w:sz="0" w:space="0" w:color="auto"/>
        <w:bottom w:val="none" w:sz="0" w:space="0" w:color="auto"/>
        <w:right w:val="none" w:sz="0" w:space="0" w:color="auto"/>
      </w:divBdr>
      <w:divsChild>
        <w:div w:id="757755677">
          <w:marLeft w:val="0"/>
          <w:marRight w:val="0"/>
          <w:marTop w:val="600"/>
          <w:marBottom w:val="0"/>
          <w:divBdr>
            <w:top w:val="none" w:sz="0" w:space="0" w:color="auto"/>
            <w:left w:val="none" w:sz="0" w:space="0" w:color="auto"/>
            <w:bottom w:val="none" w:sz="0" w:space="0" w:color="auto"/>
            <w:right w:val="none" w:sz="0" w:space="0" w:color="auto"/>
          </w:divBdr>
        </w:div>
        <w:div w:id="1132674964">
          <w:marLeft w:val="0"/>
          <w:marRight w:val="0"/>
          <w:marTop w:val="0"/>
          <w:marBottom w:val="0"/>
          <w:divBdr>
            <w:top w:val="none" w:sz="0" w:space="0" w:color="auto"/>
            <w:left w:val="none" w:sz="0" w:space="0" w:color="auto"/>
            <w:bottom w:val="none" w:sz="0" w:space="0" w:color="auto"/>
            <w:right w:val="none" w:sz="0" w:space="0" w:color="auto"/>
          </w:divBdr>
        </w:div>
        <w:div w:id="892544216">
          <w:marLeft w:val="0"/>
          <w:marRight w:val="0"/>
          <w:marTop w:val="0"/>
          <w:marBottom w:val="600"/>
          <w:divBdr>
            <w:top w:val="none" w:sz="0" w:space="0" w:color="auto"/>
            <w:left w:val="none" w:sz="0" w:space="0" w:color="auto"/>
            <w:bottom w:val="none" w:sz="0" w:space="0" w:color="auto"/>
            <w:right w:val="none" w:sz="0" w:space="0" w:color="auto"/>
          </w:divBdr>
        </w:div>
      </w:divsChild>
    </w:div>
    <w:div w:id="2066296031">
      <w:marLeft w:val="0"/>
      <w:marRight w:val="0"/>
      <w:marTop w:val="0"/>
      <w:marBottom w:val="0"/>
      <w:divBdr>
        <w:top w:val="none" w:sz="0" w:space="0" w:color="auto"/>
        <w:left w:val="none" w:sz="0" w:space="0" w:color="auto"/>
        <w:bottom w:val="none" w:sz="0" w:space="0" w:color="auto"/>
        <w:right w:val="none" w:sz="0" w:space="0" w:color="auto"/>
      </w:divBdr>
      <w:divsChild>
        <w:div w:id="851725178">
          <w:marLeft w:val="0"/>
          <w:marRight w:val="0"/>
          <w:marTop w:val="600"/>
          <w:marBottom w:val="0"/>
          <w:divBdr>
            <w:top w:val="none" w:sz="0" w:space="0" w:color="auto"/>
            <w:left w:val="none" w:sz="0" w:space="0" w:color="auto"/>
            <w:bottom w:val="none" w:sz="0" w:space="0" w:color="auto"/>
            <w:right w:val="none" w:sz="0" w:space="0" w:color="auto"/>
          </w:divBdr>
        </w:div>
        <w:div w:id="880942804">
          <w:marLeft w:val="0"/>
          <w:marRight w:val="0"/>
          <w:marTop w:val="0"/>
          <w:marBottom w:val="0"/>
          <w:divBdr>
            <w:top w:val="none" w:sz="0" w:space="0" w:color="auto"/>
            <w:left w:val="none" w:sz="0" w:space="0" w:color="auto"/>
            <w:bottom w:val="none" w:sz="0" w:space="0" w:color="auto"/>
            <w:right w:val="none" w:sz="0" w:space="0" w:color="auto"/>
          </w:divBdr>
        </w:div>
        <w:div w:id="1286305270">
          <w:marLeft w:val="0"/>
          <w:marRight w:val="0"/>
          <w:marTop w:val="0"/>
          <w:marBottom w:val="600"/>
          <w:divBdr>
            <w:top w:val="none" w:sz="0" w:space="0" w:color="auto"/>
            <w:left w:val="none" w:sz="0" w:space="0" w:color="auto"/>
            <w:bottom w:val="none" w:sz="0" w:space="0" w:color="auto"/>
            <w:right w:val="none" w:sz="0" w:space="0" w:color="auto"/>
          </w:divBdr>
        </w:div>
      </w:divsChild>
    </w:div>
    <w:div w:id="2090230792">
      <w:marLeft w:val="0"/>
      <w:marRight w:val="0"/>
      <w:marTop w:val="0"/>
      <w:marBottom w:val="0"/>
      <w:divBdr>
        <w:top w:val="none" w:sz="0" w:space="0" w:color="auto"/>
        <w:left w:val="none" w:sz="0" w:space="0" w:color="auto"/>
        <w:bottom w:val="none" w:sz="0" w:space="0" w:color="auto"/>
        <w:right w:val="none" w:sz="0" w:space="0" w:color="auto"/>
      </w:divBdr>
      <w:divsChild>
        <w:div w:id="1865752034">
          <w:marLeft w:val="0"/>
          <w:marRight w:val="0"/>
          <w:marTop w:val="600"/>
          <w:marBottom w:val="0"/>
          <w:divBdr>
            <w:top w:val="none" w:sz="0" w:space="0" w:color="auto"/>
            <w:left w:val="none" w:sz="0" w:space="0" w:color="auto"/>
            <w:bottom w:val="none" w:sz="0" w:space="0" w:color="auto"/>
            <w:right w:val="none" w:sz="0" w:space="0" w:color="auto"/>
          </w:divBdr>
        </w:div>
        <w:div w:id="928465189">
          <w:marLeft w:val="0"/>
          <w:marRight w:val="0"/>
          <w:marTop w:val="0"/>
          <w:marBottom w:val="0"/>
          <w:divBdr>
            <w:top w:val="none" w:sz="0" w:space="0" w:color="auto"/>
            <w:left w:val="none" w:sz="0" w:space="0" w:color="auto"/>
            <w:bottom w:val="none" w:sz="0" w:space="0" w:color="auto"/>
            <w:right w:val="none" w:sz="0" w:space="0" w:color="auto"/>
          </w:divBdr>
          <w:divsChild>
            <w:div w:id="1711806399">
              <w:marLeft w:val="547"/>
              <w:marRight w:val="0"/>
              <w:marTop w:val="0"/>
              <w:marBottom w:val="0"/>
              <w:divBdr>
                <w:top w:val="none" w:sz="0" w:space="0" w:color="auto"/>
                <w:left w:val="none" w:sz="0" w:space="0" w:color="auto"/>
                <w:bottom w:val="none" w:sz="0" w:space="0" w:color="auto"/>
                <w:right w:val="none" w:sz="0" w:space="0" w:color="auto"/>
              </w:divBdr>
            </w:div>
            <w:div w:id="2097283284">
              <w:marLeft w:val="547"/>
              <w:marRight w:val="0"/>
              <w:marTop w:val="0"/>
              <w:marBottom w:val="0"/>
              <w:divBdr>
                <w:top w:val="none" w:sz="0" w:space="0" w:color="auto"/>
                <w:left w:val="none" w:sz="0" w:space="0" w:color="auto"/>
                <w:bottom w:val="none" w:sz="0" w:space="0" w:color="auto"/>
                <w:right w:val="none" w:sz="0" w:space="0" w:color="auto"/>
              </w:divBdr>
            </w:div>
            <w:div w:id="1338655603">
              <w:marLeft w:val="547"/>
              <w:marRight w:val="0"/>
              <w:marTop w:val="0"/>
              <w:marBottom w:val="0"/>
              <w:divBdr>
                <w:top w:val="none" w:sz="0" w:space="0" w:color="auto"/>
                <w:left w:val="none" w:sz="0" w:space="0" w:color="auto"/>
                <w:bottom w:val="none" w:sz="0" w:space="0" w:color="auto"/>
                <w:right w:val="none" w:sz="0" w:space="0" w:color="auto"/>
              </w:divBdr>
            </w:div>
            <w:div w:id="881551486">
              <w:marLeft w:val="547"/>
              <w:marRight w:val="0"/>
              <w:marTop w:val="0"/>
              <w:marBottom w:val="0"/>
              <w:divBdr>
                <w:top w:val="none" w:sz="0" w:space="0" w:color="auto"/>
                <w:left w:val="none" w:sz="0" w:space="0" w:color="auto"/>
                <w:bottom w:val="none" w:sz="0" w:space="0" w:color="auto"/>
                <w:right w:val="none" w:sz="0" w:space="0" w:color="auto"/>
              </w:divBdr>
            </w:div>
            <w:div w:id="1675574648">
              <w:marLeft w:val="547"/>
              <w:marRight w:val="0"/>
              <w:marTop w:val="0"/>
              <w:marBottom w:val="0"/>
              <w:divBdr>
                <w:top w:val="none" w:sz="0" w:space="0" w:color="auto"/>
                <w:left w:val="none" w:sz="0" w:space="0" w:color="auto"/>
                <w:bottom w:val="none" w:sz="0" w:space="0" w:color="auto"/>
                <w:right w:val="none" w:sz="0" w:space="0" w:color="auto"/>
              </w:divBdr>
            </w:div>
            <w:div w:id="1311902691">
              <w:marLeft w:val="547"/>
              <w:marRight w:val="0"/>
              <w:marTop w:val="0"/>
              <w:marBottom w:val="0"/>
              <w:divBdr>
                <w:top w:val="none" w:sz="0" w:space="0" w:color="auto"/>
                <w:left w:val="none" w:sz="0" w:space="0" w:color="auto"/>
                <w:bottom w:val="none" w:sz="0" w:space="0" w:color="auto"/>
                <w:right w:val="none" w:sz="0" w:space="0" w:color="auto"/>
              </w:divBdr>
            </w:div>
            <w:div w:id="264458079">
              <w:marLeft w:val="547"/>
              <w:marRight w:val="0"/>
              <w:marTop w:val="0"/>
              <w:marBottom w:val="0"/>
              <w:divBdr>
                <w:top w:val="none" w:sz="0" w:space="0" w:color="auto"/>
                <w:left w:val="none" w:sz="0" w:space="0" w:color="auto"/>
                <w:bottom w:val="none" w:sz="0" w:space="0" w:color="auto"/>
                <w:right w:val="none" w:sz="0" w:space="0" w:color="auto"/>
              </w:divBdr>
            </w:div>
            <w:div w:id="2125537617">
              <w:marLeft w:val="547"/>
              <w:marRight w:val="0"/>
              <w:marTop w:val="0"/>
              <w:marBottom w:val="0"/>
              <w:divBdr>
                <w:top w:val="none" w:sz="0" w:space="0" w:color="auto"/>
                <w:left w:val="none" w:sz="0" w:space="0" w:color="auto"/>
                <w:bottom w:val="none" w:sz="0" w:space="0" w:color="auto"/>
                <w:right w:val="none" w:sz="0" w:space="0" w:color="auto"/>
              </w:divBdr>
            </w:div>
            <w:div w:id="630865611">
              <w:marLeft w:val="547"/>
              <w:marRight w:val="0"/>
              <w:marTop w:val="0"/>
              <w:marBottom w:val="0"/>
              <w:divBdr>
                <w:top w:val="none" w:sz="0" w:space="0" w:color="auto"/>
                <w:left w:val="none" w:sz="0" w:space="0" w:color="auto"/>
                <w:bottom w:val="none" w:sz="0" w:space="0" w:color="auto"/>
                <w:right w:val="none" w:sz="0" w:space="0" w:color="auto"/>
              </w:divBdr>
            </w:div>
            <w:div w:id="2073262185">
              <w:marLeft w:val="547"/>
              <w:marRight w:val="0"/>
              <w:marTop w:val="0"/>
              <w:marBottom w:val="0"/>
              <w:divBdr>
                <w:top w:val="none" w:sz="0" w:space="0" w:color="auto"/>
                <w:left w:val="none" w:sz="0" w:space="0" w:color="auto"/>
                <w:bottom w:val="none" w:sz="0" w:space="0" w:color="auto"/>
                <w:right w:val="none" w:sz="0" w:space="0" w:color="auto"/>
              </w:divBdr>
            </w:div>
            <w:div w:id="2041474235">
              <w:marLeft w:val="547"/>
              <w:marRight w:val="0"/>
              <w:marTop w:val="0"/>
              <w:marBottom w:val="0"/>
              <w:divBdr>
                <w:top w:val="none" w:sz="0" w:space="0" w:color="auto"/>
                <w:left w:val="none" w:sz="0" w:space="0" w:color="auto"/>
                <w:bottom w:val="none" w:sz="0" w:space="0" w:color="auto"/>
                <w:right w:val="none" w:sz="0" w:space="0" w:color="auto"/>
              </w:divBdr>
            </w:div>
            <w:div w:id="2033798527">
              <w:marLeft w:val="547"/>
              <w:marRight w:val="0"/>
              <w:marTop w:val="0"/>
              <w:marBottom w:val="0"/>
              <w:divBdr>
                <w:top w:val="none" w:sz="0" w:space="0" w:color="auto"/>
                <w:left w:val="none" w:sz="0" w:space="0" w:color="auto"/>
                <w:bottom w:val="none" w:sz="0" w:space="0" w:color="auto"/>
                <w:right w:val="none" w:sz="0" w:space="0" w:color="auto"/>
              </w:divBdr>
            </w:div>
            <w:div w:id="543834818">
              <w:marLeft w:val="547"/>
              <w:marRight w:val="0"/>
              <w:marTop w:val="0"/>
              <w:marBottom w:val="0"/>
              <w:divBdr>
                <w:top w:val="none" w:sz="0" w:space="0" w:color="auto"/>
                <w:left w:val="none" w:sz="0" w:space="0" w:color="auto"/>
                <w:bottom w:val="none" w:sz="0" w:space="0" w:color="auto"/>
                <w:right w:val="none" w:sz="0" w:space="0" w:color="auto"/>
              </w:divBdr>
            </w:div>
          </w:divsChild>
        </w:div>
        <w:div w:id="1149785644">
          <w:marLeft w:val="0"/>
          <w:marRight w:val="0"/>
          <w:marTop w:val="0"/>
          <w:marBottom w:val="600"/>
          <w:divBdr>
            <w:top w:val="none" w:sz="0" w:space="0" w:color="auto"/>
            <w:left w:val="none" w:sz="0" w:space="0" w:color="auto"/>
            <w:bottom w:val="none" w:sz="0" w:space="0" w:color="auto"/>
            <w:right w:val="none" w:sz="0" w:space="0" w:color="auto"/>
          </w:divBdr>
        </w:div>
      </w:divsChild>
    </w:div>
    <w:div w:id="2098012349">
      <w:marLeft w:val="0"/>
      <w:marRight w:val="0"/>
      <w:marTop w:val="0"/>
      <w:marBottom w:val="0"/>
      <w:divBdr>
        <w:top w:val="none" w:sz="0" w:space="0" w:color="auto"/>
        <w:left w:val="none" w:sz="0" w:space="0" w:color="auto"/>
        <w:bottom w:val="none" w:sz="0" w:space="0" w:color="auto"/>
        <w:right w:val="none" w:sz="0" w:space="0" w:color="auto"/>
      </w:divBdr>
      <w:divsChild>
        <w:div w:id="947273842">
          <w:marLeft w:val="0"/>
          <w:marRight w:val="0"/>
          <w:marTop w:val="600"/>
          <w:marBottom w:val="0"/>
          <w:divBdr>
            <w:top w:val="none" w:sz="0" w:space="0" w:color="auto"/>
            <w:left w:val="none" w:sz="0" w:space="0" w:color="auto"/>
            <w:bottom w:val="none" w:sz="0" w:space="0" w:color="auto"/>
            <w:right w:val="none" w:sz="0" w:space="0" w:color="auto"/>
          </w:divBdr>
        </w:div>
        <w:div w:id="1486045739">
          <w:marLeft w:val="0"/>
          <w:marRight w:val="0"/>
          <w:marTop w:val="0"/>
          <w:marBottom w:val="0"/>
          <w:divBdr>
            <w:top w:val="none" w:sz="0" w:space="0" w:color="auto"/>
            <w:left w:val="none" w:sz="0" w:space="0" w:color="auto"/>
            <w:bottom w:val="none" w:sz="0" w:space="0" w:color="auto"/>
            <w:right w:val="none" w:sz="0" w:space="0" w:color="auto"/>
          </w:divBdr>
          <w:divsChild>
            <w:div w:id="1893730845">
              <w:marLeft w:val="547"/>
              <w:marRight w:val="0"/>
              <w:marTop w:val="0"/>
              <w:marBottom w:val="0"/>
              <w:divBdr>
                <w:top w:val="none" w:sz="0" w:space="0" w:color="auto"/>
                <w:left w:val="none" w:sz="0" w:space="0" w:color="auto"/>
                <w:bottom w:val="none" w:sz="0" w:space="0" w:color="auto"/>
                <w:right w:val="none" w:sz="0" w:space="0" w:color="auto"/>
              </w:divBdr>
            </w:div>
            <w:div w:id="1996570485">
              <w:marLeft w:val="547"/>
              <w:marRight w:val="0"/>
              <w:marTop w:val="0"/>
              <w:marBottom w:val="0"/>
              <w:divBdr>
                <w:top w:val="none" w:sz="0" w:space="0" w:color="auto"/>
                <w:left w:val="none" w:sz="0" w:space="0" w:color="auto"/>
                <w:bottom w:val="none" w:sz="0" w:space="0" w:color="auto"/>
                <w:right w:val="none" w:sz="0" w:space="0" w:color="auto"/>
              </w:divBdr>
            </w:div>
            <w:div w:id="54550898">
              <w:marLeft w:val="547"/>
              <w:marRight w:val="0"/>
              <w:marTop w:val="0"/>
              <w:marBottom w:val="0"/>
              <w:divBdr>
                <w:top w:val="none" w:sz="0" w:space="0" w:color="auto"/>
                <w:left w:val="none" w:sz="0" w:space="0" w:color="auto"/>
                <w:bottom w:val="none" w:sz="0" w:space="0" w:color="auto"/>
                <w:right w:val="none" w:sz="0" w:space="0" w:color="auto"/>
              </w:divBdr>
            </w:div>
            <w:div w:id="151454824">
              <w:marLeft w:val="547"/>
              <w:marRight w:val="0"/>
              <w:marTop w:val="0"/>
              <w:marBottom w:val="0"/>
              <w:divBdr>
                <w:top w:val="none" w:sz="0" w:space="0" w:color="auto"/>
                <w:left w:val="none" w:sz="0" w:space="0" w:color="auto"/>
                <w:bottom w:val="none" w:sz="0" w:space="0" w:color="auto"/>
                <w:right w:val="none" w:sz="0" w:space="0" w:color="auto"/>
              </w:divBdr>
            </w:div>
            <w:div w:id="462500512">
              <w:marLeft w:val="547"/>
              <w:marRight w:val="0"/>
              <w:marTop w:val="0"/>
              <w:marBottom w:val="0"/>
              <w:divBdr>
                <w:top w:val="none" w:sz="0" w:space="0" w:color="auto"/>
                <w:left w:val="none" w:sz="0" w:space="0" w:color="auto"/>
                <w:bottom w:val="none" w:sz="0" w:space="0" w:color="auto"/>
                <w:right w:val="none" w:sz="0" w:space="0" w:color="auto"/>
              </w:divBdr>
            </w:div>
            <w:div w:id="849757540">
              <w:marLeft w:val="547"/>
              <w:marRight w:val="0"/>
              <w:marTop w:val="0"/>
              <w:marBottom w:val="0"/>
              <w:divBdr>
                <w:top w:val="none" w:sz="0" w:space="0" w:color="auto"/>
                <w:left w:val="none" w:sz="0" w:space="0" w:color="auto"/>
                <w:bottom w:val="none" w:sz="0" w:space="0" w:color="auto"/>
                <w:right w:val="none" w:sz="0" w:space="0" w:color="auto"/>
              </w:divBdr>
            </w:div>
            <w:div w:id="557473307">
              <w:marLeft w:val="547"/>
              <w:marRight w:val="0"/>
              <w:marTop w:val="0"/>
              <w:marBottom w:val="0"/>
              <w:divBdr>
                <w:top w:val="none" w:sz="0" w:space="0" w:color="auto"/>
                <w:left w:val="none" w:sz="0" w:space="0" w:color="auto"/>
                <w:bottom w:val="none" w:sz="0" w:space="0" w:color="auto"/>
                <w:right w:val="none" w:sz="0" w:space="0" w:color="auto"/>
              </w:divBdr>
            </w:div>
            <w:div w:id="1348167520">
              <w:marLeft w:val="547"/>
              <w:marRight w:val="0"/>
              <w:marTop w:val="0"/>
              <w:marBottom w:val="0"/>
              <w:divBdr>
                <w:top w:val="none" w:sz="0" w:space="0" w:color="auto"/>
                <w:left w:val="none" w:sz="0" w:space="0" w:color="auto"/>
                <w:bottom w:val="none" w:sz="0" w:space="0" w:color="auto"/>
                <w:right w:val="none" w:sz="0" w:space="0" w:color="auto"/>
              </w:divBdr>
            </w:div>
            <w:div w:id="2136949276">
              <w:marLeft w:val="547"/>
              <w:marRight w:val="0"/>
              <w:marTop w:val="0"/>
              <w:marBottom w:val="0"/>
              <w:divBdr>
                <w:top w:val="none" w:sz="0" w:space="0" w:color="auto"/>
                <w:left w:val="none" w:sz="0" w:space="0" w:color="auto"/>
                <w:bottom w:val="none" w:sz="0" w:space="0" w:color="auto"/>
                <w:right w:val="none" w:sz="0" w:space="0" w:color="auto"/>
              </w:divBdr>
            </w:div>
            <w:div w:id="1484350775">
              <w:marLeft w:val="547"/>
              <w:marRight w:val="0"/>
              <w:marTop w:val="0"/>
              <w:marBottom w:val="0"/>
              <w:divBdr>
                <w:top w:val="none" w:sz="0" w:space="0" w:color="auto"/>
                <w:left w:val="none" w:sz="0" w:space="0" w:color="auto"/>
                <w:bottom w:val="none" w:sz="0" w:space="0" w:color="auto"/>
                <w:right w:val="none" w:sz="0" w:space="0" w:color="auto"/>
              </w:divBdr>
            </w:div>
            <w:div w:id="617877954">
              <w:marLeft w:val="547"/>
              <w:marRight w:val="0"/>
              <w:marTop w:val="0"/>
              <w:marBottom w:val="0"/>
              <w:divBdr>
                <w:top w:val="none" w:sz="0" w:space="0" w:color="auto"/>
                <w:left w:val="none" w:sz="0" w:space="0" w:color="auto"/>
                <w:bottom w:val="none" w:sz="0" w:space="0" w:color="auto"/>
                <w:right w:val="none" w:sz="0" w:space="0" w:color="auto"/>
              </w:divBdr>
            </w:div>
          </w:divsChild>
        </w:div>
        <w:div w:id="1985042211">
          <w:marLeft w:val="0"/>
          <w:marRight w:val="0"/>
          <w:marTop w:val="0"/>
          <w:marBottom w:val="600"/>
          <w:divBdr>
            <w:top w:val="none" w:sz="0" w:space="0" w:color="auto"/>
            <w:left w:val="none" w:sz="0" w:space="0" w:color="auto"/>
            <w:bottom w:val="none" w:sz="0" w:space="0" w:color="auto"/>
            <w:right w:val="none" w:sz="0" w:space="0" w:color="auto"/>
          </w:divBdr>
        </w:div>
      </w:divsChild>
    </w:div>
    <w:div w:id="2103528768">
      <w:marLeft w:val="0"/>
      <w:marRight w:val="0"/>
      <w:marTop w:val="0"/>
      <w:marBottom w:val="0"/>
      <w:divBdr>
        <w:top w:val="none" w:sz="0" w:space="0" w:color="auto"/>
        <w:left w:val="none" w:sz="0" w:space="0" w:color="auto"/>
        <w:bottom w:val="none" w:sz="0" w:space="0" w:color="auto"/>
        <w:right w:val="none" w:sz="0" w:space="0" w:color="auto"/>
      </w:divBdr>
      <w:divsChild>
        <w:div w:id="1365518645">
          <w:marLeft w:val="0"/>
          <w:marRight w:val="0"/>
          <w:marTop w:val="600"/>
          <w:marBottom w:val="0"/>
          <w:divBdr>
            <w:top w:val="none" w:sz="0" w:space="0" w:color="auto"/>
            <w:left w:val="none" w:sz="0" w:space="0" w:color="auto"/>
            <w:bottom w:val="none" w:sz="0" w:space="0" w:color="auto"/>
            <w:right w:val="none" w:sz="0" w:space="0" w:color="auto"/>
          </w:divBdr>
        </w:div>
        <w:div w:id="457921035">
          <w:marLeft w:val="0"/>
          <w:marRight w:val="0"/>
          <w:marTop w:val="0"/>
          <w:marBottom w:val="0"/>
          <w:divBdr>
            <w:top w:val="none" w:sz="0" w:space="0" w:color="auto"/>
            <w:left w:val="none" w:sz="0" w:space="0" w:color="auto"/>
            <w:bottom w:val="none" w:sz="0" w:space="0" w:color="auto"/>
            <w:right w:val="none" w:sz="0" w:space="0" w:color="auto"/>
          </w:divBdr>
          <w:divsChild>
            <w:div w:id="1969705775">
              <w:marLeft w:val="547"/>
              <w:marRight w:val="0"/>
              <w:marTop w:val="0"/>
              <w:marBottom w:val="0"/>
              <w:divBdr>
                <w:top w:val="none" w:sz="0" w:space="0" w:color="auto"/>
                <w:left w:val="none" w:sz="0" w:space="0" w:color="auto"/>
                <w:bottom w:val="none" w:sz="0" w:space="0" w:color="auto"/>
                <w:right w:val="none" w:sz="0" w:space="0" w:color="auto"/>
              </w:divBdr>
            </w:div>
            <w:div w:id="1337222923">
              <w:marLeft w:val="547"/>
              <w:marRight w:val="0"/>
              <w:marTop w:val="0"/>
              <w:marBottom w:val="0"/>
              <w:divBdr>
                <w:top w:val="none" w:sz="0" w:space="0" w:color="auto"/>
                <w:left w:val="none" w:sz="0" w:space="0" w:color="auto"/>
                <w:bottom w:val="none" w:sz="0" w:space="0" w:color="auto"/>
                <w:right w:val="none" w:sz="0" w:space="0" w:color="auto"/>
              </w:divBdr>
            </w:div>
            <w:div w:id="760953023">
              <w:marLeft w:val="547"/>
              <w:marRight w:val="0"/>
              <w:marTop w:val="0"/>
              <w:marBottom w:val="0"/>
              <w:divBdr>
                <w:top w:val="none" w:sz="0" w:space="0" w:color="auto"/>
                <w:left w:val="none" w:sz="0" w:space="0" w:color="auto"/>
                <w:bottom w:val="none" w:sz="0" w:space="0" w:color="auto"/>
                <w:right w:val="none" w:sz="0" w:space="0" w:color="auto"/>
              </w:divBdr>
            </w:div>
            <w:div w:id="78403557">
              <w:marLeft w:val="547"/>
              <w:marRight w:val="0"/>
              <w:marTop w:val="0"/>
              <w:marBottom w:val="0"/>
              <w:divBdr>
                <w:top w:val="none" w:sz="0" w:space="0" w:color="auto"/>
                <w:left w:val="none" w:sz="0" w:space="0" w:color="auto"/>
                <w:bottom w:val="none" w:sz="0" w:space="0" w:color="auto"/>
                <w:right w:val="none" w:sz="0" w:space="0" w:color="auto"/>
              </w:divBdr>
            </w:div>
            <w:div w:id="388070415">
              <w:marLeft w:val="547"/>
              <w:marRight w:val="0"/>
              <w:marTop w:val="0"/>
              <w:marBottom w:val="0"/>
              <w:divBdr>
                <w:top w:val="none" w:sz="0" w:space="0" w:color="auto"/>
                <w:left w:val="none" w:sz="0" w:space="0" w:color="auto"/>
                <w:bottom w:val="none" w:sz="0" w:space="0" w:color="auto"/>
                <w:right w:val="none" w:sz="0" w:space="0" w:color="auto"/>
              </w:divBdr>
            </w:div>
            <w:div w:id="1937902185">
              <w:marLeft w:val="547"/>
              <w:marRight w:val="0"/>
              <w:marTop w:val="0"/>
              <w:marBottom w:val="0"/>
              <w:divBdr>
                <w:top w:val="none" w:sz="0" w:space="0" w:color="auto"/>
                <w:left w:val="none" w:sz="0" w:space="0" w:color="auto"/>
                <w:bottom w:val="none" w:sz="0" w:space="0" w:color="auto"/>
                <w:right w:val="none" w:sz="0" w:space="0" w:color="auto"/>
              </w:divBdr>
            </w:div>
            <w:div w:id="2044944033">
              <w:marLeft w:val="547"/>
              <w:marRight w:val="0"/>
              <w:marTop w:val="0"/>
              <w:marBottom w:val="0"/>
              <w:divBdr>
                <w:top w:val="none" w:sz="0" w:space="0" w:color="auto"/>
                <w:left w:val="none" w:sz="0" w:space="0" w:color="auto"/>
                <w:bottom w:val="none" w:sz="0" w:space="0" w:color="auto"/>
                <w:right w:val="none" w:sz="0" w:space="0" w:color="auto"/>
              </w:divBdr>
            </w:div>
            <w:div w:id="1493063096">
              <w:marLeft w:val="547"/>
              <w:marRight w:val="0"/>
              <w:marTop w:val="0"/>
              <w:marBottom w:val="0"/>
              <w:divBdr>
                <w:top w:val="none" w:sz="0" w:space="0" w:color="auto"/>
                <w:left w:val="none" w:sz="0" w:space="0" w:color="auto"/>
                <w:bottom w:val="none" w:sz="0" w:space="0" w:color="auto"/>
                <w:right w:val="none" w:sz="0" w:space="0" w:color="auto"/>
              </w:divBdr>
            </w:div>
          </w:divsChild>
        </w:div>
        <w:div w:id="591087984">
          <w:marLeft w:val="0"/>
          <w:marRight w:val="0"/>
          <w:marTop w:val="0"/>
          <w:marBottom w:val="600"/>
          <w:divBdr>
            <w:top w:val="none" w:sz="0" w:space="0" w:color="auto"/>
            <w:left w:val="none" w:sz="0" w:space="0" w:color="auto"/>
            <w:bottom w:val="none" w:sz="0" w:space="0" w:color="auto"/>
            <w:right w:val="none" w:sz="0" w:space="0" w:color="auto"/>
          </w:divBdr>
        </w:div>
      </w:divsChild>
    </w:div>
    <w:div w:id="2116898524">
      <w:marLeft w:val="0"/>
      <w:marRight w:val="0"/>
      <w:marTop w:val="0"/>
      <w:marBottom w:val="0"/>
      <w:divBdr>
        <w:top w:val="none" w:sz="0" w:space="0" w:color="auto"/>
        <w:left w:val="none" w:sz="0" w:space="0" w:color="auto"/>
        <w:bottom w:val="none" w:sz="0" w:space="0" w:color="auto"/>
        <w:right w:val="none" w:sz="0" w:space="0" w:color="auto"/>
      </w:divBdr>
      <w:divsChild>
        <w:div w:id="679240052">
          <w:marLeft w:val="0"/>
          <w:marRight w:val="0"/>
          <w:marTop w:val="600"/>
          <w:marBottom w:val="0"/>
          <w:divBdr>
            <w:top w:val="none" w:sz="0" w:space="0" w:color="auto"/>
            <w:left w:val="none" w:sz="0" w:space="0" w:color="auto"/>
            <w:bottom w:val="none" w:sz="0" w:space="0" w:color="auto"/>
            <w:right w:val="none" w:sz="0" w:space="0" w:color="auto"/>
          </w:divBdr>
        </w:div>
        <w:div w:id="1433747200">
          <w:marLeft w:val="0"/>
          <w:marRight w:val="0"/>
          <w:marTop w:val="0"/>
          <w:marBottom w:val="0"/>
          <w:divBdr>
            <w:top w:val="none" w:sz="0" w:space="0" w:color="auto"/>
            <w:left w:val="none" w:sz="0" w:space="0" w:color="auto"/>
            <w:bottom w:val="none" w:sz="0" w:space="0" w:color="auto"/>
            <w:right w:val="none" w:sz="0" w:space="0" w:color="auto"/>
          </w:divBdr>
        </w:div>
        <w:div w:id="231816069">
          <w:marLeft w:val="0"/>
          <w:marRight w:val="0"/>
          <w:marTop w:val="0"/>
          <w:marBottom w:val="600"/>
          <w:divBdr>
            <w:top w:val="none" w:sz="0" w:space="0" w:color="auto"/>
            <w:left w:val="none" w:sz="0" w:space="0" w:color="auto"/>
            <w:bottom w:val="none" w:sz="0" w:space="0" w:color="auto"/>
            <w:right w:val="none" w:sz="0" w:space="0" w:color="auto"/>
          </w:divBdr>
        </w:div>
      </w:divsChild>
    </w:div>
    <w:div w:id="2127459487">
      <w:marLeft w:val="0"/>
      <w:marRight w:val="0"/>
      <w:marTop w:val="0"/>
      <w:marBottom w:val="0"/>
      <w:divBdr>
        <w:top w:val="none" w:sz="0" w:space="0" w:color="auto"/>
        <w:left w:val="none" w:sz="0" w:space="0" w:color="auto"/>
        <w:bottom w:val="none" w:sz="0" w:space="0" w:color="auto"/>
        <w:right w:val="none" w:sz="0" w:space="0" w:color="auto"/>
      </w:divBdr>
      <w:divsChild>
        <w:div w:id="1364357303">
          <w:marLeft w:val="0"/>
          <w:marRight w:val="0"/>
          <w:marTop w:val="600"/>
          <w:marBottom w:val="0"/>
          <w:divBdr>
            <w:top w:val="none" w:sz="0" w:space="0" w:color="auto"/>
            <w:left w:val="none" w:sz="0" w:space="0" w:color="auto"/>
            <w:bottom w:val="none" w:sz="0" w:space="0" w:color="auto"/>
            <w:right w:val="none" w:sz="0" w:space="0" w:color="auto"/>
          </w:divBdr>
        </w:div>
        <w:div w:id="1135752130">
          <w:marLeft w:val="0"/>
          <w:marRight w:val="0"/>
          <w:marTop w:val="0"/>
          <w:marBottom w:val="0"/>
          <w:divBdr>
            <w:top w:val="none" w:sz="0" w:space="0" w:color="auto"/>
            <w:left w:val="none" w:sz="0" w:space="0" w:color="auto"/>
            <w:bottom w:val="none" w:sz="0" w:space="0" w:color="auto"/>
            <w:right w:val="none" w:sz="0" w:space="0" w:color="auto"/>
          </w:divBdr>
        </w:div>
        <w:div w:id="1068958807">
          <w:marLeft w:val="0"/>
          <w:marRight w:val="0"/>
          <w:marTop w:val="0"/>
          <w:marBottom w:val="600"/>
          <w:divBdr>
            <w:top w:val="none" w:sz="0" w:space="0" w:color="auto"/>
            <w:left w:val="none" w:sz="0" w:space="0" w:color="auto"/>
            <w:bottom w:val="none" w:sz="0" w:space="0" w:color="auto"/>
            <w:right w:val="none" w:sz="0" w:space="0" w:color="auto"/>
          </w:divBdr>
        </w:div>
      </w:divsChild>
    </w:div>
    <w:div w:id="2129886258">
      <w:marLeft w:val="0"/>
      <w:marRight w:val="0"/>
      <w:marTop w:val="0"/>
      <w:marBottom w:val="0"/>
      <w:divBdr>
        <w:top w:val="none" w:sz="0" w:space="0" w:color="auto"/>
        <w:left w:val="none" w:sz="0" w:space="0" w:color="auto"/>
        <w:bottom w:val="none" w:sz="0" w:space="0" w:color="auto"/>
        <w:right w:val="none" w:sz="0" w:space="0" w:color="auto"/>
      </w:divBdr>
      <w:divsChild>
        <w:div w:id="721177343">
          <w:marLeft w:val="0"/>
          <w:marRight w:val="0"/>
          <w:marTop w:val="600"/>
          <w:marBottom w:val="0"/>
          <w:divBdr>
            <w:top w:val="none" w:sz="0" w:space="0" w:color="auto"/>
            <w:left w:val="none" w:sz="0" w:space="0" w:color="auto"/>
            <w:bottom w:val="none" w:sz="0" w:space="0" w:color="auto"/>
            <w:right w:val="none" w:sz="0" w:space="0" w:color="auto"/>
          </w:divBdr>
        </w:div>
        <w:div w:id="1697265488">
          <w:marLeft w:val="0"/>
          <w:marRight w:val="0"/>
          <w:marTop w:val="0"/>
          <w:marBottom w:val="0"/>
          <w:divBdr>
            <w:top w:val="none" w:sz="0" w:space="0" w:color="auto"/>
            <w:left w:val="none" w:sz="0" w:space="0" w:color="auto"/>
            <w:bottom w:val="none" w:sz="0" w:space="0" w:color="auto"/>
            <w:right w:val="none" w:sz="0" w:space="0" w:color="auto"/>
          </w:divBdr>
          <w:divsChild>
            <w:div w:id="997224921">
              <w:marLeft w:val="547"/>
              <w:marRight w:val="0"/>
              <w:marTop w:val="0"/>
              <w:marBottom w:val="0"/>
              <w:divBdr>
                <w:top w:val="none" w:sz="0" w:space="0" w:color="auto"/>
                <w:left w:val="none" w:sz="0" w:space="0" w:color="auto"/>
                <w:bottom w:val="none" w:sz="0" w:space="0" w:color="auto"/>
                <w:right w:val="none" w:sz="0" w:space="0" w:color="auto"/>
              </w:divBdr>
            </w:div>
            <w:div w:id="729502438">
              <w:marLeft w:val="547"/>
              <w:marRight w:val="0"/>
              <w:marTop w:val="0"/>
              <w:marBottom w:val="0"/>
              <w:divBdr>
                <w:top w:val="none" w:sz="0" w:space="0" w:color="auto"/>
                <w:left w:val="none" w:sz="0" w:space="0" w:color="auto"/>
                <w:bottom w:val="none" w:sz="0" w:space="0" w:color="auto"/>
                <w:right w:val="none" w:sz="0" w:space="0" w:color="auto"/>
              </w:divBdr>
            </w:div>
          </w:divsChild>
        </w:div>
        <w:div w:id="412169610">
          <w:marLeft w:val="0"/>
          <w:marRight w:val="0"/>
          <w:marTop w:val="0"/>
          <w:marBottom w:val="600"/>
          <w:divBdr>
            <w:top w:val="none" w:sz="0" w:space="0" w:color="auto"/>
            <w:left w:val="none" w:sz="0" w:space="0" w:color="auto"/>
            <w:bottom w:val="none" w:sz="0" w:space="0" w:color="auto"/>
            <w:right w:val="none" w:sz="0" w:space="0" w:color="auto"/>
          </w:divBdr>
        </w:div>
      </w:divsChild>
    </w:div>
    <w:div w:id="2137328623">
      <w:marLeft w:val="0"/>
      <w:marRight w:val="0"/>
      <w:marTop w:val="0"/>
      <w:marBottom w:val="0"/>
      <w:divBdr>
        <w:top w:val="none" w:sz="0" w:space="0" w:color="auto"/>
        <w:left w:val="none" w:sz="0" w:space="0" w:color="auto"/>
        <w:bottom w:val="none" w:sz="0" w:space="0" w:color="auto"/>
        <w:right w:val="none" w:sz="0" w:space="0" w:color="auto"/>
      </w:divBdr>
      <w:divsChild>
        <w:div w:id="386563748">
          <w:marLeft w:val="0"/>
          <w:marRight w:val="0"/>
          <w:marTop w:val="600"/>
          <w:marBottom w:val="0"/>
          <w:divBdr>
            <w:top w:val="none" w:sz="0" w:space="0" w:color="auto"/>
            <w:left w:val="none" w:sz="0" w:space="0" w:color="auto"/>
            <w:bottom w:val="none" w:sz="0" w:space="0" w:color="auto"/>
            <w:right w:val="none" w:sz="0" w:space="0" w:color="auto"/>
          </w:divBdr>
        </w:div>
        <w:div w:id="1299992621">
          <w:marLeft w:val="0"/>
          <w:marRight w:val="0"/>
          <w:marTop w:val="0"/>
          <w:marBottom w:val="0"/>
          <w:divBdr>
            <w:top w:val="none" w:sz="0" w:space="0" w:color="auto"/>
            <w:left w:val="none" w:sz="0" w:space="0" w:color="auto"/>
            <w:bottom w:val="none" w:sz="0" w:space="0" w:color="auto"/>
            <w:right w:val="none" w:sz="0" w:space="0" w:color="auto"/>
          </w:divBdr>
          <w:divsChild>
            <w:div w:id="448352050">
              <w:marLeft w:val="0"/>
              <w:marRight w:val="0"/>
              <w:marTop w:val="0"/>
              <w:marBottom w:val="0"/>
              <w:divBdr>
                <w:top w:val="none" w:sz="0" w:space="0" w:color="auto"/>
                <w:left w:val="none" w:sz="0" w:space="0" w:color="auto"/>
                <w:bottom w:val="none" w:sz="0" w:space="0" w:color="auto"/>
                <w:right w:val="none" w:sz="0" w:space="0" w:color="auto"/>
              </w:divBdr>
              <w:divsChild>
                <w:div w:id="420301256">
                  <w:marLeft w:val="0"/>
                  <w:marRight w:val="0"/>
                  <w:marTop w:val="0"/>
                  <w:marBottom w:val="0"/>
                  <w:divBdr>
                    <w:top w:val="none" w:sz="0" w:space="0" w:color="auto"/>
                    <w:left w:val="none" w:sz="0" w:space="0" w:color="auto"/>
                    <w:bottom w:val="none" w:sz="0" w:space="0" w:color="auto"/>
                    <w:right w:val="none" w:sz="0" w:space="0" w:color="auto"/>
                  </w:divBdr>
                </w:div>
              </w:divsChild>
            </w:div>
            <w:div w:id="1799183561">
              <w:marLeft w:val="0"/>
              <w:marRight w:val="0"/>
              <w:marTop w:val="0"/>
              <w:marBottom w:val="0"/>
              <w:divBdr>
                <w:top w:val="none" w:sz="0" w:space="0" w:color="auto"/>
                <w:left w:val="none" w:sz="0" w:space="0" w:color="auto"/>
                <w:bottom w:val="none" w:sz="0" w:space="0" w:color="auto"/>
                <w:right w:val="none" w:sz="0" w:space="0" w:color="auto"/>
              </w:divBdr>
              <w:divsChild>
                <w:div w:id="1099837483">
                  <w:marLeft w:val="0"/>
                  <w:marRight w:val="0"/>
                  <w:marTop w:val="0"/>
                  <w:marBottom w:val="0"/>
                  <w:divBdr>
                    <w:top w:val="none" w:sz="0" w:space="0" w:color="auto"/>
                    <w:left w:val="none" w:sz="0" w:space="0" w:color="auto"/>
                    <w:bottom w:val="none" w:sz="0" w:space="0" w:color="auto"/>
                    <w:right w:val="none" w:sz="0" w:space="0" w:color="auto"/>
                  </w:divBdr>
                </w:div>
              </w:divsChild>
            </w:div>
            <w:div w:id="130829278">
              <w:marLeft w:val="0"/>
              <w:marRight w:val="0"/>
              <w:marTop w:val="0"/>
              <w:marBottom w:val="0"/>
              <w:divBdr>
                <w:top w:val="none" w:sz="0" w:space="0" w:color="auto"/>
                <w:left w:val="none" w:sz="0" w:space="0" w:color="auto"/>
                <w:bottom w:val="none" w:sz="0" w:space="0" w:color="auto"/>
                <w:right w:val="none" w:sz="0" w:space="0" w:color="auto"/>
              </w:divBdr>
              <w:divsChild>
                <w:div w:id="986009078">
                  <w:marLeft w:val="0"/>
                  <w:marRight w:val="0"/>
                  <w:marTop w:val="0"/>
                  <w:marBottom w:val="0"/>
                  <w:divBdr>
                    <w:top w:val="none" w:sz="0" w:space="0" w:color="auto"/>
                    <w:left w:val="none" w:sz="0" w:space="0" w:color="auto"/>
                    <w:bottom w:val="none" w:sz="0" w:space="0" w:color="auto"/>
                    <w:right w:val="none" w:sz="0" w:space="0" w:color="auto"/>
                  </w:divBdr>
                </w:div>
              </w:divsChild>
            </w:div>
            <w:div w:id="1954481528">
              <w:marLeft w:val="0"/>
              <w:marRight w:val="0"/>
              <w:marTop w:val="0"/>
              <w:marBottom w:val="0"/>
              <w:divBdr>
                <w:top w:val="none" w:sz="0" w:space="0" w:color="auto"/>
                <w:left w:val="none" w:sz="0" w:space="0" w:color="auto"/>
                <w:bottom w:val="none" w:sz="0" w:space="0" w:color="auto"/>
                <w:right w:val="none" w:sz="0" w:space="0" w:color="auto"/>
              </w:divBdr>
              <w:divsChild>
                <w:div w:id="836189228">
                  <w:marLeft w:val="0"/>
                  <w:marRight w:val="0"/>
                  <w:marTop w:val="0"/>
                  <w:marBottom w:val="0"/>
                  <w:divBdr>
                    <w:top w:val="none" w:sz="0" w:space="0" w:color="auto"/>
                    <w:left w:val="none" w:sz="0" w:space="0" w:color="auto"/>
                    <w:bottom w:val="none" w:sz="0" w:space="0" w:color="auto"/>
                    <w:right w:val="none" w:sz="0" w:space="0" w:color="auto"/>
                  </w:divBdr>
                </w:div>
              </w:divsChild>
            </w:div>
            <w:div w:id="381296266">
              <w:marLeft w:val="0"/>
              <w:marRight w:val="0"/>
              <w:marTop w:val="0"/>
              <w:marBottom w:val="0"/>
              <w:divBdr>
                <w:top w:val="none" w:sz="0" w:space="0" w:color="auto"/>
                <w:left w:val="none" w:sz="0" w:space="0" w:color="auto"/>
                <w:bottom w:val="none" w:sz="0" w:space="0" w:color="auto"/>
                <w:right w:val="none" w:sz="0" w:space="0" w:color="auto"/>
              </w:divBdr>
              <w:divsChild>
                <w:div w:id="1125004779">
                  <w:marLeft w:val="0"/>
                  <w:marRight w:val="0"/>
                  <w:marTop w:val="0"/>
                  <w:marBottom w:val="0"/>
                  <w:divBdr>
                    <w:top w:val="none" w:sz="0" w:space="0" w:color="auto"/>
                    <w:left w:val="none" w:sz="0" w:space="0" w:color="auto"/>
                    <w:bottom w:val="none" w:sz="0" w:space="0" w:color="auto"/>
                    <w:right w:val="none" w:sz="0" w:space="0" w:color="auto"/>
                  </w:divBdr>
                </w:div>
              </w:divsChild>
            </w:div>
            <w:div w:id="1848788935">
              <w:marLeft w:val="0"/>
              <w:marRight w:val="0"/>
              <w:marTop w:val="0"/>
              <w:marBottom w:val="0"/>
              <w:divBdr>
                <w:top w:val="none" w:sz="0" w:space="0" w:color="auto"/>
                <w:left w:val="none" w:sz="0" w:space="0" w:color="auto"/>
                <w:bottom w:val="none" w:sz="0" w:space="0" w:color="auto"/>
                <w:right w:val="none" w:sz="0" w:space="0" w:color="auto"/>
              </w:divBdr>
              <w:divsChild>
                <w:div w:id="447239160">
                  <w:marLeft w:val="0"/>
                  <w:marRight w:val="0"/>
                  <w:marTop w:val="0"/>
                  <w:marBottom w:val="0"/>
                  <w:divBdr>
                    <w:top w:val="none" w:sz="0" w:space="0" w:color="auto"/>
                    <w:left w:val="none" w:sz="0" w:space="0" w:color="auto"/>
                    <w:bottom w:val="none" w:sz="0" w:space="0" w:color="auto"/>
                    <w:right w:val="none" w:sz="0" w:space="0" w:color="auto"/>
                  </w:divBdr>
                </w:div>
              </w:divsChild>
            </w:div>
            <w:div w:id="336276717">
              <w:marLeft w:val="0"/>
              <w:marRight w:val="0"/>
              <w:marTop w:val="0"/>
              <w:marBottom w:val="0"/>
              <w:divBdr>
                <w:top w:val="none" w:sz="0" w:space="0" w:color="auto"/>
                <w:left w:val="none" w:sz="0" w:space="0" w:color="auto"/>
                <w:bottom w:val="none" w:sz="0" w:space="0" w:color="auto"/>
                <w:right w:val="none" w:sz="0" w:space="0" w:color="auto"/>
              </w:divBdr>
              <w:divsChild>
                <w:div w:id="1055005985">
                  <w:marLeft w:val="0"/>
                  <w:marRight w:val="0"/>
                  <w:marTop w:val="0"/>
                  <w:marBottom w:val="0"/>
                  <w:divBdr>
                    <w:top w:val="none" w:sz="0" w:space="0" w:color="auto"/>
                    <w:left w:val="none" w:sz="0" w:space="0" w:color="auto"/>
                    <w:bottom w:val="none" w:sz="0" w:space="0" w:color="auto"/>
                    <w:right w:val="none" w:sz="0" w:space="0" w:color="auto"/>
                  </w:divBdr>
                </w:div>
              </w:divsChild>
            </w:div>
            <w:div w:id="344673828">
              <w:marLeft w:val="0"/>
              <w:marRight w:val="0"/>
              <w:marTop w:val="0"/>
              <w:marBottom w:val="0"/>
              <w:divBdr>
                <w:top w:val="none" w:sz="0" w:space="0" w:color="auto"/>
                <w:left w:val="none" w:sz="0" w:space="0" w:color="auto"/>
                <w:bottom w:val="none" w:sz="0" w:space="0" w:color="auto"/>
                <w:right w:val="none" w:sz="0" w:space="0" w:color="auto"/>
              </w:divBdr>
              <w:divsChild>
                <w:div w:id="167336376">
                  <w:marLeft w:val="0"/>
                  <w:marRight w:val="0"/>
                  <w:marTop w:val="0"/>
                  <w:marBottom w:val="0"/>
                  <w:divBdr>
                    <w:top w:val="none" w:sz="0" w:space="0" w:color="auto"/>
                    <w:left w:val="none" w:sz="0" w:space="0" w:color="auto"/>
                    <w:bottom w:val="none" w:sz="0" w:space="0" w:color="auto"/>
                    <w:right w:val="none" w:sz="0" w:space="0" w:color="auto"/>
                  </w:divBdr>
                </w:div>
              </w:divsChild>
            </w:div>
            <w:div w:id="65689575">
              <w:marLeft w:val="0"/>
              <w:marRight w:val="0"/>
              <w:marTop w:val="0"/>
              <w:marBottom w:val="0"/>
              <w:divBdr>
                <w:top w:val="none" w:sz="0" w:space="0" w:color="auto"/>
                <w:left w:val="none" w:sz="0" w:space="0" w:color="auto"/>
                <w:bottom w:val="none" w:sz="0" w:space="0" w:color="auto"/>
                <w:right w:val="none" w:sz="0" w:space="0" w:color="auto"/>
              </w:divBdr>
              <w:divsChild>
                <w:div w:id="1200161695">
                  <w:marLeft w:val="0"/>
                  <w:marRight w:val="0"/>
                  <w:marTop w:val="0"/>
                  <w:marBottom w:val="0"/>
                  <w:divBdr>
                    <w:top w:val="none" w:sz="0" w:space="0" w:color="auto"/>
                    <w:left w:val="none" w:sz="0" w:space="0" w:color="auto"/>
                    <w:bottom w:val="none" w:sz="0" w:space="0" w:color="auto"/>
                    <w:right w:val="none" w:sz="0" w:space="0" w:color="auto"/>
                  </w:divBdr>
                </w:div>
              </w:divsChild>
            </w:div>
            <w:div w:id="659624730">
              <w:marLeft w:val="0"/>
              <w:marRight w:val="0"/>
              <w:marTop w:val="0"/>
              <w:marBottom w:val="0"/>
              <w:divBdr>
                <w:top w:val="none" w:sz="0" w:space="0" w:color="auto"/>
                <w:left w:val="none" w:sz="0" w:space="0" w:color="auto"/>
                <w:bottom w:val="none" w:sz="0" w:space="0" w:color="auto"/>
                <w:right w:val="none" w:sz="0" w:space="0" w:color="auto"/>
              </w:divBdr>
              <w:divsChild>
                <w:div w:id="1575243115">
                  <w:marLeft w:val="0"/>
                  <w:marRight w:val="0"/>
                  <w:marTop w:val="0"/>
                  <w:marBottom w:val="0"/>
                  <w:divBdr>
                    <w:top w:val="none" w:sz="0" w:space="0" w:color="auto"/>
                    <w:left w:val="none" w:sz="0" w:space="0" w:color="auto"/>
                    <w:bottom w:val="none" w:sz="0" w:space="0" w:color="auto"/>
                    <w:right w:val="none" w:sz="0" w:space="0" w:color="auto"/>
                  </w:divBdr>
                </w:div>
              </w:divsChild>
            </w:div>
            <w:div w:id="1272929449">
              <w:marLeft w:val="0"/>
              <w:marRight w:val="0"/>
              <w:marTop w:val="0"/>
              <w:marBottom w:val="0"/>
              <w:divBdr>
                <w:top w:val="none" w:sz="0" w:space="0" w:color="auto"/>
                <w:left w:val="none" w:sz="0" w:space="0" w:color="auto"/>
                <w:bottom w:val="none" w:sz="0" w:space="0" w:color="auto"/>
                <w:right w:val="none" w:sz="0" w:space="0" w:color="auto"/>
              </w:divBdr>
              <w:divsChild>
                <w:div w:id="1811359548">
                  <w:marLeft w:val="0"/>
                  <w:marRight w:val="0"/>
                  <w:marTop w:val="0"/>
                  <w:marBottom w:val="0"/>
                  <w:divBdr>
                    <w:top w:val="none" w:sz="0" w:space="0" w:color="auto"/>
                    <w:left w:val="none" w:sz="0" w:space="0" w:color="auto"/>
                    <w:bottom w:val="none" w:sz="0" w:space="0" w:color="auto"/>
                    <w:right w:val="none" w:sz="0" w:space="0" w:color="auto"/>
                  </w:divBdr>
                </w:div>
              </w:divsChild>
            </w:div>
            <w:div w:id="360977742">
              <w:marLeft w:val="0"/>
              <w:marRight w:val="0"/>
              <w:marTop w:val="0"/>
              <w:marBottom w:val="0"/>
              <w:divBdr>
                <w:top w:val="none" w:sz="0" w:space="0" w:color="auto"/>
                <w:left w:val="none" w:sz="0" w:space="0" w:color="auto"/>
                <w:bottom w:val="none" w:sz="0" w:space="0" w:color="auto"/>
                <w:right w:val="none" w:sz="0" w:space="0" w:color="auto"/>
              </w:divBdr>
              <w:divsChild>
                <w:div w:id="1425226029">
                  <w:marLeft w:val="0"/>
                  <w:marRight w:val="0"/>
                  <w:marTop w:val="0"/>
                  <w:marBottom w:val="0"/>
                  <w:divBdr>
                    <w:top w:val="none" w:sz="0" w:space="0" w:color="auto"/>
                    <w:left w:val="none" w:sz="0" w:space="0" w:color="auto"/>
                    <w:bottom w:val="none" w:sz="0" w:space="0" w:color="auto"/>
                    <w:right w:val="none" w:sz="0" w:space="0" w:color="auto"/>
                  </w:divBdr>
                </w:div>
              </w:divsChild>
            </w:div>
            <w:div w:id="158011043">
              <w:marLeft w:val="0"/>
              <w:marRight w:val="0"/>
              <w:marTop w:val="0"/>
              <w:marBottom w:val="0"/>
              <w:divBdr>
                <w:top w:val="none" w:sz="0" w:space="0" w:color="auto"/>
                <w:left w:val="none" w:sz="0" w:space="0" w:color="auto"/>
                <w:bottom w:val="none" w:sz="0" w:space="0" w:color="auto"/>
                <w:right w:val="none" w:sz="0" w:space="0" w:color="auto"/>
              </w:divBdr>
              <w:divsChild>
                <w:div w:id="18640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8094">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425205/000110465920071492/tm2022183d1_ex10-2.htm" TargetMode="External"/><Relationship Id="rId21" Type="http://schemas.openxmlformats.org/officeDocument/2006/relationships/hyperlink" Target="https://www.sec.gov/Archives/edgar/data/1425205/000110465920024830/ex-10d4.htm" TargetMode="External"/><Relationship Id="rId42" Type="http://schemas.openxmlformats.org/officeDocument/2006/relationships/hyperlink" Target="https://www.sec.gov/Archives/edgar/data/1425205/000114420415063327/v423195_ex10-47.htm" TargetMode="External"/><Relationship Id="rId47" Type="http://schemas.openxmlformats.org/officeDocument/2006/relationships/hyperlink" Target="https://www.sec.gov/Archives/edgar/data/1425205/000114420417013535/v460270_ex10-36.htm" TargetMode="External"/><Relationship Id="rId63" Type="http://schemas.openxmlformats.org/officeDocument/2006/relationships/hyperlink" Target="https://www.sec.gov/Archives/edgar/data/1425205/000110465919059564/ex-10d2.htm" TargetMode="External"/><Relationship Id="rId68" Type="http://schemas.openxmlformats.org/officeDocument/2006/relationships/hyperlink" Target="iova-20211231xex23d1.htm" TargetMode="External"/><Relationship Id="rId2" Type="http://schemas.openxmlformats.org/officeDocument/2006/relationships/settings" Target="settings.xml"/><Relationship Id="rId16" Type="http://schemas.openxmlformats.org/officeDocument/2006/relationships/hyperlink" Target="https://www.sec.gov/Archives/edgar/data/1425205/000114420419030502/tv523383_ex3-1.htm" TargetMode="External"/><Relationship Id="rId29" Type="http://schemas.openxmlformats.org/officeDocument/2006/relationships/hyperlink" Target="https://www.sec.gov/Archives/edgar/data/1425205/000155837021010617/iova-20210630xex10d2.htm" TargetMode="External"/><Relationship Id="rId11" Type="http://schemas.openxmlformats.org/officeDocument/2006/relationships/hyperlink" Target="https://www.sec.gov/Archives/edgar/data/1425205/000114420417030892/v468249_ex3-2.htm" TargetMode="External"/><Relationship Id="rId24" Type="http://schemas.openxmlformats.org/officeDocument/2006/relationships/hyperlink" Target="https://www.sec.gov/Archives/edgar/data/1425205/000110465920024830/ex-10d7.htm" TargetMode="External"/><Relationship Id="rId32" Type="http://schemas.openxmlformats.org/officeDocument/2006/relationships/hyperlink" Target="iova-20211231xex10d13.htm" TargetMode="External"/><Relationship Id="rId37" Type="http://schemas.openxmlformats.org/officeDocument/2006/relationships/hyperlink" Target="https://www.sec.gov/Archives/edgar/data/1425205/000151316013000040/ex102.htm" TargetMode="External"/><Relationship Id="rId40" Type="http://schemas.openxmlformats.org/officeDocument/2006/relationships/hyperlink" Target="https://www.sec.gov/Archives/edgar/data/1425205/000114420415016315/v403564_ex10-47.htm" TargetMode="External"/><Relationship Id="rId45" Type="http://schemas.openxmlformats.org/officeDocument/2006/relationships/hyperlink" Target="https://www.sec.gov/Archives/edgar/data/1425205/000114420416106835/v441731_ex10-2.htm" TargetMode="External"/><Relationship Id="rId53" Type="http://schemas.openxmlformats.org/officeDocument/2006/relationships/hyperlink" Target="https://www.sec.gov/Archives/edgar/data/1425205/000114420418014151/tv485173_ex10-32.htm" TargetMode="External"/><Relationship Id="rId58" Type="http://schemas.openxmlformats.org/officeDocument/2006/relationships/hyperlink" Target="https://www.sec.gov/Archives/edgar/data/1425205/000114420418055365/tv505364_ex10-1.htm" TargetMode="External"/><Relationship Id="rId66" Type="http://schemas.openxmlformats.org/officeDocument/2006/relationships/hyperlink" Target="https://www.sec.gov/Archives/edgar/data/1425205/000110465921016221/tm215703d2_ex10-1.htm" TargetMode="External"/><Relationship Id="rId74" Type="http://schemas.openxmlformats.org/officeDocument/2006/relationships/fontTable" Target="fontTable.xml"/><Relationship Id="rId5" Type="http://schemas.openxmlformats.org/officeDocument/2006/relationships/image" Target="file:///E:\projects\LLMs\new_data_collection\data_new\htm\IOVANCE%20BIOTHERAPEUTICS,%20INC\iova-20211231x10k002.jpg" TargetMode="External"/><Relationship Id="rId61" Type="http://schemas.openxmlformats.org/officeDocument/2006/relationships/hyperlink" Target="https://www.sec.gov/Archives/edgar/data/1425205/000110465921016221/tm215703d2_ex10-3.htm" TargetMode="External"/><Relationship Id="rId19" Type="http://schemas.openxmlformats.org/officeDocument/2006/relationships/hyperlink" Target="https://www.sec.gov/Archives/edgar/data/1425205/000110465920024830/ex-4d3.htm" TargetMode="External"/><Relationship Id="rId14" Type="http://schemas.openxmlformats.org/officeDocument/2006/relationships/hyperlink" Target="https://www.sec.gov/Archives/edgar/data/1425205/000114420417039309/v471615_ex3-5.htm" TargetMode="External"/><Relationship Id="rId22" Type="http://schemas.openxmlformats.org/officeDocument/2006/relationships/hyperlink" Target="https://www.sec.gov/Archives/edgar/data/1425205/000110465920024830/ex-10d5.htm" TargetMode="External"/><Relationship Id="rId27" Type="http://schemas.openxmlformats.org/officeDocument/2006/relationships/hyperlink" Target="https://www.sec.gov/Archives/edgar/data/1425205/000110465920024830/ex-10d10.htm" TargetMode="External"/><Relationship Id="rId30" Type="http://schemas.openxmlformats.org/officeDocument/2006/relationships/hyperlink" Target="https://www.sec.gov/Archives/edgar/data/1425205/000155837021010617/iova-20210630xex10d3.htm" TargetMode="External"/><Relationship Id="rId35" Type="http://schemas.openxmlformats.org/officeDocument/2006/relationships/hyperlink" Target="https://www.sec.gov/Archives/edgar/data/1425205/000114420411069602/v242935_ex10-1.htm" TargetMode="External"/><Relationship Id="rId43" Type="http://schemas.openxmlformats.org/officeDocument/2006/relationships/hyperlink" Target="https://www.sec.gov/Archives/edgar/data/1425205/000155837021010617/iova-20210630xex10d1.htm" TargetMode="External"/><Relationship Id="rId48" Type="http://schemas.openxmlformats.org/officeDocument/2006/relationships/hyperlink" Target="https://www.sec.gov/Archives/edgar/data/1425205/000114420417040380/v471203_ex10-1.htm" TargetMode="External"/><Relationship Id="rId56" Type="http://schemas.openxmlformats.org/officeDocument/2006/relationships/hyperlink" Target="https://www.sec.gov/Archives/edgar/data/1425205/000155837021006301/iova-20210331xex10d4.htm" TargetMode="External"/><Relationship Id="rId64" Type="http://schemas.openxmlformats.org/officeDocument/2006/relationships/hyperlink" Target="https://www.sec.gov/Archives/edgar/data/1425205/000110465920091526/iova-20200630xex10d3.htm" TargetMode="External"/><Relationship Id="rId69" Type="http://schemas.openxmlformats.org/officeDocument/2006/relationships/hyperlink" Target="iova-20211231xex23d2.htm" TargetMode="External"/><Relationship Id="rId8" Type="http://schemas.openxmlformats.org/officeDocument/2006/relationships/image" Target="file:///E:\projects\LLMs\new_data_collection\data_new\htm\IOVANCE%20BIOTHERAPEUTICS,%20INC\iova-20211231x10k005.jpg" TargetMode="External"/><Relationship Id="rId51" Type="http://schemas.openxmlformats.org/officeDocument/2006/relationships/hyperlink" Target="https://www.sec.gov/Archives/edgar/data/1425205/000114420416117596/v445492_ex10-3.htm" TargetMode="External"/><Relationship Id="rId72" Type="http://schemas.openxmlformats.org/officeDocument/2006/relationships/hyperlink" Target="iova-20211231xex32d1.htm" TargetMode="External"/><Relationship Id="rId3" Type="http://schemas.openxmlformats.org/officeDocument/2006/relationships/webSettings" Target="webSettings.xml"/><Relationship Id="rId12" Type="http://schemas.openxmlformats.org/officeDocument/2006/relationships/hyperlink" Target="https://www.sec.gov/Archives/edgar/data/1425205/000114420417030892/v468249_ex3-3.htm" TargetMode="External"/><Relationship Id="rId17" Type="http://schemas.openxmlformats.org/officeDocument/2006/relationships/hyperlink" Target="https://www.sec.gov/Archives/edgar/data/1425205/000110465920066367/tm2021089d1_ex3-1.htm" TargetMode="External"/><Relationship Id="rId25" Type="http://schemas.openxmlformats.org/officeDocument/2006/relationships/hyperlink" Target="https://www.sec.gov/Archives/edgar/data/1425205/000110465920024830/ex-10d8.htm" TargetMode="External"/><Relationship Id="rId33" Type="http://schemas.openxmlformats.org/officeDocument/2006/relationships/hyperlink" Target="https://www.sec.gov/Archives/edgar/data/1425205/000155837021012704/iova-20210922xex10d2.htm" TargetMode="External"/><Relationship Id="rId38" Type="http://schemas.openxmlformats.org/officeDocument/2006/relationships/hyperlink" Target="https://www.sec.gov/Archives/edgar/data/1425205/000151316013000065/ex102.htm" TargetMode="External"/><Relationship Id="rId46" Type="http://schemas.openxmlformats.org/officeDocument/2006/relationships/hyperlink" Target="https://www.sec.gov/Archives/edgar/data/1425205/000114420416122251/v448086_ex10-3.htm" TargetMode="External"/><Relationship Id="rId59" Type="http://schemas.openxmlformats.org/officeDocument/2006/relationships/hyperlink" Target="https://www.sec.gov/Archives/edgar/data/1425205/000110465919059564/ex-10d1.htm" TargetMode="External"/><Relationship Id="rId67" Type="http://schemas.openxmlformats.org/officeDocument/2006/relationships/hyperlink" Target="iova-20211231xex21d1.htm" TargetMode="External"/><Relationship Id="rId20" Type="http://schemas.openxmlformats.org/officeDocument/2006/relationships/hyperlink" Target="https://www.sec.gov/Archives/edgar/data/1425205/000114420411058601/v237591_ex10-3.htm" TargetMode="External"/><Relationship Id="rId41" Type="http://schemas.openxmlformats.org/officeDocument/2006/relationships/hyperlink" Target="https://www.sec.gov/Archives/edgar/data/1425205/000114420415016315/v403564_ex10-46.htm" TargetMode="External"/><Relationship Id="rId54" Type="http://schemas.openxmlformats.org/officeDocument/2006/relationships/hyperlink" Target="https://www.sec.gov/Archives/edgar/data/1425205/000114420419037248/iova-20190630ex1010a68ed.htm" TargetMode="External"/><Relationship Id="rId62" Type="http://schemas.openxmlformats.org/officeDocument/2006/relationships/hyperlink" Target="https://www.sec.gov/Archives/edgar/data/1425205/000114420419029469/tv522894_ex10-1.htm" TargetMode="External"/><Relationship Id="rId70" Type="http://schemas.openxmlformats.org/officeDocument/2006/relationships/hyperlink" Target="iova-20211231xex31d1.htm"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IOVANCE%20BIOTHERAPEUTICS,%20INC\iova-20211231x10k003.jpg" TargetMode="External"/><Relationship Id="rId15" Type="http://schemas.openxmlformats.org/officeDocument/2006/relationships/hyperlink" Target="https://www.sec.gov/Archives/edgar/data/1425205/000114420417034350/v469760_ex3-1.htm" TargetMode="External"/><Relationship Id="rId23" Type="http://schemas.openxmlformats.org/officeDocument/2006/relationships/hyperlink" Target="https://www.sec.gov/Archives/edgar/data/1425205/000114420416111940/v443869_def14a.htm" TargetMode="External"/><Relationship Id="rId28" Type="http://schemas.openxmlformats.org/officeDocument/2006/relationships/hyperlink" Target="https://www.sec.gov/Archives/edgar/data/1425205/000110465920024830/ex-10d11.htm" TargetMode="External"/><Relationship Id="rId36" Type="http://schemas.openxmlformats.org/officeDocument/2006/relationships/hyperlink" Target="https://www.sec.gov/Archives/edgar/data/1425205/000114420411067480/v241925_ex10-1.htm" TargetMode="External"/><Relationship Id="rId49" Type="http://schemas.openxmlformats.org/officeDocument/2006/relationships/hyperlink" Target="https://www.sec.gov/Archives/edgar/data/1425205/000114420418014151/tv485173_ex10-34.htm" TargetMode="External"/><Relationship Id="rId57" Type="http://schemas.openxmlformats.org/officeDocument/2006/relationships/hyperlink" Target="https://www.sec.gov/Archives/edgar/data/1425205/000114420416117275/v446243_ex10-1.htm" TargetMode="External"/><Relationship Id="rId10" Type="http://schemas.openxmlformats.org/officeDocument/2006/relationships/hyperlink" Target="https://www.sec.gov/Archives/edgar/data/1425205/000114420417030892/v468249_ex3-1.htm" TargetMode="External"/><Relationship Id="rId31" Type="http://schemas.openxmlformats.org/officeDocument/2006/relationships/hyperlink" Target="https://www.sec.gov/Archives/edgar/data/1425205/000110465920071492/tm2022183d1_ex10-1.htm" TargetMode="External"/><Relationship Id="rId44" Type="http://schemas.openxmlformats.org/officeDocument/2006/relationships/hyperlink" Target="https://www.sec.gov/Archives/edgar/data/1425205/000114420416106835/v441731_ex10-1.htm" TargetMode="External"/><Relationship Id="rId52" Type="http://schemas.openxmlformats.org/officeDocument/2006/relationships/hyperlink" Target="https://www.sec.gov/Archives/edgar/data/1425205/000110465920091526/iova-20200630xex10d4.htm" TargetMode="External"/><Relationship Id="rId60" Type="http://schemas.openxmlformats.org/officeDocument/2006/relationships/hyperlink" Target="https://www.sec.gov/Archives/edgar/data/1425205/000110465921016221/tm215703d2_ex10-2.htm" TargetMode="External"/><Relationship Id="rId65" Type="http://schemas.openxmlformats.org/officeDocument/2006/relationships/hyperlink" Target="iova-20211231xex10d46.htm" TargetMode="External"/><Relationship Id="rId73" Type="http://schemas.openxmlformats.org/officeDocument/2006/relationships/hyperlink" Target="iova-20211231xex32d2.htm" TargetMode="External"/><Relationship Id="rId4" Type="http://schemas.openxmlformats.org/officeDocument/2006/relationships/image" Target="file:///E:\projects\LLMs\new_data_collection\data_new\htm\IOVANCE%20BIOTHERAPEUTICS,%20INC\iova-20211231x10k001.jpg" TargetMode="External"/><Relationship Id="rId9" Type="http://schemas.openxmlformats.org/officeDocument/2006/relationships/hyperlink" Target="https://www.sec.gov/Archives/edgar/data/1425205/000114420417030892/v468249_ex2-1.htm" TargetMode="External"/><Relationship Id="rId13" Type="http://schemas.openxmlformats.org/officeDocument/2006/relationships/hyperlink" Target="https://www.sec.gov/Archives/edgar/data/1425205/000114420417039309/v471615_ex3-4.htm" TargetMode="External"/><Relationship Id="rId18" Type="http://schemas.openxmlformats.org/officeDocument/2006/relationships/hyperlink" Target="https://www.sec.gov/Archives/edgar/data/1425205/000114420418014151/tv485173_ex4-2.htm" TargetMode="External"/><Relationship Id="rId39" Type="http://schemas.openxmlformats.org/officeDocument/2006/relationships/hyperlink" Target="https://www.sec.gov/Archives/edgar/data/1425205/000114420415003901/v399590_ex10-1.htm" TargetMode="External"/><Relationship Id="rId34" Type="http://schemas.openxmlformats.org/officeDocument/2006/relationships/hyperlink" Target="https://www.sec.gov/Archives/edgar/data/1425205/000155837021012704/iova-20210922xex10d3.htm" TargetMode="External"/><Relationship Id="rId50" Type="http://schemas.openxmlformats.org/officeDocument/2006/relationships/hyperlink" Target="https://www.sec.gov/Archives/edgar/data/1425205/000114420418014151/tv485173_ex10-35.htm" TargetMode="External"/><Relationship Id="rId55" Type="http://schemas.openxmlformats.org/officeDocument/2006/relationships/hyperlink" Target="https://www.sec.gov/Archives/edgar/data/1425205/000155837021001858/iova-20201231xex10d30.htm" TargetMode="External"/><Relationship Id="rId7" Type="http://schemas.openxmlformats.org/officeDocument/2006/relationships/image" Target="file:///E:\projects\LLMs\new_data_collection\data_new\htm\IOVANCE%20BIOTHERAPEUTICS,%20INC\iova-20211231x10k004.jpg" TargetMode="External"/><Relationship Id="rId71" Type="http://schemas.openxmlformats.org/officeDocument/2006/relationships/hyperlink" Target="iova-20211231xex31d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102849</Words>
  <Characters>586242</Characters>
  <Application>Microsoft Office Word</Application>
  <DocSecurity>0</DocSecurity>
  <Lines>4885</Lines>
  <Paragraphs>1375</Paragraphs>
  <ScaleCrop>false</ScaleCrop>
  <Company/>
  <LinksUpToDate>false</LinksUpToDate>
  <CharactersWithSpaces>687716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